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F4" w:rsidRDefault="002810F4" w:rsidP="007B02E7">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
          <w:bCs/>
          <w:color w:val="1F24E6"/>
          <w:sz w:val="24"/>
          <w:szCs w:val="24"/>
        </w:rPr>
        <w:t>2018: The Year of the Dog</w:t>
      </w:r>
    </w:p>
    <w:p w:rsidR="00272105" w:rsidRDefault="00272105" w:rsidP="007B02E7">
      <w:pPr>
        <w:spacing w:before="100" w:beforeAutospacing="1" w:after="100" w:afterAutospacing="1"/>
        <w:contextualSpacing/>
        <w:jc w:val="both"/>
        <w:rPr>
          <w:rFonts w:ascii="Times New Roman" w:hAnsi="Times New Roman"/>
          <w:b/>
          <w:bCs/>
          <w:color w:val="1F24E6"/>
          <w:sz w:val="24"/>
          <w:szCs w:val="24"/>
        </w:rPr>
      </w:pPr>
    </w:p>
    <w:p w:rsidR="002810F4" w:rsidRPr="00F152D4" w:rsidRDefault="002810F4" w:rsidP="007B02E7">
      <w:pPr>
        <w:spacing w:before="100" w:beforeAutospacing="1" w:after="100" w:afterAutospacing="1"/>
        <w:contextualSpacing/>
        <w:jc w:val="both"/>
        <w:rPr>
          <w:rFonts w:ascii="Times New Roman" w:hAnsi="Times New Roman"/>
          <w:bCs/>
          <w:sz w:val="24"/>
          <w:szCs w:val="24"/>
        </w:rPr>
      </w:pPr>
      <w:r w:rsidRPr="00F152D4">
        <w:rPr>
          <w:rFonts w:ascii="Times New Roman" w:hAnsi="Times New Roman"/>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1371600" cy="914400"/>
            <wp:effectExtent l="0" t="0" r="0" b="0"/>
            <wp:wrapSquare wrapText="bothSides"/>
            <wp:docPr id="2" name="Picture 2" descr="A picture containing person, indoor, man, w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eglass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margin">
              <wp14:pctWidth>0</wp14:pctWidth>
            </wp14:sizeRelH>
            <wp14:sizeRelV relativeFrom="margin">
              <wp14:pctHeight>0</wp14:pctHeight>
            </wp14:sizeRelV>
          </wp:anchor>
        </w:drawing>
      </w:r>
      <w:r w:rsidRPr="00F152D4">
        <w:rPr>
          <w:rFonts w:ascii="Times New Roman" w:hAnsi="Times New Roman"/>
          <w:bCs/>
          <w:sz w:val="24"/>
          <w:szCs w:val="24"/>
        </w:rPr>
        <w:t xml:space="preserve">2018 marks the </w:t>
      </w:r>
      <w:r w:rsidR="00950201">
        <w:rPr>
          <w:rFonts w:ascii="Times New Roman" w:hAnsi="Times New Roman"/>
          <w:bCs/>
          <w:sz w:val="24"/>
          <w:szCs w:val="24"/>
        </w:rPr>
        <w:t>y</w:t>
      </w:r>
      <w:r w:rsidR="005606F3">
        <w:rPr>
          <w:rFonts w:ascii="Times New Roman" w:hAnsi="Times New Roman"/>
          <w:bCs/>
          <w:sz w:val="24"/>
          <w:szCs w:val="24"/>
        </w:rPr>
        <w:t>ear</w:t>
      </w:r>
      <w:r w:rsidRPr="00F152D4">
        <w:rPr>
          <w:rFonts w:ascii="Times New Roman" w:hAnsi="Times New Roman"/>
          <w:bCs/>
          <w:sz w:val="24"/>
          <w:szCs w:val="24"/>
        </w:rPr>
        <w:t xml:space="preserve"> of the dog</w:t>
      </w:r>
      <w:r w:rsidR="00F152D4" w:rsidRPr="00F152D4">
        <w:rPr>
          <w:rFonts w:ascii="Times New Roman" w:hAnsi="Times New Roman"/>
          <w:bCs/>
          <w:sz w:val="24"/>
          <w:szCs w:val="24"/>
        </w:rPr>
        <w:t xml:space="preserve"> in the Chinese Zodiac</w:t>
      </w:r>
      <w:r w:rsidRPr="00F152D4">
        <w:rPr>
          <w:rFonts w:ascii="Times New Roman" w:hAnsi="Times New Roman"/>
          <w:bCs/>
          <w:sz w:val="24"/>
          <w:szCs w:val="24"/>
        </w:rPr>
        <w:t xml:space="preserve">. This highlights the </w:t>
      </w:r>
      <w:r w:rsidR="00C223EE">
        <w:rPr>
          <w:rFonts w:ascii="Times New Roman" w:hAnsi="Times New Roman"/>
          <w:bCs/>
          <w:sz w:val="24"/>
          <w:szCs w:val="24"/>
        </w:rPr>
        <w:t xml:space="preserve">universal values of dialogue and solidarity. </w:t>
      </w:r>
      <w:r w:rsidR="00C733B1">
        <w:rPr>
          <w:rFonts w:ascii="Times New Roman" w:hAnsi="Times New Roman"/>
          <w:bCs/>
          <w:sz w:val="24"/>
          <w:szCs w:val="24"/>
        </w:rPr>
        <w:t xml:space="preserve">Selfishness, greed and ignorance are major sources of inequality on earth. The Year of the Dog implies </w:t>
      </w:r>
      <w:r w:rsidRPr="00F152D4">
        <w:rPr>
          <w:rFonts w:ascii="Times New Roman" w:hAnsi="Times New Roman"/>
          <w:bCs/>
          <w:sz w:val="24"/>
          <w:szCs w:val="24"/>
        </w:rPr>
        <w:t xml:space="preserve">expressing ideas and, importantly, listening to others. Let’s hope this year is a turning point in our national dialogue. </w:t>
      </w:r>
    </w:p>
    <w:p w:rsidR="00B06A7C" w:rsidRDefault="00B06A7C" w:rsidP="007B02E7">
      <w:pPr>
        <w:spacing w:before="100" w:beforeAutospacing="1" w:after="100" w:afterAutospacing="1"/>
        <w:contextualSpacing/>
        <w:jc w:val="both"/>
        <w:rPr>
          <w:rFonts w:ascii="Times New Roman" w:hAnsi="Times New Roman"/>
          <w:b/>
          <w:bCs/>
          <w:color w:val="1F24E6"/>
          <w:sz w:val="24"/>
          <w:szCs w:val="24"/>
        </w:rPr>
      </w:pPr>
    </w:p>
    <w:p w:rsidR="00355226" w:rsidRDefault="00C025F1" w:rsidP="007B02E7">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
          <w:bCs/>
          <w:color w:val="1F24E6"/>
          <w:sz w:val="24"/>
          <w:szCs w:val="24"/>
        </w:rPr>
        <w:t>401(k) Salary Deferral Limit Increases</w:t>
      </w:r>
    </w:p>
    <w:p w:rsidR="00C025F1" w:rsidRDefault="00C025F1" w:rsidP="007B02E7">
      <w:pPr>
        <w:spacing w:before="100" w:beforeAutospacing="1" w:after="100" w:afterAutospacing="1"/>
        <w:contextualSpacing/>
        <w:jc w:val="both"/>
        <w:rPr>
          <w:rFonts w:ascii="Times New Roman" w:hAnsi="Times New Roman"/>
          <w:b/>
          <w:bCs/>
          <w:color w:val="1F24E6"/>
          <w:sz w:val="24"/>
          <w:szCs w:val="24"/>
        </w:rPr>
      </w:pPr>
    </w:p>
    <w:p w:rsidR="00355226" w:rsidRDefault="00C025F1" w:rsidP="007B02E7">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Cs/>
          <w:sz w:val="24"/>
          <w:szCs w:val="24"/>
        </w:rPr>
        <w:t xml:space="preserve">The annual limit on 401(k) salary deferrals under IRC Section 402(g) increases by $500 this year. The basic limit is $18,500 while the limit </w:t>
      </w:r>
      <w:r w:rsidR="00DE54DF">
        <w:rPr>
          <w:rFonts w:ascii="Times New Roman" w:hAnsi="Times New Roman"/>
          <w:bCs/>
          <w:sz w:val="24"/>
          <w:szCs w:val="24"/>
        </w:rPr>
        <w:t xml:space="preserve">for those over age </w:t>
      </w:r>
      <w:r>
        <w:rPr>
          <w:rFonts w:ascii="Times New Roman" w:hAnsi="Times New Roman"/>
          <w:bCs/>
          <w:sz w:val="24"/>
          <w:szCs w:val="24"/>
        </w:rPr>
        <w:t>50 is $24,500. For semi-monthly payroll periods</w:t>
      </w:r>
      <w:r w:rsidR="00C733B1">
        <w:rPr>
          <w:rFonts w:ascii="Times New Roman" w:hAnsi="Times New Roman"/>
          <w:bCs/>
          <w:sz w:val="24"/>
          <w:szCs w:val="24"/>
        </w:rPr>
        <w:t xml:space="preserve">, </w:t>
      </w:r>
      <w:r>
        <w:rPr>
          <w:rFonts w:ascii="Times New Roman" w:hAnsi="Times New Roman"/>
          <w:bCs/>
          <w:sz w:val="24"/>
          <w:szCs w:val="24"/>
        </w:rPr>
        <w:t>the max</w:t>
      </w:r>
      <w:r w:rsidR="00C733B1">
        <w:rPr>
          <w:rFonts w:ascii="Times New Roman" w:hAnsi="Times New Roman"/>
          <w:bCs/>
          <w:sz w:val="24"/>
          <w:szCs w:val="24"/>
        </w:rPr>
        <w:t>. s</w:t>
      </w:r>
      <w:r>
        <w:rPr>
          <w:rFonts w:ascii="Times New Roman" w:hAnsi="Times New Roman"/>
          <w:bCs/>
          <w:sz w:val="24"/>
          <w:szCs w:val="24"/>
        </w:rPr>
        <w:t xml:space="preserve">alary deferral would be $770.83 </w:t>
      </w:r>
      <w:r w:rsidR="00DE54DF">
        <w:rPr>
          <w:rFonts w:ascii="Times New Roman" w:hAnsi="Times New Roman"/>
          <w:bCs/>
          <w:sz w:val="24"/>
          <w:szCs w:val="24"/>
        </w:rPr>
        <w:t>or</w:t>
      </w:r>
      <w:r w:rsidR="00C733B1">
        <w:rPr>
          <w:rFonts w:ascii="Times New Roman" w:hAnsi="Times New Roman"/>
          <w:bCs/>
          <w:sz w:val="24"/>
          <w:szCs w:val="24"/>
        </w:rPr>
        <w:t xml:space="preserve"> (above 50)</w:t>
      </w:r>
      <w:r w:rsidR="00DE54DF">
        <w:rPr>
          <w:rFonts w:ascii="Times New Roman" w:hAnsi="Times New Roman"/>
          <w:bCs/>
          <w:sz w:val="24"/>
          <w:szCs w:val="24"/>
        </w:rPr>
        <w:t xml:space="preserve"> $</w:t>
      </w:r>
      <w:r>
        <w:rPr>
          <w:rFonts w:ascii="Times New Roman" w:hAnsi="Times New Roman"/>
          <w:bCs/>
          <w:sz w:val="24"/>
          <w:szCs w:val="24"/>
        </w:rPr>
        <w:t>1</w:t>
      </w:r>
      <w:r w:rsidR="00DE54DF">
        <w:rPr>
          <w:rFonts w:ascii="Times New Roman" w:hAnsi="Times New Roman"/>
          <w:bCs/>
          <w:sz w:val="24"/>
          <w:szCs w:val="24"/>
        </w:rPr>
        <w:t>,</w:t>
      </w:r>
      <w:r>
        <w:rPr>
          <w:rFonts w:ascii="Times New Roman" w:hAnsi="Times New Roman"/>
          <w:bCs/>
          <w:sz w:val="24"/>
          <w:szCs w:val="24"/>
        </w:rPr>
        <w:t>020.83 per pay</w:t>
      </w:r>
      <w:r w:rsidR="00DE54DF">
        <w:rPr>
          <w:rFonts w:ascii="Times New Roman" w:hAnsi="Times New Roman"/>
          <w:bCs/>
          <w:sz w:val="24"/>
          <w:szCs w:val="24"/>
        </w:rPr>
        <w:t xml:space="preserve">day. </w:t>
      </w:r>
    </w:p>
    <w:p w:rsidR="00355226" w:rsidRDefault="00355226" w:rsidP="007B02E7">
      <w:pPr>
        <w:spacing w:before="100" w:beforeAutospacing="1" w:after="100" w:afterAutospacing="1"/>
        <w:contextualSpacing/>
        <w:jc w:val="both"/>
        <w:rPr>
          <w:rFonts w:ascii="Times New Roman" w:hAnsi="Times New Roman"/>
          <w:b/>
          <w:bCs/>
          <w:color w:val="1F24E6"/>
          <w:sz w:val="24"/>
          <w:szCs w:val="24"/>
        </w:rPr>
      </w:pPr>
    </w:p>
    <w:p w:rsidR="006D7A90" w:rsidRDefault="006D7A90" w:rsidP="007B02E7">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
          <w:bCs/>
          <w:color w:val="1F24E6"/>
          <w:sz w:val="24"/>
          <w:szCs w:val="24"/>
        </w:rPr>
        <w:t>The Tax Cuts and Jobs Act of 2017</w:t>
      </w:r>
    </w:p>
    <w:p w:rsidR="006D7A90" w:rsidRDefault="006D7A90" w:rsidP="007B02E7">
      <w:pPr>
        <w:spacing w:before="100" w:beforeAutospacing="1" w:after="100" w:afterAutospacing="1"/>
        <w:contextualSpacing/>
        <w:jc w:val="both"/>
        <w:rPr>
          <w:rFonts w:ascii="Times New Roman" w:hAnsi="Times New Roman"/>
          <w:b/>
          <w:bCs/>
          <w:color w:val="1F24E6"/>
          <w:sz w:val="24"/>
          <w:szCs w:val="24"/>
        </w:rPr>
      </w:pPr>
    </w:p>
    <w:p w:rsidR="006D7A90" w:rsidRPr="006D7A90" w:rsidRDefault="006D7A90" w:rsidP="007B02E7">
      <w:pPr>
        <w:spacing w:before="100" w:beforeAutospacing="1" w:after="100" w:afterAutospacing="1"/>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Congress recently passed legislation lower</w:t>
      </w:r>
      <w:r w:rsidR="00DE54DF">
        <w:rPr>
          <w:rFonts w:ascii="Times New Roman" w:hAnsi="Times New Roman"/>
          <w:bCs/>
          <w:color w:val="000000" w:themeColor="text1"/>
          <w:sz w:val="24"/>
          <w:szCs w:val="24"/>
        </w:rPr>
        <w:t xml:space="preserve">ing </w:t>
      </w:r>
      <w:r>
        <w:rPr>
          <w:rFonts w:ascii="Times New Roman" w:hAnsi="Times New Roman"/>
          <w:bCs/>
          <w:color w:val="000000" w:themeColor="text1"/>
          <w:sz w:val="24"/>
          <w:szCs w:val="24"/>
        </w:rPr>
        <w:t>the top corporate income tax rate to 21% and provid</w:t>
      </w:r>
      <w:r w:rsidR="00DE54DF">
        <w:rPr>
          <w:rFonts w:ascii="Times New Roman" w:hAnsi="Times New Roman"/>
          <w:bCs/>
          <w:color w:val="000000" w:themeColor="text1"/>
          <w:sz w:val="24"/>
          <w:szCs w:val="24"/>
        </w:rPr>
        <w:t xml:space="preserve">ing a </w:t>
      </w:r>
      <w:r>
        <w:rPr>
          <w:rFonts w:ascii="Times New Roman" w:hAnsi="Times New Roman"/>
          <w:bCs/>
          <w:color w:val="000000" w:themeColor="text1"/>
          <w:sz w:val="24"/>
          <w:szCs w:val="24"/>
        </w:rPr>
        <w:t>20% deduction for businesses structured as pass</w:t>
      </w:r>
      <w:r w:rsidR="00DE54DF">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through entities. The estate tax exemption </w:t>
      </w:r>
      <w:r w:rsidR="00DE54DF">
        <w:rPr>
          <w:rFonts w:ascii="Times New Roman" w:hAnsi="Times New Roman"/>
          <w:bCs/>
          <w:color w:val="000000" w:themeColor="text1"/>
          <w:sz w:val="24"/>
          <w:szCs w:val="24"/>
        </w:rPr>
        <w:t>is</w:t>
      </w:r>
      <w:r>
        <w:rPr>
          <w:rFonts w:ascii="Times New Roman" w:hAnsi="Times New Roman"/>
          <w:bCs/>
          <w:color w:val="000000" w:themeColor="text1"/>
          <w:sz w:val="24"/>
          <w:szCs w:val="24"/>
        </w:rPr>
        <w:t xml:space="preserve"> doubled</w:t>
      </w:r>
      <w:r w:rsidR="00C733B1">
        <w:rPr>
          <w:rFonts w:ascii="Times New Roman" w:hAnsi="Times New Roman"/>
          <w:bCs/>
          <w:color w:val="000000" w:themeColor="text1"/>
          <w:sz w:val="24"/>
          <w:szCs w:val="24"/>
        </w:rPr>
        <w:t xml:space="preserve"> effectively eliminating estate taxes on estates under $20 million. </w:t>
      </w:r>
      <w:r>
        <w:rPr>
          <w:rFonts w:ascii="Times New Roman" w:hAnsi="Times New Roman"/>
          <w:bCs/>
          <w:color w:val="000000" w:themeColor="text1"/>
          <w:sz w:val="24"/>
          <w:szCs w:val="24"/>
        </w:rPr>
        <w:t xml:space="preserve"> Retirement plan</w:t>
      </w:r>
      <w:r w:rsidR="00C733B1">
        <w:rPr>
          <w:rFonts w:ascii="Times New Roman" w:hAnsi="Times New Roman"/>
          <w:bCs/>
          <w:color w:val="000000" w:themeColor="text1"/>
          <w:sz w:val="24"/>
          <w:szCs w:val="24"/>
        </w:rPr>
        <w:t xml:space="preserve"> rules were not changed. </w:t>
      </w:r>
      <w:r>
        <w:rPr>
          <w:rFonts w:ascii="Times New Roman" w:hAnsi="Times New Roman"/>
          <w:bCs/>
          <w:color w:val="000000" w:themeColor="text1"/>
          <w:sz w:val="24"/>
          <w:szCs w:val="24"/>
        </w:rPr>
        <w:t>I’m doing a six</w:t>
      </w:r>
      <w:r w:rsidR="00DE54DF">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hour course </w:t>
      </w:r>
      <w:r w:rsidR="00DE54DF">
        <w:rPr>
          <w:rFonts w:ascii="Times New Roman" w:hAnsi="Times New Roman"/>
          <w:bCs/>
          <w:color w:val="000000" w:themeColor="text1"/>
          <w:sz w:val="24"/>
          <w:szCs w:val="24"/>
        </w:rPr>
        <w:t xml:space="preserve">on the tax bill </w:t>
      </w:r>
      <w:r>
        <w:rPr>
          <w:rFonts w:ascii="Times New Roman" w:hAnsi="Times New Roman"/>
          <w:bCs/>
          <w:color w:val="000000" w:themeColor="text1"/>
          <w:sz w:val="24"/>
          <w:szCs w:val="24"/>
        </w:rPr>
        <w:t xml:space="preserve">next week and will be writing a special edition of </w:t>
      </w:r>
      <w:r w:rsidRPr="00DE54DF">
        <w:rPr>
          <w:rFonts w:ascii="Times New Roman" w:hAnsi="Times New Roman"/>
          <w:bCs/>
          <w:color w:val="000000" w:themeColor="text1"/>
          <w:sz w:val="24"/>
          <w:szCs w:val="24"/>
          <w:u w:val="single"/>
        </w:rPr>
        <w:t>Capstone Perspective</w:t>
      </w:r>
      <w:r w:rsidRPr="00DE54DF">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reviewing details of the items in the tax bill I consider most important to my clients</w:t>
      </w:r>
      <w:r w:rsidR="00550743">
        <w:rPr>
          <w:rFonts w:ascii="Times New Roman" w:hAnsi="Times New Roman"/>
          <w:bCs/>
          <w:color w:val="000000" w:themeColor="text1"/>
          <w:sz w:val="24"/>
          <w:szCs w:val="24"/>
        </w:rPr>
        <w:t xml:space="preserve">, their businesses and their families. </w:t>
      </w:r>
      <w:r>
        <w:rPr>
          <w:rFonts w:ascii="Times New Roman" w:hAnsi="Times New Roman"/>
          <w:bCs/>
          <w:color w:val="000000" w:themeColor="text1"/>
          <w:sz w:val="24"/>
          <w:szCs w:val="24"/>
        </w:rPr>
        <w:t xml:space="preserve">  </w:t>
      </w:r>
    </w:p>
    <w:p w:rsidR="006D7A90" w:rsidRDefault="006D7A90" w:rsidP="007B02E7">
      <w:pPr>
        <w:spacing w:before="100" w:beforeAutospacing="1" w:after="100" w:afterAutospacing="1"/>
        <w:contextualSpacing/>
        <w:jc w:val="both"/>
        <w:rPr>
          <w:rFonts w:ascii="Times New Roman" w:hAnsi="Times New Roman"/>
          <w:b/>
          <w:bCs/>
          <w:color w:val="1F24E6"/>
          <w:sz w:val="24"/>
          <w:szCs w:val="24"/>
        </w:rPr>
      </w:pPr>
    </w:p>
    <w:p w:rsidR="00B6752B" w:rsidRDefault="002810F4" w:rsidP="007B02E7">
      <w:pPr>
        <w:spacing w:before="100" w:beforeAutospacing="1" w:after="100" w:afterAutospacing="1"/>
        <w:contextualSpacing/>
        <w:jc w:val="both"/>
        <w:rPr>
          <w:rFonts w:ascii="Times New Roman" w:hAnsi="Times New Roman"/>
          <w:b/>
          <w:bCs/>
          <w:color w:val="1F24E6"/>
          <w:sz w:val="24"/>
          <w:szCs w:val="24"/>
        </w:rPr>
      </w:pPr>
      <w:r>
        <w:rPr>
          <w:rFonts w:ascii="Times New Roman" w:hAnsi="Times New Roman"/>
          <w:b/>
          <w:bCs/>
          <w:color w:val="1F24E6"/>
          <w:sz w:val="24"/>
          <w:szCs w:val="24"/>
        </w:rPr>
        <w:t>R</w:t>
      </w:r>
      <w:r w:rsidR="00B6752B">
        <w:rPr>
          <w:rFonts w:ascii="Times New Roman" w:hAnsi="Times New Roman"/>
          <w:b/>
          <w:bCs/>
          <w:color w:val="1F24E6"/>
          <w:sz w:val="24"/>
          <w:szCs w:val="24"/>
        </w:rPr>
        <w:t>oth IRA Accounts for All Americans</w:t>
      </w:r>
    </w:p>
    <w:p w:rsidR="00272105" w:rsidRDefault="00272105" w:rsidP="007B02E7">
      <w:pPr>
        <w:spacing w:before="100" w:beforeAutospacing="1" w:after="100" w:afterAutospacing="1"/>
        <w:contextualSpacing/>
        <w:jc w:val="both"/>
        <w:rPr>
          <w:rFonts w:ascii="Times New Roman" w:hAnsi="Times New Roman"/>
          <w:b/>
          <w:bCs/>
          <w:color w:val="1F24E6"/>
          <w:sz w:val="24"/>
          <w:szCs w:val="24"/>
        </w:rPr>
      </w:pPr>
    </w:p>
    <w:p w:rsidR="00B6752B" w:rsidRDefault="00950201" w:rsidP="00B6752B">
      <w:pPr>
        <w:contextualSpacing/>
        <w:jc w:val="both"/>
        <w:rPr>
          <w:rFonts w:ascii="Times New Roman" w:hAnsi="Times New Roman"/>
          <w:sz w:val="24"/>
          <w:szCs w:val="24"/>
        </w:rPr>
      </w:pPr>
      <w:r>
        <w:rPr>
          <w:rFonts w:ascii="Times New Roman" w:hAnsi="Times New Roman"/>
          <w:sz w:val="24"/>
          <w:szCs w:val="24"/>
        </w:rPr>
        <w:t xml:space="preserve">A </w:t>
      </w:r>
      <w:r w:rsidR="00B6752B" w:rsidRPr="00F152D4">
        <w:rPr>
          <w:rFonts w:ascii="Times New Roman" w:hAnsi="Times New Roman"/>
          <w:sz w:val="24"/>
          <w:szCs w:val="24"/>
        </w:rPr>
        <w:t xml:space="preserve">Roth IRA </w:t>
      </w:r>
      <w:r>
        <w:rPr>
          <w:rFonts w:ascii="Times New Roman" w:hAnsi="Times New Roman"/>
          <w:sz w:val="24"/>
          <w:szCs w:val="24"/>
        </w:rPr>
        <w:t xml:space="preserve">is the </w:t>
      </w:r>
      <w:r w:rsidR="00C733B1">
        <w:rPr>
          <w:rFonts w:ascii="Times New Roman" w:hAnsi="Times New Roman"/>
          <w:sz w:val="24"/>
          <w:szCs w:val="24"/>
        </w:rPr>
        <w:t>swiss army kni</w:t>
      </w:r>
      <w:r>
        <w:rPr>
          <w:rFonts w:ascii="Times New Roman" w:hAnsi="Times New Roman"/>
          <w:sz w:val="24"/>
          <w:szCs w:val="24"/>
        </w:rPr>
        <w:t xml:space="preserve">fe </w:t>
      </w:r>
      <w:r w:rsidR="00C733B1">
        <w:rPr>
          <w:rFonts w:ascii="Times New Roman" w:hAnsi="Times New Roman"/>
          <w:sz w:val="24"/>
          <w:szCs w:val="24"/>
        </w:rPr>
        <w:t>of financial planning. The</w:t>
      </w:r>
      <w:r>
        <w:rPr>
          <w:rFonts w:ascii="Times New Roman" w:hAnsi="Times New Roman"/>
          <w:sz w:val="24"/>
          <w:szCs w:val="24"/>
        </w:rPr>
        <w:t xml:space="preserve">se accounts: </w:t>
      </w:r>
      <w:r w:rsidR="00C733B1">
        <w:rPr>
          <w:rFonts w:ascii="Times New Roman" w:hAnsi="Times New Roman"/>
          <w:sz w:val="24"/>
          <w:szCs w:val="24"/>
        </w:rPr>
        <w:t xml:space="preserve">1) </w:t>
      </w:r>
      <w:r w:rsidR="00B6752B" w:rsidRPr="00F152D4">
        <w:rPr>
          <w:rFonts w:ascii="Times New Roman" w:hAnsi="Times New Roman"/>
          <w:sz w:val="24"/>
          <w:szCs w:val="24"/>
        </w:rPr>
        <w:t xml:space="preserve">allow a person to completely </w:t>
      </w:r>
      <w:r w:rsidR="00B6752B" w:rsidRPr="00C733B1">
        <w:rPr>
          <w:rFonts w:ascii="Times New Roman" w:hAnsi="Times New Roman"/>
          <w:sz w:val="24"/>
          <w:szCs w:val="24"/>
          <w:u w:val="single"/>
        </w:rPr>
        <w:t>avoid</w:t>
      </w:r>
      <w:r w:rsidR="00B6752B" w:rsidRPr="00F152D4">
        <w:rPr>
          <w:rFonts w:ascii="Times New Roman" w:hAnsi="Times New Roman"/>
          <w:sz w:val="24"/>
          <w:szCs w:val="24"/>
        </w:rPr>
        <w:t xml:space="preserve"> income taxes on earnings and capital gains</w:t>
      </w:r>
      <w:r w:rsidR="00C733B1">
        <w:rPr>
          <w:rFonts w:ascii="Times New Roman" w:hAnsi="Times New Roman"/>
          <w:sz w:val="24"/>
          <w:szCs w:val="24"/>
        </w:rPr>
        <w:t xml:space="preserve">, 2) </w:t>
      </w:r>
      <w:r w:rsidR="00B6752B" w:rsidRPr="00F152D4">
        <w:rPr>
          <w:rFonts w:ascii="Times New Roman" w:hAnsi="Times New Roman"/>
          <w:sz w:val="24"/>
          <w:szCs w:val="24"/>
        </w:rPr>
        <w:t>avoid required minimum distributions</w:t>
      </w:r>
      <w:r w:rsidR="00C733B1">
        <w:rPr>
          <w:rFonts w:ascii="Times New Roman" w:hAnsi="Times New Roman"/>
          <w:sz w:val="24"/>
          <w:szCs w:val="24"/>
        </w:rPr>
        <w:t xml:space="preserve">, 3) provide an alternative, </w:t>
      </w:r>
      <w:r w:rsidR="00B6752B" w:rsidRPr="00F152D4">
        <w:rPr>
          <w:rFonts w:ascii="Times New Roman" w:hAnsi="Times New Roman"/>
          <w:sz w:val="24"/>
          <w:szCs w:val="24"/>
        </w:rPr>
        <w:t>tax-free</w:t>
      </w:r>
      <w:r w:rsidR="00C733B1">
        <w:rPr>
          <w:rFonts w:ascii="Times New Roman" w:hAnsi="Times New Roman"/>
          <w:sz w:val="24"/>
          <w:szCs w:val="24"/>
        </w:rPr>
        <w:t xml:space="preserve"> source of retirement income and, 4) are a great vehicle to leave tax-free assets to offspring. </w:t>
      </w:r>
      <w:r w:rsidR="00B6752B" w:rsidRPr="00F152D4">
        <w:rPr>
          <w:rFonts w:ascii="Times New Roman" w:hAnsi="Times New Roman"/>
          <w:sz w:val="24"/>
          <w:szCs w:val="24"/>
        </w:rPr>
        <w:t xml:space="preserve">I think </w:t>
      </w:r>
      <w:r w:rsidR="00C733B1">
        <w:rPr>
          <w:rFonts w:ascii="Times New Roman" w:hAnsi="Times New Roman"/>
          <w:sz w:val="24"/>
          <w:szCs w:val="24"/>
        </w:rPr>
        <w:t xml:space="preserve">nearly </w:t>
      </w:r>
      <w:r w:rsidR="00B6752B" w:rsidRPr="00F152D4">
        <w:rPr>
          <w:rFonts w:ascii="Times New Roman" w:hAnsi="Times New Roman"/>
          <w:sz w:val="24"/>
          <w:szCs w:val="24"/>
        </w:rPr>
        <w:t>every American should have one!</w:t>
      </w:r>
    </w:p>
    <w:p w:rsidR="00C733B1" w:rsidRPr="00F152D4" w:rsidRDefault="00C733B1" w:rsidP="00B6752B">
      <w:pPr>
        <w:contextualSpacing/>
        <w:jc w:val="both"/>
        <w:rPr>
          <w:rFonts w:ascii="Times New Roman" w:hAnsi="Times New Roman"/>
          <w:sz w:val="24"/>
          <w:szCs w:val="24"/>
        </w:rPr>
      </w:pPr>
    </w:p>
    <w:p w:rsidR="00487F51" w:rsidRDefault="00B6752B" w:rsidP="00B6752B">
      <w:pPr>
        <w:contextualSpacing/>
        <w:jc w:val="both"/>
        <w:rPr>
          <w:rFonts w:ascii="Times New Roman" w:hAnsi="Times New Roman"/>
          <w:sz w:val="24"/>
          <w:szCs w:val="24"/>
        </w:rPr>
      </w:pPr>
      <w:r w:rsidRPr="00F152D4">
        <w:rPr>
          <w:rFonts w:ascii="Times New Roman" w:hAnsi="Times New Roman"/>
          <w:sz w:val="24"/>
          <w:szCs w:val="24"/>
        </w:rPr>
        <w:t xml:space="preserve">Unfortunately, single Americans who earn more than $135,000 </w:t>
      </w:r>
      <w:r w:rsidR="00C733B1">
        <w:rPr>
          <w:rFonts w:ascii="Times New Roman" w:hAnsi="Times New Roman"/>
          <w:sz w:val="24"/>
          <w:szCs w:val="24"/>
        </w:rPr>
        <w:t>($199</w:t>
      </w:r>
      <w:r w:rsidR="00541C2C">
        <w:rPr>
          <w:rFonts w:ascii="Times New Roman" w:hAnsi="Times New Roman"/>
          <w:sz w:val="24"/>
          <w:szCs w:val="24"/>
        </w:rPr>
        <w:t>,</w:t>
      </w:r>
      <w:r w:rsidR="00C733B1">
        <w:rPr>
          <w:rFonts w:ascii="Times New Roman" w:hAnsi="Times New Roman"/>
          <w:sz w:val="24"/>
          <w:szCs w:val="24"/>
        </w:rPr>
        <w:t xml:space="preserve">000 for couples) </w:t>
      </w:r>
      <w:r w:rsidRPr="00F152D4">
        <w:rPr>
          <w:rFonts w:ascii="Times New Roman" w:hAnsi="Times New Roman"/>
          <w:sz w:val="24"/>
          <w:szCs w:val="24"/>
        </w:rPr>
        <w:t xml:space="preserve">are banned from </w:t>
      </w:r>
      <w:r w:rsidR="00C733B1">
        <w:rPr>
          <w:rFonts w:ascii="Times New Roman" w:hAnsi="Times New Roman"/>
          <w:sz w:val="24"/>
          <w:szCs w:val="24"/>
        </w:rPr>
        <w:t xml:space="preserve">directly contributing </w:t>
      </w:r>
      <w:r w:rsidR="00541C2C">
        <w:rPr>
          <w:rFonts w:ascii="Times New Roman" w:hAnsi="Times New Roman"/>
          <w:sz w:val="24"/>
          <w:szCs w:val="24"/>
        </w:rPr>
        <w:t xml:space="preserve">to a </w:t>
      </w:r>
      <w:r w:rsidRPr="00F152D4">
        <w:rPr>
          <w:rFonts w:ascii="Times New Roman" w:hAnsi="Times New Roman"/>
          <w:sz w:val="24"/>
          <w:szCs w:val="24"/>
        </w:rPr>
        <w:t xml:space="preserve">Roth IRA. </w:t>
      </w:r>
      <w:r w:rsidR="001C7B1A">
        <w:rPr>
          <w:rFonts w:ascii="Times New Roman" w:hAnsi="Times New Roman"/>
          <w:sz w:val="24"/>
          <w:szCs w:val="24"/>
        </w:rPr>
        <w:t xml:space="preserve">However, anyone can convert a traditional IRA to a Roth. </w:t>
      </w:r>
      <w:r w:rsidR="00311810">
        <w:rPr>
          <w:rFonts w:ascii="Times New Roman" w:hAnsi="Times New Roman"/>
          <w:sz w:val="24"/>
          <w:szCs w:val="24"/>
        </w:rPr>
        <w:t>So, f</w:t>
      </w:r>
      <w:r w:rsidRPr="00F152D4">
        <w:rPr>
          <w:rFonts w:ascii="Times New Roman" w:hAnsi="Times New Roman"/>
          <w:sz w:val="24"/>
          <w:szCs w:val="24"/>
        </w:rPr>
        <w:t xml:space="preserve">or those with higher income, it’s just a two-step process: 1) contribute to a traditional IRA and 2) convert the traditional IRA to a Roth IRA. </w:t>
      </w:r>
      <w:r w:rsidR="001C7B1A">
        <w:rPr>
          <w:rFonts w:ascii="Times New Roman" w:hAnsi="Times New Roman"/>
          <w:sz w:val="24"/>
          <w:szCs w:val="24"/>
        </w:rPr>
        <w:t xml:space="preserve">This is a taxable transaction but there </w:t>
      </w:r>
      <w:r w:rsidR="00487F51">
        <w:rPr>
          <w:rFonts w:ascii="Times New Roman" w:hAnsi="Times New Roman"/>
          <w:sz w:val="24"/>
          <w:szCs w:val="24"/>
        </w:rPr>
        <w:t xml:space="preserve">would only be tax on any gains while the money is in the traditional plan. </w:t>
      </w:r>
    </w:p>
    <w:p w:rsidR="00B6752B" w:rsidRPr="00F152D4" w:rsidRDefault="006D7A90" w:rsidP="00B6752B">
      <w:pPr>
        <w:contextualSpacing/>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1189990" cy="989965"/>
            <wp:effectExtent l="0" t="0" r="0" b="635"/>
            <wp:wrapSquare wrapText="bothSides"/>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A-vs-ROTH-IRA.jpg"/>
                    <pic:cNvPicPr/>
                  </pic:nvPicPr>
                  <pic:blipFill>
                    <a:blip r:embed="rId8">
                      <a:extLst>
                        <a:ext uri="{28A0092B-C50C-407E-A947-70E740481C1C}">
                          <a14:useLocalDpi xmlns:a14="http://schemas.microsoft.com/office/drawing/2010/main" val="0"/>
                        </a:ext>
                      </a:extLst>
                    </a:blip>
                    <a:stretch>
                      <a:fillRect/>
                    </a:stretch>
                  </pic:blipFill>
                  <pic:spPr>
                    <a:xfrm>
                      <a:off x="0" y="0"/>
                      <a:ext cx="1189990" cy="989965"/>
                    </a:xfrm>
                    <a:prstGeom prst="rect">
                      <a:avLst/>
                    </a:prstGeom>
                  </pic:spPr>
                </pic:pic>
              </a:graphicData>
            </a:graphic>
            <wp14:sizeRelH relativeFrom="margin">
              <wp14:pctWidth>0</wp14:pctWidth>
            </wp14:sizeRelH>
            <wp14:sizeRelV relativeFrom="margin">
              <wp14:pctHeight>0</wp14:pctHeight>
            </wp14:sizeRelV>
          </wp:anchor>
        </w:drawing>
      </w:r>
      <w:r w:rsidR="00311810">
        <w:rPr>
          <w:rFonts w:ascii="Times New Roman" w:hAnsi="Times New Roman"/>
          <w:sz w:val="24"/>
          <w:szCs w:val="24"/>
        </w:rPr>
        <w:t xml:space="preserve">Many people mistakenly believe </w:t>
      </w:r>
      <w:r w:rsidR="00950201">
        <w:rPr>
          <w:rFonts w:ascii="Times New Roman" w:hAnsi="Times New Roman"/>
          <w:sz w:val="24"/>
          <w:szCs w:val="24"/>
        </w:rPr>
        <w:t xml:space="preserve">they </w:t>
      </w:r>
      <w:r w:rsidR="00B6752B" w:rsidRPr="00F152D4">
        <w:rPr>
          <w:rFonts w:ascii="Times New Roman" w:hAnsi="Times New Roman"/>
          <w:sz w:val="24"/>
          <w:szCs w:val="24"/>
        </w:rPr>
        <w:t>cannot contribute to an IRA if they have a 401(k)</w:t>
      </w:r>
      <w:r w:rsidR="00311810">
        <w:rPr>
          <w:rFonts w:ascii="Times New Roman" w:hAnsi="Times New Roman"/>
          <w:sz w:val="24"/>
          <w:szCs w:val="24"/>
        </w:rPr>
        <w:t xml:space="preserve">. </w:t>
      </w:r>
      <w:r w:rsidR="00B6752B" w:rsidRPr="00F152D4">
        <w:rPr>
          <w:rFonts w:ascii="Times New Roman" w:hAnsi="Times New Roman"/>
          <w:sz w:val="24"/>
          <w:szCs w:val="24"/>
        </w:rPr>
        <w:t>The truth is ALL AMERICANS with earned income can make IRA contributions, regardless of participation in an employer plan</w:t>
      </w:r>
      <w:r>
        <w:rPr>
          <w:rFonts w:ascii="Times New Roman" w:hAnsi="Times New Roman"/>
          <w:sz w:val="24"/>
          <w:szCs w:val="24"/>
        </w:rPr>
        <w:t xml:space="preserve"> and regardless of how much they make. </w:t>
      </w:r>
      <w:r w:rsidR="00B6752B" w:rsidRPr="00F152D4">
        <w:rPr>
          <w:rFonts w:ascii="Times New Roman" w:hAnsi="Times New Roman"/>
          <w:sz w:val="24"/>
          <w:szCs w:val="24"/>
        </w:rPr>
        <w:t xml:space="preserve">It is just that the </w:t>
      </w:r>
      <w:r w:rsidR="00487F51">
        <w:rPr>
          <w:rFonts w:ascii="Times New Roman" w:hAnsi="Times New Roman"/>
          <w:sz w:val="24"/>
          <w:szCs w:val="24"/>
        </w:rPr>
        <w:t xml:space="preserve">income </w:t>
      </w:r>
      <w:r w:rsidR="00B6752B" w:rsidRPr="00F152D4">
        <w:rPr>
          <w:rFonts w:ascii="Times New Roman" w:hAnsi="Times New Roman"/>
          <w:sz w:val="24"/>
          <w:szCs w:val="24"/>
        </w:rPr>
        <w:t xml:space="preserve">tax deduction for contributions to IRA accounts is not available for higher income Americans </w:t>
      </w:r>
      <w:r w:rsidR="00550743">
        <w:rPr>
          <w:rFonts w:ascii="Times New Roman" w:hAnsi="Times New Roman"/>
          <w:sz w:val="24"/>
          <w:szCs w:val="24"/>
        </w:rPr>
        <w:t>who</w:t>
      </w:r>
      <w:r w:rsidR="00B6752B" w:rsidRPr="00F152D4">
        <w:rPr>
          <w:rFonts w:ascii="Times New Roman" w:hAnsi="Times New Roman"/>
          <w:sz w:val="24"/>
          <w:szCs w:val="24"/>
        </w:rPr>
        <w:t xml:space="preserve"> also participate in </w:t>
      </w:r>
      <w:r w:rsidR="00311810">
        <w:rPr>
          <w:rFonts w:ascii="Times New Roman" w:hAnsi="Times New Roman"/>
          <w:sz w:val="24"/>
          <w:szCs w:val="24"/>
        </w:rPr>
        <w:t xml:space="preserve">a </w:t>
      </w:r>
      <w:r w:rsidR="00B6752B" w:rsidRPr="00F152D4">
        <w:rPr>
          <w:rFonts w:ascii="Times New Roman" w:hAnsi="Times New Roman"/>
          <w:sz w:val="24"/>
          <w:szCs w:val="24"/>
        </w:rPr>
        <w:t xml:space="preserve">company plan. </w:t>
      </w:r>
      <w:r w:rsidR="00311810">
        <w:rPr>
          <w:rFonts w:ascii="Times New Roman" w:hAnsi="Times New Roman"/>
          <w:sz w:val="24"/>
          <w:szCs w:val="24"/>
        </w:rPr>
        <w:t xml:space="preserve">Building Roth balances does not involve up-front deductions anyway. You can make 2017 IRA contributions until April 15, 2018. We handle direct and “conversion” setups for many clients. </w:t>
      </w:r>
      <w:r w:rsidR="00B6752B" w:rsidRPr="00F152D4">
        <w:rPr>
          <w:rFonts w:ascii="Times New Roman" w:hAnsi="Times New Roman"/>
          <w:sz w:val="24"/>
          <w:szCs w:val="24"/>
        </w:rPr>
        <w:t>Please call or e-mail me if you are interested in</w:t>
      </w:r>
      <w:r w:rsidR="00311810">
        <w:rPr>
          <w:rFonts w:ascii="Times New Roman" w:hAnsi="Times New Roman"/>
          <w:sz w:val="24"/>
          <w:szCs w:val="24"/>
        </w:rPr>
        <w:t>, or have questions about</w:t>
      </w:r>
      <w:r w:rsidR="00B6752B" w:rsidRPr="00F152D4">
        <w:rPr>
          <w:rFonts w:ascii="Times New Roman" w:hAnsi="Times New Roman"/>
          <w:sz w:val="24"/>
          <w:szCs w:val="24"/>
        </w:rPr>
        <w:t xml:space="preserve"> </w:t>
      </w:r>
      <w:r w:rsidR="00311810">
        <w:rPr>
          <w:rFonts w:ascii="Times New Roman" w:hAnsi="Times New Roman"/>
          <w:sz w:val="24"/>
          <w:szCs w:val="24"/>
        </w:rPr>
        <w:t xml:space="preserve">how All Americans can join the </w:t>
      </w:r>
      <w:r w:rsidR="00B6752B" w:rsidRPr="00F152D4">
        <w:rPr>
          <w:rFonts w:ascii="Times New Roman" w:hAnsi="Times New Roman"/>
          <w:sz w:val="24"/>
          <w:szCs w:val="24"/>
        </w:rPr>
        <w:t>ROTH IRA</w:t>
      </w:r>
      <w:r w:rsidR="00311810">
        <w:rPr>
          <w:rFonts w:ascii="Times New Roman" w:hAnsi="Times New Roman"/>
          <w:sz w:val="24"/>
          <w:szCs w:val="24"/>
        </w:rPr>
        <w:t xml:space="preserve"> party</w:t>
      </w:r>
      <w:r w:rsidR="00B6752B" w:rsidRPr="00F152D4">
        <w:rPr>
          <w:rFonts w:ascii="Times New Roman" w:hAnsi="Times New Roman"/>
          <w:sz w:val="24"/>
          <w:szCs w:val="24"/>
        </w:rPr>
        <w:t xml:space="preserve">. </w:t>
      </w:r>
    </w:p>
    <w:p w:rsidR="002810F4" w:rsidRDefault="002810F4" w:rsidP="002810F4">
      <w:pPr>
        <w:spacing w:before="100" w:beforeAutospacing="1" w:after="100" w:afterAutospacing="1"/>
        <w:jc w:val="both"/>
        <w:rPr>
          <w:rFonts w:ascii="Times New Roman" w:hAnsi="Times New Roman"/>
          <w:b/>
          <w:bCs/>
          <w:color w:val="1F24E6"/>
          <w:sz w:val="24"/>
          <w:szCs w:val="24"/>
        </w:rPr>
      </w:pPr>
      <w:r>
        <w:rPr>
          <w:rFonts w:ascii="Times New Roman" w:hAnsi="Times New Roman"/>
          <w:b/>
          <w:bCs/>
          <w:color w:val="1F24E6"/>
          <w:sz w:val="24"/>
          <w:szCs w:val="24"/>
        </w:rPr>
        <w:t xml:space="preserve">401(k) Balances are up </w:t>
      </w:r>
      <w:r w:rsidR="000D7784">
        <w:rPr>
          <w:rFonts w:ascii="Times New Roman" w:hAnsi="Times New Roman"/>
          <w:b/>
          <w:bCs/>
          <w:color w:val="1F24E6"/>
          <w:sz w:val="24"/>
          <w:szCs w:val="24"/>
        </w:rPr>
        <w:t>Significantly</w:t>
      </w:r>
    </w:p>
    <w:p w:rsidR="002810F4" w:rsidRPr="002810F4" w:rsidRDefault="002810F4" w:rsidP="002810F4">
      <w:pPr>
        <w:spacing w:before="100" w:beforeAutospacing="1" w:after="100" w:afterAutospacing="1"/>
        <w:jc w:val="both"/>
        <w:rPr>
          <w:rFonts w:ascii="Times New Roman" w:hAnsi="Times New Roman"/>
          <w:bCs/>
          <w:sz w:val="24"/>
          <w:szCs w:val="24"/>
        </w:rPr>
      </w:pPr>
      <w:r>
        <w:rPr>
          <w:rFonts w:ascii="Times New Roman" w:hAnsi="Times New Roman"/>
          <w:bCs/>
          <w:sz w:val="24"/>
          <w:szCs w:val="24"/>
        </w:rPr>
        <w:t>Fidelity reports annually on the average account balances for 401(k) plan participants nationally. As you would expect, balances are up across the board</w:t>
      </w:r>
      <w:r w:rsidR="00310E02">
        <w:rPr>
          <w:rFonts w:ascii="Times New Roman" w:hAnsi="Times New Roman"/>
          <w:bCs/>
          <w:sz w:val="24"/>
          <w:szCs w:val="24"/>
        </w:rPr>
        <w:t xml:space="preserve"> for 2017</w:t>
      </w:r>
      <w:r>
        <w:rPr>
          <w:rFonts w:ascii="Times New Roman" w:hAnsi="Times New Roman"/>
          <w:bCs/>
          <w:sz w:val="24"/>
          <w:szCs w:val="24"/>
        </w:rPr>
        <w:t xml:space="preserve">. It was surprising to me the </w:t>
      </w:r>
      <w:r w:rsidR="00487F51">
        <w:rPr>
          <w:rFonts w:ascii="Times New Roman" w:hAnsi="Times New Roman"/>
          <w:bCs/>
          <w:sz w:val="24"/>
          <w:szCs w:val="24"/>
        </w:rPr>
        <w:t xml:space="preserve">size of the increases in all </w:t>
      </w:r>
      <w:r w:rsidR="00310E02">
        <w:rPr>
          <w:rFonts w:ascii="Times New Roman" w:hAnsi="Times New Roman"/>
          <w:bCs/>
          <w:sz w:val="24"/>
          <w:szCs w:val="24"/>
        </w:rPr>
        <w:t>categories. This reflects positive investment results</w:t>
      </w:r>
      <w:r w:rsidR="00487F51">
        <w:rPr>
          <w:rFonts w:ascii="Times New Roman" w:hAnsi="Times New Roman"/>
          <w:bCs/>
          <w:sz w:val="24"/>
          <w:szCs w:val="24"/>
        </w:rPr>
        <w:t xml:space="preserve">, </w:t>
      </w:r>
      <w:r w:rsidR="00310E02">
        <w:rPr>
          <w:rFonts w:ascii="Times New Roman" w:hAnsi="Times New Roman"/>
          <w:bCs/>
          <w:sz w:val="24"/>
          <w:szCs w:val="24"/>
        </w:rPr>
        <w:t xml:space="preserve">higher employer commitment </w:t>
      </w:r>
      <w:r w:rsidR="00487F51">
        <w:rPr>
          <w:rFonts w:ascii="Times New Roman" w:hAnsi="Times New Roman"/>
          <w:bCs/>
          <w:sz w:val="24"/>
          <w:szCs w:val="24"/>
        </w:rPr>
        <w:t xml:space="preserve">contributions and, of course, </w:t>
      </w:r>
      <w:r w:rsidR="00310E02">
        <w:rPr>
          <w:rFonts w:ascii="Times New Roman" w:hAnsi="Times New Roman"/>
          <w:bCs/>
          <w:sz w:val="24"/>
          <w:szCs w:val="24"/>
        </w:rPr>
        <w:t xml:space="preserve">participant optimism. </w:t>
      </w:r>
      <w:r>
        <w:rPr>
          <w:rFonts w:ascii="Times New Roman" w:hAnsi="Times New Roman"/>
          <w:bCs/>
          <w:sz w:val="24"/>
          <w:szCs w:val="24"/>
        </w:rPr>
        <w:t xml:space="preserve">For example, </w:t>
      </w:r>
      <w:r w:rsidR="00487F51">
        <w:rPr>
          <w:rFonts w:ascii="Times New Roman" w:hAnsi="Times New Roman"/>
          <w:bCs/>
          <w:sz w:val="24"/>
          <w:szCs w:val="24"/>
        </w:rPr>
        <w:t xml:space="preserve">the average 401(k) account </w:t>
      </w:r>
      <w:r w:rsidR="00F152D4">
        <w:rPr>
          <w:rFonts w:ascii="Times New Roman" w:hAnsi="Times New Roman"/>
          <w:bCs/>
          <w:sz w:val="24"/>
          <w:szCs w:val="24"/>
        </w:rPr>
        <w:t xml:space="preserve">for </w:t>
      </w:r>
      <w:r w:rsidR="00310E02">
        <w:rPr>
          <w:rFonts w:ascii="Times New Roman" w:hAnsi="Times New Roman"/>
          <w:bCs/>
          <w:sz w:val="24"/>
          <w:szCs w:val="24"/>
        </w:rPr>
        <w:t>millennials</w:t>
      </w:r>
      <w:r>
        <w:rPr>
          <w:rFonts w:ascii="Times New Roman" w:hAnsi="Times New Roman"/>
          <w:bCs/>
          <w:sz w:val="24"/>
          <w:szCs w:val="24"/>
        </w:rPr>
        <w:t xml:space="preserve"> aged 25 to 34 with 1 to 4 years of participation increased a whopping 43%</w:t>
      </w:r>
      <w:r w:rsidR="00487F51">
        <w:rPr>
          <w:rFonts w:ascii="Times New Roman" w:hAnsi="Times New Roman"/>
          <w:bCs/>
          <w:sz w:val="24"/>
          <w:szCs w:val="24"/>
        </w:rPr>
        <w:t>!</w:t>
      </w:r>
      <w:r>
        <w:rPr>
          <w:rFonts w:ascii="Times New Roman" w:hAnsi="Times New Roman"/>
          <w:bCs/>
          <w:sz w:val="24"/>
          <w:szCs w:val="24"/>
        </w:rPr>
        <w:t xml:space="preserve"> </w:t>
      </w:r>
    </w:p>
    <w:p w:rsidR="007B02E7" w:rsidRPr="0098122B" w:rsidRDefault="00AD5D4C" w:rsidP="007B02E7">
      <w:pPr>
        <w:spacing w:before="100" w:beforeAutospacing="1" w:after="100" w:afterAutospacing="1"/>
        <w:jc w:val="both"/>
        <w:rPr>
          <w:rFonts w:ascii="Times New Roman" w:hAnsi="Times New Roman"/>
          <w:b/>
          <w:bCs/>
          <w:color w:val="1F24E6"/>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348615</wp:posOffset>
            </wp:positionV>
            <wp:extent cx="1654175" cy="1000125"/>
            <wp:effectExtent l="0" t="0" r="3175" b="9525"/>
            <wp:wrapSquare wrapText="bothSides"/>
            <wp:docPr id="4" name="Picture 4" descr="A picture containing table, indoor, sitt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o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4175" cy="1000125"/>
                    </a:xfrm>
                    <a:prstGeom prst="rect">
                      <a:avLst/>
                    </a:prstGeom>
                  </pic:spPr>
                </pic:pic>
              </a:graphicData>
            </a:graphic>
            <wp14:sizeRelH relativeFrom="margin">
              <wp14:pctWidth>0</wp14:pctWidth>
            </wp14:sizeRelH>
            <wp14:sizeRelV relativeFrom="margin">
              <wp14:pctHeight>0</wp14:pctHeight>
            </wp14:sizeRelV>
          </wp:anchor>
        </w:drawing>
      </w:r>
      <w:r w:rsidR="00AA3DC8">
        <w:rPr>
          <w:rFonts w:ascii="Times New Roman" w:hAnsi="Times New Roman"/>
          <w:b/>
          <w:bCs/>
          <w:color w:val="1F24E6"/>
          <w:sz w:val="24"/>
          <w:szCs w:val="24"/>
        </w:rPr>
        <w:t>T</w:t>
      </w:r>
      <w:r w:rsidR="007B02E7" w:rsidRPr="0098122B">
        <w:rPr>
          <w:rFonts w:ascii="Times New Roman" w:hAnsi="Times New Roman"/>
          <w:b/>
          <w:bCs/>
          <w:color w:val="1F24E6"/>
          <w:sz w:val="24"/>
          <w:szCs w:val="24"/>
        </w:rPr>
        <w:t xml:space="preserve">he Markets and the Economy, </w:t>
      </w:r>
      <w:r w:rsidR="00B6752B">
        <w:rPr>
          <w:rFonts w:ascii="Times New Roman" w:hAnsi="Times New Roman"/>
          <w:b/>
          <w:bCs/>
          <w:color w:val="1F24E6"/>
          <w:sz w:val="24"/>
          <w:szCs w:val="24"/>
        </w:rPr>
        <w:t xml:space="preserve">Fourth Quarter and Full Year </w:t>
      </w:r>
      <w:r w:rsidR="007B02E7" w:rsidRPr="0098122B">
        <w:rPr>
          <w:rFonts w:ascii="Times New Roman" w:hAnsi="Times New Roman"/>
          <w:b/>
          <w:bCs/>
          <w:color w:val="1F24E6"/>
          <w:sz w:val="24"/>
          <w:szCs w:val="24"/>
        </w:rPr>
        <w:t>2017</w:t>
      </w:r>
    </w:p>
    <w:p w:rsidR="00855D23" w:rsidRDefault="005437AD" w:rsidP="005D4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7E5283">
        <w:rPr>
          <w:rFonts w:ascii="Times New Roman" w:hAnsi="Times New Roman" w:cs="Times New Roman"/>
          <w:sz w:val="24"/>
          <w:szCs w:val="24"/>
        </w:rPr>
        <w:t>S&amp;P</w:t>
      </w:r>
      <w:r>
        <w:rPr>
          <w:rFonts w:ascii="Times New Roman" w:hAnsi="Times New Roman" w:cs="Times New Roman"/>
          <w:sz w:val="24"/>
          <w:szCs w:val="24"/>
        </w:rPr>
        <w:t xml:space="preserve"> 500 index of large domestic stocks gained 6.6% in the fourth quarter and 21.8% for 2017. The index has gained 113% since the market high in 20</w:t>
      </w:r>
      <w:r w:rsidR="00C41FF6">
        <w:rPr>
          <w:rFonts w:ascii="Times New Roman" w:hAnsi="Times New Roman" w:cs="Times New Roman"/>
          <w:sz w:val="24"/>
          <w:szCs w:val="24"/>
        </w:rPr>
        <w:t>0</w:t>
      </w:r>
      <w:r>
        <w:rPr>
          <w:rFonts w:ascii="Times New Roman" w:hAnsi="Times New Roman" w:cs="Times New Roman"/>
          <w:sz w:val="24"/>
          <w:szCs w:val="24"/>
        </w:rPr>
        <w:t xml:space="preserve">7 and 376% since market low of early 2009. The consumer discretionary sector beat out technology for the quarter, gaining 9.9% </w:t>
      </w:r>
      <w:r w:rsidR="00785968">
        <w:rPr>
          <w:rFonts w:ascii="Times New Roman" w:hAnsi="Times New Roman" w:cs="Times New Roman"/>
          <w:sz w:val="24"/>
          <w:szCs w:val="24"/>
        </w:rPr>
        <w:t xml:space="preserve">and was up </w:t>
      </w:r>
      <w:r>
        <w:rPr>
          <w:rFonts w:ascii="Times New Roman" w:hAnsi="Times New Roman" w:cs="Times New Roman"/>
          <w:sz w:val="24"/>
          <w:szCs w:val="24"/>
        </w:rPr>
        <w:t>23% for the full year. Technology was close behind, increasing 9% for the quarter</w:t>
      </w:r>
      <w:r w:rsidR="00785968">
        <w:rPr>
          <w:rFonts w:ascii="Times New Roman" w:hAnsi="Times New Roman" w:cs="Times New Roman"/>
          <w:sz w:val="24"/>
          <w:szCs w:val="24"/>
        </w:rPr>
        <w:t xml:space="preserve"> but was the runaway leader for the year, </w:t>
      </w:r>
      <w:r>
        <w:rPr>
          <w:rFonts w:ascii="Times New Roman" w:hAnsi="Times New Roman" w:cs="Times New Roman"/>
          <w:sz w:val="24"/>
          <w:szCs w:val="24"/>
        </w:rPr>
        <w:t xml:space="preserve">gaining 38.8%. </w:t>
      </w:r>
      <w:r w:rsidR="00785968">
        <w:rPr>
          <w:rFonts w:ascii="Times New Roman" w:hAnsi="Times New Roman" w:cs="Times New Roman"/>
          <w:sz w:val="24"/>
          <w:szCs w:val="24"/>
        </w:rPr>
        <w:t xml:space="preserve">Energy rebounded with a 6% gain in the quarter bringing the sector’s year to date number to a loss of 1%. Telecom gained 3.6% for the quarter but was still in the red by 1.3% for the year. Finally, healthcare stocks were up only 1.5% for the quarter but did turn in a 22.1% performance for the year. </w:t>
      </w:r>
    </w:p>
    <w:p w:rsidR="00855D23" w:rsidRDefault="00855D23" w:rsidP="005D40BE">
      <w:pPr>
        <w:pStyle w:val="NoSpacing"/>
        <w:jc w:val="both"/>
        <w:rPr>
          <w:rFonts w:ascii="Times New Roman" w:hAnsi="Times New Roman" w:cs="Times New Roman"/>
          <w:sz w:val="24"/>
          <w:szCs w:val="24"/>
        </w:rPr>
      </w:pPr>
    </w:p>
    <w:p w:rsidR="00C81D33" w:rsidRDefault="00487F51" w:rsidP="005D4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 several years, </w:t>
      </w:r>
      <w:r w:rsidR="00855D23">
        <w:rPr>
          <w:rFonts w:ascii="Times New Roman" w:hAnsi="Times New Roman" w:cs="Times New Roman"/>
          <w:sz w:val="24"/>
          <w:szCs w:val="24"/>
        </w:rPr>
        <w:t xml:space="preserve">I’ve been talking about </w:t>
      </w:r>
      <w:r w:rsidR="00AD5D4C">
        <w:rPr>
          <w:rFonts w:ascii="Times New Roman" w:hAnsi="Times New Roman" w:cs="Times New Roman"/>
          <w:sz w:val="24"/>
          <w:szCs w:val="24"/>
        </w:rPr>
        <w:t>f</w:t>
      </w:r>
      <w:r w:rsidR="007E5283">
        <w:rPr>
          <w:rFonts w:ascii="Times New Roman" w:hAnsi="Times New Roman" w:cs="Times New Roman"/>
          <w:sz w:val="24"/>
          <w:szCs w:val="24"/>
        </w:rPr>
        <w:t xml:space="preserve">oreign markets </w:t>
      </w:r>
      <w:r w:rsidR="00AD5D4C">
        <w:rPr>
          <w:rFonts w:ascii="Times New Roman" w:hAnsi="Times New Roman" w:cs="Times New Roman"/>
          <w:sz w:val="24"/>
          <w:szCs w:val="24"/>
        </w:rPr>
        <w:t xml:space="preserve">being more </w:t>
      </w:r>
      <w:r w:rsidR="00855D23">
        <w:rPr>
          <w:rFonts w:ascii="Times New Roman" w:hAnsi="Times New Roman" w:cs="Times New Roman"/>
          <w:sz w:val="24"/>
          <w:szCs w:val="24"/>
        </w:rPr>
        <w:t>reasonably</w:t>
      </w:r>
      <w:r w:rsidR="00950201">
        <w:rPr>
          <w:rFonts w:ascii="Times New Roman" w:hAnsi="Times New Roman" w:cs="Times New Roman"/>
          <w:sz w:val="24"/>
          <w:szCs w:val="24"/>
        </w:rPr>
        <w:t xml:space="preserve"> </w:t>
      </w:r>
      <w:r w:rsidR="00855D23">
        <w:rPr>
          <w:rFonts w:ascii="Times New Roman" w:hAnsi="Times New Roman" w:cs="Times New Roman"/>
          <w:sz w:val="24"/>
          <w:szCs w:val="24"/>
        </w:rPr>
        <w:t>valued</w:t>
      </w:r>
      <w:r>
        <w:rPr>
          <w:rFonts w:ascii="Times New Roman" w:hAnsi="Times New Roman" w:cs="Times New Roman"/>
          <w:sz w:val="24"/>
          <w:szCs w:val="24"/>
        </w:rPr>
        <w:t xml:space="preserve"> and provid</w:t>
      </w:r>
      <w:r w:rsidR="00950201">
        <w:rPr>
          <w:rFonts w:ascii="Times New Roman" w:hAnsi="Times New Roman" w:cs="Times New Roman"/>
          <w:sz w:val="24"/>
          <w:szCs w:val="24"/>
        </w:rPr>
        <w:t xml:space="preserve">ing </w:t>
      </w:r>
      <w:r>
        <w:rPr>
          <w:rFonts w:ascii="Times New Roman" w:hAnsi="Times New Roman" w:cs="Times New Roman"/>
          <w:sz w:val="24"/>
          <w:szCs w:val="24"/>
        </w:rPr>
        <w:t xml:space="preserve">important opportunities. </w:t>
      </w:r>
      <w:r w:rsidR="00855D23">
        <w:rPr>
          <w:rFonts w:ascii="Times New Roman" w:hAnsi="Times New Roman" w:cs="Times New Roman"/>
          <w:sz w:val="24"/>
          <w:szCs w:val="24"/>
        </w:rPr>
        <w:t xml:space="preserve">This was born out in 2017 as the developed foreign index (EAFE) was up 22.4% and the emerging markets turned in a </w:t>
      </w:r>
      <w:r w:rsidR="00311810">
        <w:rPr>
          <w:rFonts w:ascii="Times New Roman" w:hAnsi="Times New Roman" w:cs="Times New Roman"/>
          <w:sz w:val="24"/>
          <w:szCs w:val="24"/>
        </w:rPr>
        <w:t xml:space="preserve">sweet </w:t>
      </w:r>
      <w:r w:rsidR="00855D23">
        <w:rPr>
          <w:rFonts w:ascii="Times New Roman" w:hAnsi="Times New Roman" w:cs="Times New Roman"/>
          <w:sz w:val="24"/>
          <w:szCs w:val="24"/>
        </w:rPr>
        <w:t xml:space="preserve">37.8% </w:t>
      </w:r>
      <w:r w:rsidR="00AD5D4C">
        <w:rPr>
          <w:rFonts w:ascii="Times New Roman" w:hAnsi="Times New Roman" w:cs="Times New Roman"/>
          <w:sz w:val="24"/>
          <w:szCs w:val="24"/>
        </w:rPr>
        <w:t xml:space="preserve">gain. </w:t>
      </w:r>
      <w:r w:rsidR="00855D23">
        <w:rPr>
          <w:rFonts w:ascii="Times New Roman" w:hAnsi="Times New Roman" w:cs="Times New Roman"/>
          <w:sz w:val="24"/>
          <w:szCs w:val="24"/>
        </w:rPr>
        <w:t xml:space="preserve">A key contributor to the emerging markets performance was China, up 54.5% for the year. Even after this great year in 2017, foreign stocks are still </w:t>
      </w:r>
      <w:r w:rsidR="00AD5D4C">
        <w:rPr>
          <w:rFonts w:ascii="Times New Roman" w:hAnsi="Times New Roman" w:cs="Times New Roman"/>
          <w:sz w:val="24"/>
          <w:szCs w:val="24"/>
        </w:rPr>
        <w:t xml:space="preserve">undervalued relative to </w:t>
      </w:r>
      <w:r w:rsidR="00855D23">
        <w:rPr>
          <w:rFonts w:ascii="Times New Roman" w:hAnsi="Times New Roman" w:cs="Times New Roman"/>
          <w:sz w:val="24"/>
          <w:szCs w:val="24"/>
        </w:rPr>
        <w:t xml:space="preserve">historical averages and </w:t>
      </w:r>
      <w:r w:rsidR="00AD5D4C">
        <w:rPr>
          <w:rFonts w:ascii="Times New Roman" w:hAnsi="Times New Roman" w:cs="Times New Roman"/>
          <w:sz w:val="24"/>
          <w:szCs w:val="24"/>
        </w:rPr>
        <w:t xml:space="preserve">the </w:t>
      </w:r>
      <w:r w:rsidR="00855D23">
        <w:rPr>
          <w:rFonts w:ascii="Times New Roman" w:hAnsi="Times New Roman" w:cs="Times New Roman"/>
          <w:sz w:val="24"/>
          <w:szCs w:val="24"/>
        </w:rPr>
        <w:t xml:space="preserve">domestic market. </w:t>
      </w:r>
    </w:p>
    <w:p w:rsidR="00C81D33" w:rsidRDefault="00C81D33" w:rsidP="005D40BE">
      <w:pPr>
        <w:pStyle w:val="NoSpacing"/>
        <w:jc w:val="both"/>
        <w:rPr>
          <w:rFonts w:ascii="Times New Roman" w:hAnsi="Times New Roman" w:cs="Times New Roman"/>
          <w:sz w:val="24"/>
          <w:szCs w:val="24"/>
        </w:rPr>
      </w:pPr>
    </w:p>
    <w:p w:rsidR="007D728F" w:rsidRDefault="002E4797" w:rsidP="005D40BE">
      <w:pPr>
        <w:pStyle w:val="NoSpacing"/>
        <w:jc w:val="both"/>
        <w:rPr>
          <w:rFonts w:ascii="Times New Roman" w:hAnsi="Times New Roman" w:cs="Times New Roman"/>
          <w:sz w:val="24"/>
          <w:szCs w:val="24"/>
          <w:u w:val="single"/>
        </w:rPr>
      </w:pPr>
      <w:r>
        <w:rPr>
          <w:rFonts w:ascii="Times New Roman" w:hAnsi="Times New Roman" w:cs="Times New Roman"/>
          <w:sz w:val="24"/>
          <w:szCs w:val="24"/>
        </w:rPr>
        <w:t>Gross Domestic Product is expected to have increased</w:t>
      </w:r>
      <w:r w:rsidR="00EB780D">
        <w:rPr>
          <w:rFonts w:ascii="Times New Roman" w:hAnsi="Times New Roman" w:cs="Times New Roman"/>
          <w:sz w:val="24"/>
          <w:szCs w:val="24"/>
        </w:rPr>
        <w:t xml:space="preserve"> to </w:t>
      </w:r>
      <w:r>
        <w:rPr>
          <w:rFonts w:ascii="Times New Roman" w:hAnsi="Times New Roman" w:cs="Times New Roman"/>
          <w:sz w:val="24"/>
          <w:szCs w:val="24"/>
        </w:rPr>
        <w:t xml:space="preserve">3% </w:t>
      </w:r>
      <w:r w:rsidR="00EB780D">
        <w:rPr>
          <w:rFonts w:ascii="Times New Roman" w:hAnsi="Times New Roman" w:cs="Times New Roman"/>
          <w:sz w:val="24"/>
          <w:szCs w:val="24"/>
        </w:rPr>
        <w:t xml:space="preserve">for </w:t>
      </w:r>
      <w:r>
        <w:rPr>
          <w:rFonts w:ascii="Times New Roman" w:hAnsi="Times New Roman" w:cs="Times New Roman"/>
          <w:sz w:val="24"/>
          <w:szCs w:val="24"/>
        </w:rPr>
        <w:t>2017</w:t>
      </w:r>
      <w:r w:rsidR="00AD5D4C">
        <w:rPr>
          <w:rFonts w:ascii="Times New Roman" w:hAnsi="Times New Roman" w:cs="Times New Roman"/>
          <w:sz w:val="24"/>
          <w:szCs w:val="24"/>
        </w:rPr>
        <w:t xml:space="preserve">. </w:t>
      </w:r>
      <w:r w:rsidR="007D728F">
        <w:rPr>
          <w:rFonts w:ascii="Times New Roman" w:hAnsi="Times New Roman" w:cs="Times New Roman"/>
          <w:sz w:val="24"/>
          <w:szCs w:val="24"/>
        </w:rPr>
        <w:t xml:space="preserve">Headline inflation remained docile at </w:t>
      </w:r>
      <w:r w:rsidR="00FD7FA6">
        <w:rPr>
          <w:rFonts w:ascii="Times New Roman" w:hAnsi="Times New Roman" w:cs="Times New Roman"/>
          <w:sz w:val="24"/>
          <w:szCs w:val="24"/>
        </w:rPr>
        <w:t>2.2%</w:t>
      </w:r>
      <w:r w:rsidR="007D728F">
        <w:rPr>
          <w:rFonts w:ascii="Times New Roman" w:hAnsi="Times New Roman" w:cs="Times New Roman"/>
          <w:sz w:val="24"/>
          <w:szCs w:val="24"/>
        </w:rPr>
        <w:t xml:space="preserve">, </w:t>
      </w:r>
      <w:r w:rsidR="00FD7FA6">
        <w:rPr>
          <w:rFonts w:ascii="Times New Roman" w:hAnsi="Times New Roman" w:cs="Times New Roman"/>
          <w:sz w:val="24"/>
          <w:szCs w:val="24"/>
        </w:rPr>
        <w:t xml:space="preserve">up somewhat but still </w:t>
      </w:r>
      <w:r w:rsidR="007D728F">
        <w:rPr>
          <w:rFonts w:ascii="Times New Roman" w:hAnsi="Times New Roman" w:cs="Times New Roman"/>
          <w:sz w:val="24"/>
          <w:szCs w:val="24"/>
        </w:rPr>
        <w:t>well below the 50-year average of 4.1%</w:t>
      </w:r>
      <w:r w:rsidR="00C81D33">
        <w:rPr>
          <w:rFonts w:ascii="Times New Roman" w:hAnsi="Times New Roman" w:cs="Times New Roman"/>
          <w:sz w:val="24"/>
          <w:szCs w:val="24"/>
        </w:rPr>
        <w:t xml:space="preserve">. </w:t>
      </w:r>
      <w:r w:rsidR="00FD7FA6">
        <w:rPr>
          <w:rFonts w:ascii="Times New Roman" w:hAnsi="Times New Roman" w:cs="Times New Roman"/>
          <w:sz w:val="24"/>
          <w:szCs w:val="24"/>
        </w:rPr>
        <w:t xml:space="preserve">Core inflation was just 1.7% while food was just up 1.4%. Energy was up 9.5%. While some </w:t>
      </w:r>
      <w:r w:rsidR="0066090A">
        <w:rPr>
          <w:rFonts w:ascii="Times New Roman" w:hAnsi="Times New Roman" w:cs="Times New Roman"/>
          <w:sz w:val="24"/>
          <w:szCs w:val="24"/>
        </w:rPr>
        <w:t>short-term</w:t>
      </w:r>
      <w:r w:rsidR="00C41FF6">
        <w:rPr>
          <w:rFonts w:ascii="Times New Roman" w:hAnsi="Times New Roman" w:cs="Times New Roman"/>
          <w:sz w:val="24"/>
          <w:szCs w:val="24"/>
        </w:rPr>
        <w:t xml:space="preserve"> interest rates have </w:t>
      </w:r>
      <w:r w:rsidR="00AD5D4C">
        <w:rPr>
          <w:rFonts w:ascii="Times New Roman" w:hAnsi="Times New Roman" w:cs="Times New Roman"/>
          <w:sz w:val="24"/>
          <w:szCs w:val="24"/>
        </w:rPr>
        <w:t xml:space="preserve">increased </w:t>
      </w:r>
      <w:r w:rsidR="00FD7FA6">
        <w:rPr>
          <w:rFonts w:ascii="Times New Roman" w:hAnsi="Times New Roman" w:cs="Times New Roman"/>
          <w:sz w:val="24"/>
          <w:szCs w:val="24"/>
        </w:rPr>
        <w:t xml:space="preserve">somewhat, most interest rates in the U.S. </w:t>
      </w:r>
      <w:r w:rsidR="00722015">
        <w:rPr>
          <w:rFonts w:ascii="Times New Roman" w:hAnsi="Times New Roman" w:cs="Times New Roman"/>
          <w:sz w:val="24"/>
          <w:szCs w:val="24"/>
        </w:rPr>
        <w:t xml:space="preserve">remain </w:t>
      </w:r>
      <w:r w:rsidR="007E5283">
        <w:rPr>
          <w:rFonts w:ascii="Times New Roman" w:hAnsi="Times New Roman" w:cs="Times New Roman"/>
          <w:sz w:val="24"/>
          <w:szCs w:val="24"/>
        </w:rPr>
        <w:t xml:space="preserve">near </w:t>
      </w:r>
      <w:r w:rsidR="00722015">
        <w:rPr>
          <w:rFonts w:ascii="Times New Roman" w:hAnsi="Times New Roman" w:cs="Times New Roman"/>
          <w:sz w:val="24"/>
          <w:szCs w:val="24"/>
        </w:rPr>
        <w:t xml:space="preserve">long term lows. </w:t>
      </w:r>
      <w:r w:rsidR="007E5283">
        <w:rPr>
          <w:rFonts w:ascii="Times New Roman" w:hAnsi="Times New Roman" w:cs="Times New Roman"/>
          <w:sz w:val="24"/>
          <w:szCs w:val="24"/>
        </w:rPr>
        <w:t xml:space="preserve"> </w:t>
      </w:r>
      <w:r w:rsidR="004350DE">
        <w:rPr>
          <w:rFonts w:ascii="Times New Roman" w:hAnsi="Times New Roman" w:cs="Times New Roman"/>
          <w:sz w:val="24"/>
          <w:szCs w:val="24"/>
        </w:rPr>
        <w:t xml:space="preserve"> </w:t>
      </w:r>
    </w:p>
    <w:p w:rsidR="007D728F" w:rsidRDefault="007D728F" w:rsidP="005D40BE">
      <w:pPr>
        <w:pStyle w:val="NoSpacing"/>
        <w:jc w:val="both"/>
        <w:rPr>
          <w:rFonts w:ascii="Times New Roman" w:hAnsi="Times New Roman" w:cs="Times New Roman"/>
          <w:sz w:val="24"/>
          <w:szCs w:val="24"/>
          <w:u w:val="single"/>
        </w:rPr>
      </w:pPr>
    </w:p>
    <w:p w:rsidR="00EB780D" w:rsidRDefault="00EB780D" w:rsidP="005D40BE">
      <w:pPr>
        <w:pStyle w:val="NoSpacing"/>
        <w:jc w:val="both"/>
        <w:rPr>
          <w:rFonts w:ascii="Times New Roman" w:hAnsi="Times New Roman" w:cs="Times New Roman"/>
          <w:sz w:val="24"/>
          <w:szCs w:val="24"/>
        </w:rPr>
      </w:pPr>
      <w:r w:rsidRPr="00EB780D">
        <w:rPr>
          <w:rFonts w:ascii="Times New Roman" w:hAnsi="Times New Roman" w:cs="Times New Roman"/>
          <w:b/>
          <w:sz w:val="24"/>
          <w:szCs w:val="24"/>
        </w:rPr>
        <w:t>Short term economic bump</w:t>
      </w:r>
      <w:r>
        <w:rPr>
          <w:rFonts w:ascii="Times New Roman" w:hAnsi="Times New Roman" w:cs="Times New Roman"/>
          <w:sz w:val="24"/>
          <w:szCs w:val="24"/>
        </w:rPr>
        <w:t>. The Tax Cuts and Jobs Act (TCJA) should have positive effects on GDP</w:t>
      </w:r>
      <w:r w:rsidR="00AD5D4C">
        <w:rPr>
          <w:rFonts w:ascii="Times New Roman" w:hAnsi="Times New Roman" w:cs="Times New Roman"/>
          <w:sz w:val="24"/>
          <w:szCs w:val="24"/>
        </w:rPr>
        <w:t xml:space="preserve">. </w:t>
      </w:r>
      <w:r>
        <w:rPr>
          <w:rFonts w:ascii="Times New Roman" w:hAnsi="Times New Roman" w:cs="Times New Roman"/>
          <w:sz w:val="24"/>
          <w:szCs w:val="24"/>
        </w:rPr>
        <w:t xml:space="preserve">On the negative side, </w:t>
      </w:r>
      <w:r w:rsidR="00950201">
        <w:rPr>
          <w:rFonts w:ascii="Times New Roman" w:hAnsi="Times New Roman" w:cs="Times New Roman"/>
          <w:sz w:val="24"/>
          <w:szCs w:val="24"/>
        </w:rPr>
        <w:t xml:space="preserve">it </w:t>
      </w:r>
      <w:r>
        <w:rPr>
          <w:rFonts w:ascii="Times New Roman" w:hAnsi="Times New Roman" w:cs="Times New Roman"/>
          <w:sz w:val="24"/>
          <w:szCs w:val="24"/>
        </w:rPr>
        <w:t xml:space="preserve">will lead to an increase in the deficit in the short term. I believe it will be </w:t>
      </w:r>
      <w:r w:rsidR="00AD5D4C">
        <w:rPr>
          <w:rFonts w:ascii="Times New Roman" w:hAnsi="Times New Roman" w:cs="Times New Roman"/>
          <w:sz w:val="24"/>
          <w:szCs w:val="24"/>
        </w:rPr>
        <w:t>p</w:t>
      </w:r>
      <w:r>
        <w:rPr>
          <w:rFonts w:ascii="Times New Roman" w:hAnsi="Times New Roman" w:cs="Times New Roman"/>
          <w:sz w:val="24"/>
          <w:szCs w:val="24"/>
        </w:rPr>
        <w:t>ositive for the economy</w:t>
      </w:r>
      <w:r w:rsidR="00541C2C">
        <w:rPr>
          <w:rFonts w:ascii="Times New Roman" w:hAnsi="Times New Roman" w:cs="Times New Roman"/>
          <w:sz w:val="24"/>
          <w:szCs w:val="24"/>
        </w:rPr>
        <w:t>,</w:t>
      </w:r>
      <w:r>
        <w:rPr>
          <w:rFonts w:ascii="Times New Roman" w:hAnsi="Times New Roman" w:cs="Times New Roman"/>
          <w:sz w:val="24"/>
          <w:szCs w:val="24"/>
        </w:rPr>
        <w:t xml:space="preserve"> jobs and the deficit in the long </w:t>
      </w:r>
      <w:r w:rsidR="00C41FF6">
        <w:rPr>
          <w:rFonts w:ascii="Times New Roman" w:hAnsi="Times New Roman" w:cs="Times New Roman"/>
          <w:sz w:val="24"/>
          <w:szCs w:val="24"/>
        </w:rPr>
        <w:t>run</w:t>
      </w:r>
      <w:r>
        <w:rPr>
          <w:rFonts w:ascii="Times New Roman" w:hAnsi="Times New Roman" w:cs="Times New Roman"/>
          <w:sz w:val="24"/>
          <w:szCs w:val="24"/>
        </w:rPr>
        <w:t xml:space="preserve"> but I seem to be in the minority </w:t>
      </w:r>
      <w:r>
        <w:rPr>
          <w:rFonts w:ascii="Times New Roman" w:hAnsi="Times New Roman" w:cs="Times New Roman"/>
          <w:sz w:val="24"/>
          <w:szCs w:val="24"/>
        </w:rPr>
        <w:lastRenderedPageBreak/>
        <w:t xml:space="preserve">on </w:t>
      </w:r>
      <w:r w:rsidR="00550743">
        <w:rPr>
          <w:rFonts w:ascii="Times New Roman" w:hAnsi="Times New Roman" w:cs="Times New Roman"/>
          <w:sz w:val="24"/>
          <w:szCs w:val="24"/>
        </w:rPr>
        <w:t xml:space="preserve">this. </w:t>
      </w:r>
      <w:r>
        <w:rPr>
          <w:rFonts w:ascii="Times New Roman" w:hAnsi="Times New Roman" w:cs="Times New Roman"/>
          <w:sz w:val="24"/>
          <w:szCs w:val="24"/>
        </w:rPr>
        <w:t xml:space="preserve">I believe the Reagan tax cuts of the early 1980s </w:t>
      </w:r>
      <w:r w:rsidR="00AD5D4C">
        <w:rPr>
          <w:rFonts w:ascii="Times New Roman" w:hAnsi="Times New Roman" w:cs="Times New Roman"/>
          <w:sz w:val="24"/>
          <w:szCs w:val="24"/>
        </w:rPr>
        <w:t xml:space="preserve">and the peace dividend from the end of the cold war </w:t>
      </w:r>
      <w:r>
        <w:rPr>
          <w:rFonts w:ascii="Times New Roman" w:hAnsi="Times New Roman" w:cs="Times New Roman"/>
          <w:sz w:val="24"/>
          <w:szCs w:val="24"/>
        </w:rPr>
        <w:t xml:space="preserve">led to the strong economy </w:t>
      </w:r>
      <w:r w:rsidR="00950201">
        <w:rPr>
          <w:rFonts w:ascii="Times New Roman" w:hAnsi="Times New Roman" w:cs="Times New Roman"/>
          <w:sz w:val="24"/>
          <w:szCs w:val="24"/>
        </w:rPr>
        <w:t xml:space="preserve">and markets </w:t>
      </w:r>
      <w:r>
        <w:rPr>
          <w:rFonts w:ascii="Times New Roman" w:hAnsi="Times New Roman" w:cs="Times New Roman"/>
          <w:sz w:val="24"/>
          <w:szCs w:val="24"/>
        </w:rPr>
        <w:t xml:space="preserve">of the 1990s. </w:t>
      </w:r>
      <w:r w:rsidR="00487F51">
        <w:rPr>
          <w:rFonts w:ascii="Times New Roman" w:hAnsi="Times New Roman" w:cs="Times New Roman"/>
          <w:sz w:val="24"/>
          <w:szCs w:val="24"/>
        </w:rPr>
        <w:t>Of course, the administration in power at the time took credit for</w:t>
      </w:r>
      <w:r w:rsidR="00C41FF6">
        <w:rPr>
          <w:rFonts w:ascii="Times New Roman" w:hAnsi="Times New Roman" w:cs="Times New Roman"/>
          <w:sz w:val="24"/>
          <w:szCs w:val="24"/>
        </w:rPr>
        <w:t xml:space="preserve"> </w:t>
      </w:r>
      <w:bookmarkStart w:id="0" w:name="_GoBack"/>
      <w:bookmarkEnd w:id="0"/>
      <w:r w:rsidR="00487F51">
        <w:rPr>
          <w:rFonts w:ascii="Times New Roman" w:hAnsi="Times New Roman" w:cs="Times New Roman"/>
          <w:sz w:val="24"/>
          <w:szCs w:val="24"/>
        </w:rPr>
        <w:t xml:space="preserve">the good conditions. </w:t>
      </w:r>
    </w:p>
    <w:p w:rsidR="00EB780D" w:rsidRDefault="00EB780D" w:rsidP="005D40BE">
      <w:pPr>
        <w:pStyle w:val="NoSpacing"/>
        <w:jc w:val="both"/>
        <w:rPr>
          <w:rFonts w:ascii="Times New Roman" w:hAnsi="Times New Roman" w:cs="Times New Roman"/>
          <w:sz w:val="24"/>
          <w:szCs w:val="24"/>
        </w:rPr>
      </w:pPr>
    </w:p>
    <w:p w:rsidR="00EB780D" w:rsidRDefault="00F73B2E" w:rsidP="005D40BE">
      <w:pPr>
        <w:pStyle w:val="NoSpacing"/>
        <w:jc w:val="both"/>
        <w:rPr>
          <w:rFonts w:ascii="Times New Roman" w:hAnsi="Times New Roman" w:cs="Times New Roman"/>
          <w:sz w:val="24"/>
          <w:szCs w:val="24"/>
        </w:rPr>
      </w:pPr>
      <w:r w:rsidRPr="00F73B2E">
        <w:rPr>
          <w:rFonts w:ascii="Times New Roman" w:hAnsi="Times New Roman" w:cs="Times New Roman"/>
          <w:b/>
          <w:sz w:val="24"/>
          <w:szCs w:val="24"/>
        </w:rPr>
        <w:t>Shortage of workers in the U.S.</w:t>
      </w:r>
      <w:r>
        <w:rPr>
          <w:rFonts w:ascii="Times New Roman" w:hAnsi="Times New Roman" w:cs="Times New Roman"/>
          <w:b/>
          <w:sz w:val="24"/>
          <w:szCs w:val="24"/>
        </w:rPr>
        <w:t xml:space="preserve"> </w:t>
      </w:r>
      <w:r>
        <w:rPr>
          <w:rFonts w:ascii="Times New Roman" w:hAnsi="Times New Roman" w:cs="Times New Roman"/>
          <w:sz w:val="24"/>
          <w:szCs w:val="24"/>
        </w:rPr>
        <w:t>With projections for GDP growth for next year running in the 3% range, there is a possibility this could be a one-year wonder because of a shortage of workers. Unemployment is running at historically low rates, currently 4.4%</w:t>
      </w:r>
      <w:r w:rsidR="00487F51">
        <w:rPr>
          <w:rFonts w:ascii="Times New Roman" w:hAnsi="Times New Roman" w:cs="Times New Roman"/>
          <w:sz w:val="24"/>
          <w:szCs w:val="24"/>
        </w:rPr>
        <w:t xml:space="preserve">, </w:t>
      </w:r>
      <w:r>
        <w:rPr>
          <w:rFonts w:ascii="Times New Roman" w:hAnsi="Times New Roman" w:cs="Times New Roman"/>
          <w:sz w:val="24"/>
          <w:szCs w:val="24"/>
        </w:rPr>
        <w:t xml:space="preserve">and the rate is projected to decrease to 3.4% this year. This would be the lowest rate since 1953. Basically, unemployment can’t realistically go lower. Barring big gains in productivity, economic growth may not be able to maintain momentum in 2019. </w:t>
      </w:r>
    </w:p>
    <w:p w:rsidR="00F73B2E" w:rsidRDefault="0066090A" w:rsidP="005D40BE">
      <w:pPr>
        <w:pStyle w:val="NoSpacing"/>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175260</wp:posOffset>
            </wp:positionV>
            <wp:extent cx="1524000" cy="1143000"/>
            <wp:effectExtent l="0" t="0" r="0" b="0"/>
            <wp:wrapSquare wrapText="bothSides"/>
            <wp:docPr id="6" name="Picture 6" descr="A yellow sign on a po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gher-Rates-A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margin">
              <wp14:pctWidth>0</wp14:pctWidth>
            </wp14:sizeRelH>
            <wp14:sizeRelV relativeFrom="margin">
              <wp14:pctHeight>0</wp14:pctHeight>
            </wp14:sizeRelV>
          </wp:anchor>
        </w:drawing>
      </w:r>
    </w:p>
    <w:p w:rsidR="00986C55" w:rsidRDefault="00F73B2E" w:rsidP="005D40BE">
      <w:pPr>
        <w:pStyle w:val="NoSpacing"/>
        <w:jc w:val="both"/>
        <w:rPr>
          <w:rFonts w:ascii="Times New Roman" w:hAnsi="Times New Roman" w:cs="Times New Roman"/>
          <w:sz w:val="24"/>
          <w:szCs w:val="24"/>
        </w:rPr>
      </w:pPr>
      <w:r w:rsidRPr="00F73B2E">
        <w:rPr>
          <w:rFonts w:ascii="Times New Roman" w:hAnsi="Times New Roman" w:cs="Times New Roman"/>
          <w:b/>
          <w:sz w:val="24"/>
          <w:szCs w:val="24"/>
        </w:rPr>
        <w:t>Inflation still benign</w:t>
      </w:r>
      <w:r w:rsidR="00D46FF3">
        <w:rPr>
          <w:rFonts w:ascii="Times New Roman" w:hAnsi="Times New Roman" w:cs="Times New Roman"/>
          <w:b/>
          <w:sz w:val="24"/>
          <w:szCs w:val="24"/>
        </w:rPr>
        <w:t xml:space="preserve"> but long interest rates should rise. </w:t>
      </w:r>
      <w:r>
        <w:rPr>
          <w:rFonts w:ascii="Times New Roman" w:hAnsi="Times New Roman" w:cs="Times New Roman"/>
          <w:sz w:val="24"/>
          <w:szCs w:val="24"/>
        </w:rPr>
        <w:t xml:space="preserve">Though the FED has raised short term rates and has told us they plan to continue, inflation is still benign at 2.2%, even with the boost </w:t>
      </w:r>
      <w:r w:rsidR="00487F51">
        <w:rPr>
          <w:rFonts w:ascii="Times New Roman" w:hAnsi="Times New Roman" w:cs="Times New Roman"/>
          <w:sz w:val="24"/>
          <w:szCs w:val="24"/>
        </w:rPr>
        <w:t>to</w:t>
      </w:r>
      <w:r>
        <w:rPr>
          <w:rFonts w:ascii="Times New Roman" w:hAnsi="Times New Roman" w:cs="Times New Roman"/>
          <w:sz w:val="24"/>
          <w:szCs w:val="24"/>
        </w:rPr>
        <w:t xml:space="preserve"> inflation </w:t>
      </w:r>
      <w:r w:rsidR="00487F51">
        <w:rPr>
          <w:rFonts w:ascii="Times New Roman" w:hAnsi="Times New Roman" w:cs="Times New Roman"/>
          <w:sz w:val="24"/>
          <w:szCs w:val="24"/>
        </w:rPr>
        <w:t xml:space="preserve">from </w:t>
      </w:r>
      <w:r>
        <w:rPr>
          <w:rFonts w:ascii="Times New Roman" w:hAnsi="Times New Roman" w:cs="Times New Roman"/>
          <w:sz w:val="24"/>
          <w:szCs w:val="24"/>
        </w:rPr>
        <w:t xml:space="preserve">the energy sector. If the economy does slow in 2019, prospects for higher inflation seem small. </w:t>
      </w:r>
      <w:r w:rsidR="00AD5D4C">
        <w:rPr>
          <w:rFonts w:ascii="Times New Roman" w:hAnsi="Times New Roman" w:cs="Times New Roman"/>
          <w:sz w:val="24"/>
          <w:szCs w:val="24"/>
        </w:rPr>
        <w:t>However, t</w:t>
      </w:r>
      <w:r w:rsidR="00D46FF3">
        <w:rPr>
          <w:rFonts w:ascii="Times New Roman" w:hAnsi="Times New Roman" w:cs="Times New Roman"/>
          <w:sz w:val="24"/>
          <w:szCs w:val="24"/>
        </w:rPr>
        <w:t xml:space="preserve">he FED has told us they will </w:t>
      </w:r>
      <w:r w:rsidR="00487F51">
        <w:rPr>
          <w:rFonts w:ascii="Times New Roman" w:hAnsi="Times New Roman" w:cs="Times New Roman"/>
          <w:sz w:val="24"/>
          <w:szCs w:val="24"/>
        </w:rPr>
        <w:t xml:space="preserve">continue to </w:t>
      </w:r>
      <w:r w:rsidR="00D46FF3">
        <w:rPr>
          <w:rFonts w:ascii="Times New Roman" w:hAnsi="Times New Roman" w:cs="Times New Roman"/>
          <w:sz w:val="24"/>
          <w:szCs w:val="24"/>
        </w:rPr>
        <w:t xml:space="preserve">raise </w:t>
      </w:r>
      <w:r w:rsidR="00AD5D4C">
        <w:rPr>
          <w:rFonts w:ascii="Times New Roman" w:hAnsi="Times New Roman" w:cs="Times New Roman"/>
          <w:sz w:val="24"/>
          <w:szCs w:val="24"/>
        </w:rPr>
        <w:t>short term rates. M</w:t>
      </w:r>
      <w:r w:rsidR="00D46FF3">
        <w:rPr>
          <w:rFonts w:ascii="Times New Roman" w:hAnsi="Times New Roman" w:cs="Times New Roman"/>
          <w:sz w:val="24"/>
          <w:szCs w:val="24"/>
        </w:rPr>
        <w:t>ost prognosticators expect 3 to 4 hikes this year. If this happen</w:t>
      </w:r>
      <w:r w:rsidR="00AD5D4C">
        <w:rPr>
          <w:rFonts w:ascii="Times New Roman" w:hAnsi="Times New Roman" w:cs="Times New Roman"/>
          <w:sz w:val="24"/>
          <w:szCs w:val="24"/>
        </w:rPr>
        <w:t xml:space="preserve">s, </w:t>
      </w:r>
      <w:r w:rsidR="00D46FF3">
        <w:rPr>
          <w:rFonts w:ascii="Times New Roman" w:hAnsi="Times New Roman" w:cs="Times New Roman"/>
          <w:sz w:val="24"/>
          <w:szCs w:val="24"/>
        </w:rPr>
        <w:t>longer rates should also increase</w:t>
      </w:r>
      <w:r w:rsidR="00487F51">
        <w:rPr>
          <w:rFonts w:ascii="Times New Roman" w:hAnsi="Times New Roman" w:cs="Times New Roman"/>
          <w:sz w:val="24"/>
          <w:szCs w:val="24"/>
        </w:rPr>
        <w:t xml:space="preserve"> some</w:t>
      </w:r>
      <w:r w:rsidR="00986C55">
        <w:rPr>
          <w:rFonts w:ascii="Times New Roman" w:hAnsi="Times New Roman" w:cs="Times New Roman"/>
          <w:sz w:val="24"/>
          <w:szCs w:val="24"/>
        </w:rPr>
        <w:t xml:space="preserve">what. </w:t>
      </w:r>
      <w:r w:rsidR="00D46FF3">
        <w:rPr>
          <w:rFonts w:ascii="Times New Roman" w:hAnsi="Times New Roman" w:cs="Times New Roman"/>
          <w:sz w:val="24"/>
          <w:szCs w:val="24"/>
        </w:rPr>
        <w:t xml:space="preserve">It’s important to be positioned to benefit from this rather than be hurt by it. Don’t own long and intermediate term </w:t>
      </w:r>
      <w:r w:rsidR="00AD5D4C">
        <w:rPr>
          <w:rFonts w:ascii="Times New Roman" w:hAnsi="Times New Roman" w:cs="Times New Roman"/>
          <w:sz w:val="24"/>
          <w:szCs w:val="24"/>
        </w:rPr>
        <w:t xml:space="preserve">high quality </w:t>
      </w:r>
      <w:r w:rsidR="00D46FF3">
        <w:rPr>
          <w:rFonts w:ascii="Times New Roman" w:hAnsi="Times New Roman" w:cs="Times New Roman"/>
          <w:sz w:val="24"/>
          <w:szCs w:val="24"/>
        </w:rPr>
        <w:t>bonds without understanding th</w:t>
      </w:r>
      <w:r w:rsidR="00550743">
        <w:rPr>
          <w:rFonts w:ascii="Times New Roman" w:hAnsi="Times New Roman" w:cs="Times New Roman"/>
          <w:sz w:val="24"/>
          <w:szCs w:val="24"/>
        </w:rPr>
        <w:t xml:space="preserve">ese bonds will </w:t>
      </w:r>
      <w:r w:rsidR="00D46FF3">
        <w:rPr>
          <w:rFonts w:ascii="Times New Roman" w:hAnsi="Times New Roman" w:cs="Times New Roman"/>
          <w:sz w:val="24"/>
          <w:szCs w:val="24"/>
        </w:rPr>
        <w:t>decline in value</w:t>
      </w:r>
      <w:r w:rsidR="00950201">
        <w:rPr>
          <w:rFonts w:ascii="Times New Roman" w:hAnsi="Times New Roman" w:cs="Times New Roman"/>
          <w:sz w:val="24"/>
          <w:szCs w:val="24"/>
        </w:rPr>
        <w:t xml:space="preserve">. You may have to </w:t>
      </w:r>
      <w:r w:rsidR="00D46FF3">
        <w:rPr>
          <w:rFonts w:ascii="Times New Roman" w:hAnsi="Times New Roman" w:cs="Times New Roman"/>
          <w:sz w:val="24"/>
          <w:szCs w:val="24"/>
        </w:rPr>
        <w:t xml:space="preserve">hold them to maturity. </w:t>
      </w:r>
      <w:r w:rsidR="00986C55">
        <w:rPr>
          <w:rFonts w:ascii="Times New Roman" w:hAnsi="Times New Roman" w:cs="Times New Roman"/>
          <w:sz w:val="24"/>
          <w:szCs w:val="24"/>
        </w:rPr>
        <w:t>It is critical to understand the bond funds you</w:t>
      </w:r>
      <w:r w:rsidR="00550743">
        <w:rPr>
          <w:rFonts w:ascii="Times New Roman" w:hAnsi="Times New Roman" w:cs="Times New Roman"/>
          <w:sz w:val="24"/>
          <w:szCs w:val="24"/>
        </w:rPr>
        <w:t xml:space="preserve"> own. </w:t>
      </w:r>
      <w:r w:rsidR="00986C55">
        <w:rPr>
          <w:rFonts w:ascii="Times New Roman" w:hAnsi="Times New Roman" w:cs="Times New Roman"/>
          <w:sz w:val="24"/>
          <w:szCs w:val="24"/>
        </w:rPr>
        <w:t xml:space="preserve">They should not be the type that would be hurt in a rising rate environment. </w:t>
      </w:r>
    </w:p>
    <w:p w:rsidR="00986C55" w:rsidRDefault="00986C55" w:rsidP="005D40BE">
      <w:pPr>
        <w:pStyle w:val="NoSpacing"/>
        <w:jc w:val="both"/>
        <w:rPr>
          <w:rFonts w:ascii="Times New Roman" w:hAnsi="Times New Roman" w:cs="Times New Roman"/>
          <w:sz w:val="24"/>
          <w:szCs w:val="24"/>
        </w:rPr>
      </w:pPr>
    </w:p>
    <w:p w:rsidR="00F73B2E" w:rsidRPr="00F73B2E" w:rsidRDefault="00F73B2E" w:rsidP="005D40BE">
      <w:pPr>
        <w:pStyle w:val="NoSpacing"/>
        <w:jc w:val="both"/>
        <w:rPr>
          <w:rFonts w:ascii="Times New Roman" w:hAnsi="Times New Roman" w:cs="Times New Roman"/>
          <w:sz w:val="24"/>
          <w:szCs w:val="24"/>
        </w:rPr>
      </w:pPr>
      <w:r w:rsidRPr="00F73B2E">
        <w:rPr>
          <w:rFonts w:ascii="Times New Roman" w:hAnsi="Times New Roman" w:cs="Times New Roman"/>
          <w:b/>
          <w:sz w:val="24"/>
          <w:szCs w:val="24"/>
        </w:rPr>
        <w:t xml:space="preserve">Corporate profits </w:t>
      </w:r>
      <w:r w:rsidR="00D46FF3">
        <w:rPr>
          <w:rFonts w:ascii="Times New Roman" w:hAnsi="Times New Roman" w:cs="Times New Roman"/>
          <w:b/>
          <w:sz w:val="24"/>
          <w:szCs w:val="24"/>
        </w:rPr>
        <w:t xml:space="preserve">growth. </w:t>
      </w:r>
      <w:r>
        <w:rPr>
          <w:rFonts w:ascii="Times New Roman" w:hAnsi="Times New Roman" w:cs="Times New Roman"/>
          <w:sz w:val="24"/>
          <w:szCs w:val="24"/>
        </w:rPr>
        <w:t>Corporate earnings should increase along with the economy and the effect of lower tax rates</w:t>
      </w:r>
      <w:r w:rsidR="000C4287">
        <w:rPr>
          <w:rFonts w:ascii="Times New Roman" w:hAnsi="Times New Roman" w:cs="Times New Roman"/>
          <w:sz w:val="24"/>
          <w:szCs w:val="24"/>
        </w:rPr>
        <w:t xml:space="preserve">. </w:t>
      </w:r>
      <w:r w:rsidR="00AD5D4C">
        <w:rPr>
          <w:rFonts w:ascii="Times New Roman" w:hAnsi="Times New Roman" w:cs="Times New Roman"/>
          <w:sz w:val="24"/>
          <w:szCs w:val="24"/>
        </w:rPr>
        <w:t xml:space="preserve">Earnings for the S&amp;P 500 companies </w:t>
      </w:r>
      <w:r w:rsidR="000C4287">
        <w:rPr>
          <w:rFonts w:ascii="Times New Roman" w:hAnsi="Times New Roman" w:cs="Times New Roman"/>
          <w:sz w:val="24"/>
          <w:szCs w:val="24"/>
        </w:rPr>
        <w:t xml:space="preserve">are </w:t>
      </w:r>
      <w:r w:rsidR="00AD5D4C">
        <w:rPr>
          <w:rFonts w:ascii="Times New Roman" w:hAnsi="Times New Roman" w:cs="Times New Roman"/>
          <w:sz w:val="24"/>
          <w:szCs w:val="24"/>
        </w:rPr>
        <w:t xml:space="preserve">expected to rise nearly 17% this year. </w:t>
      </w:r>
      <w:r w:rsidR="00E26517">
        <w:rPr>
          <w:rFonts w:ascii="Times New Roman" w:hAnsi="Times New Roman" w:cs="Times New Roman"/>
          <w:sz w:val="24"/>
          <w:szCs w:val="24"/>
        </w:rPr>
        <w:t xml:space="preserve">So, stocks could gain 17% this year with no increase in the </w:t>
      </w:r>
      <w:r w:rsidR="00950201">
        <w:rPr>
          <w:rFonts w:ascii="Times New Roman" w:hAnsi="Times New Roman" w:cs="Times New Roman"/>
          <w:sz w:val="24"/>
          <w:szCs w:val="24"/>
        </w:rPr>
        <w:t>p</w:t>
      </w:r>
      <w:r w:rsidR="00E26517">
        <w:rPr>
          <w:rFonts w:ascii="Times New Roman" w:hAnsi="Times New Roman" w:cs="Times New Roman"/>
          <w:sz w:val="24"/>
          <w:szCs w:val="24"/>
        </w:rPr>
        <w:t>rice</w:t>
      </w:r>
      <w:r w:rsidR="00950201">
        <w:rPr>
          <w:rFonts w:ascii="Times New Roman" w:hAnsi="Times New Roman" w:cs="Times New Roman"/>
          <w:sz w:val="24"/>
          <w:szCs w:val="24"/>
        </w:rPr>
        <w:t>/</w:t>
      </w:r>
      <w:r w:rsidR="00E26517">
        <w:rPr>
          <w:rFonts w:ascii="Times New Roman" w:hAnsi="Times New Roman" w:cs="Times New Roman"/>
          <w:sz w:val="24"/>
          <w:szCs w:val="24"/>
        </w:rPr>
        <w:t xml:space="preserve">earnings level of the market. </w:t>
      </w:r>
    </w:p>
    <w:p w:rsidR="00F73B2E" w:rsidRPr="00F73B2E" w:rsidRDefault="00F73B2E" w:rsidP="005D40BE">
      <w:pPr>
        <w:pStyle w:val="NoSpacing"/>
        <w:jc w:val="both"/>
        <w:rPr>
          <w:rFonts w:ascii="Times New Roman" w:hAnsi="Times New Roman" w:cs="Times New Roman"/>
          <w:b/>
          <w:sz w:val="24"/>
          <w:szCs w:val="24"/>
        </w:rPr>
      </w:pPr>
    </w:p>
    <w:p w:rsidR="00C025F1" w:rsidRPr="00494965" w:rsidRDefault="00E26517" w:rsidP="005D40BE">
      <w:pPr>
        <w:pStyle w:val="NoSpacing"/>
        <w:jc w:val="both"/>
        <w:rPr>
          <w:rFonts w:ascii="Times New Roman" w:hAnsi="Times New Roman" w:cs="Times New Roman"/>
          <w:color w:val="000000" w:themeColor="text1"/>
          <w:sz w:val="24"/>
          <w:szCs w:val="24"/>
        </w:rPr>
      </w:pPr>
      <w:r w:rsidRPr="00E26517">
        <w:rPr>
          <w:rFonts w:ascii="Times New Roman" w:hAnsi="Times New Roman" w:cs="Times New Roman"/>
          <w:b/>
          <w:color w:val="000000" w:themeColor="text1"/>
          <w:sz w:val="24"/>
          <w:szCs w:val="24"/>
        </w:rPr>
        <w:t>Cannabis and Cryptos</w:t>
      </w:r>
      <w:r w:rsidRPr="00E26517">
        <w:rPr>
          <w:rFonts w:ascii="Times New Roman" w:hAnsi="Times New Roman" w:cs="Times New Roman"/>
          <w:color w:val="000000" w:themeColor="text1"/>
          <w:sz w:val="24"/>
          <w:szCs w:val="24"/>
        </w:rPr>
        <w:t xml:space="preserve">. </w:t>
      </w:r>
      <w:r w:rsidR="00494965">
        <w:rPr>
          <w:rFonts w:ascii="Times New Roman" w:hAnsi="Times New Roman" w:cs="Times New Roman"/>
          <w:color w:val="000000" w:themeColor="text1"/>
          <w:sz w:val="24"/>
          <w:szCs w:val="24"/>
        </w:rPr>
        <w:t xml:space="preserve">The </w:t>
      </w:r>
      <w:r w:rsidR="0066090A">
        <w:rPr>
          <w:rFonts w:ascii="Times New Roman" w:hAnsi="Times New Roman" w:cs="Times New Roman"/>
          <w:color w:val="000000" w:themeColor="text1"/>
          <w:sz w:val="24"/>
          <w:szCs w:val="24"/>
        </w:rPr>
        <w:t xml:space="preserve">runup </w:t>
      </w:r>
      <w:r w:rsidR="00494965">
        <w:rPr>
          <w:rFonts w:ascii="Times New Roman" w:hAnsi="Times New Roman" w:cs="Times New Roman"/>
          <w:color w:val="000000" w:themeColor="text1"/>
          <w:sz w:val="24"/>
          <w:szCs w:val="24"/>
        </w:rPr>
        <w:t xml:space="preserve">in Cannabis companies and </w:t>
      </w:r>
      <w:r w:rsidR="00851CBD">
        <w:rPr>
          <w:rFonts w:ascii="Times New Roman" w:hAnsi="Times New Roman" w:cs="Times New Roman"/>
          <w:noProof/>
          <w:color w:val="000000" w:themeColor="text1"/>
          <w:sz w:val="24"/>
          <w:szCs w:val="24"/>
        </w:rPr>
        <w:drawing>
          <wp:anchor distT="0" distB="0" distL="114300" distR="114300" simplePos="0" relativeHeight="251665408" behindDoc="0" locked="0" layoutInCell="1" allowOverlap="1">
            <wp:simplePos x="0" y="0"/>
            <wp:positionH relativeFrom="column">
              <wp:posOffset>4495800</wp:posOffset>
            </wp:positionH>
            <wp:positionV relativeFrom="paragraph">
              <wp:posOffset>-3175</wp:posOffset>
            </wp:positionV>
            <wp:extent cx="1438275" cy="1438275"/>
            <wp:effectExtent l="0" t="0" r="9525" b="9525"/>
            <wp:wrapSquare wrapText="bothSides"/>
            <wp:docPr id="10" name="Picture 10"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nabis-coin-logo.jpg"/>
                    <pic:cNvPicPr/>
                  </pic:nvPicPr>
                  <pic:blipFill>
                    <a:blip r:embed="rId11">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anchor>
        </w:drawing>
      </w:r>
      <w:r w:rsidR="00494965">
        <w:rPr>
          <w:rFonts w:ascii="Times New Roman" w:hAnsi="Times New Roman" w:cs="Times New Roman"/>
          <w:color w:val="000000" w:themeColor="text1"/>
          <w:sz w:val="24"/>
          <w:szCs w:val="24"/>
        </w:rPr>
        <w:t>Cryptocurrencies remind me of other manias I’ve witnessed</w:t>
      </w:r>
      <w:r w:rsidR="0066090A">
        <w:rPr>
          <w:rFonts w:ascii="Times New Roman" w:hAnsi="Times New Roman" w:cs="Times New Roman"/>
          <w:color w:val="000000" w:themeColor="text1"/>
          <w:sz w:val="24"/>
          <w:szCs w:val="24"/>
        </w:rPr>
        <w:t xml:space="preserve"> or read about. </w:t>
      </w:r>
      <w:r w:rsidR="00494965">
        <w:rPr>
          <w:rFonts w:ascii="Times New Roman" w:hAnsi="Times New Roman" w:cs="Times New Roman"/>
          <w:color w:val="000000" w:themeColor="text1"/>
          <w:sz w:val="24"/>
          <w:szCs w:val="24"/>
        </w:rPr>
        <w:t xml:space="preserve">Investors seem to not care about </w:t>
      </w:r>
      <w:r>
        <w:rPr>
          <w:rFonts w:ascii="Times New Roman" w:hAnsi="Times New Roman" w:cs="Times New Roman"/>
          <w:color w:val="000000" w:themeColor="text1"/>
          <w:sz w:val="24"/>
          <w:szCs w:val="24"/>
        </w:rPr>
        <w:t xml:space="preserve">valuations. They just expect to be able to sell </w:t>
      </w:r>
      <w:r w:rsidR="0066090A">
        <w:rPr>
          <w:rFonts w:ascii="Times New Roman" w:hAnsi="Times New Roman" w:cs="Times New Roman"/>
          <w:color w:val="000000" w:themeColor="text1"/>
          <w:sz w:val="24"/>
          <w:szCs w:val="24"/>
        </w:rPr>
        <w:t xml:space="preserve">these assets to someone else at </w:t>
      </w:r>
      <w:r>
        <w:rPr>
          <w:rFonts w:ascii="Times New Roman" w:hAnsi="Times New Roman" w:cs="Times New Roman"/>
          <w:color w:val="000000" w:themeColor="text1"/>
          <w:sz w:val="24"/>
          <w:szCs w:val="24"/>
        </w:rPr>
        <w:t xml:space="preserve">a higher price at some point. </w:t>
      </w:r>
      <w:r w:rsidR="0066090A">
        <w:rPr>
          <w:rFonts w:ascii="Times New Roman" w:hAnsi="Times New Roman" w:cs="Times New Roman"/>
          <w:color w:val="000000" w:themeColor="text1"/>
          <w:sz w:val="24"/>
          <w:szCs w:val="24"/>
        </w:rPr>
        <w:t xml:space="preserve">Cryptos will eventually earn legitimacy and </w:t>
      </w:r>
      <w:r>
        <w:rPr>
          <w:rFonts w:ascii="Times New Roman" w:hAnsi="Times New Roman" w:cs="Times New Roman"/>
          <w:color w:val="000000" w:themeColor="text1"/>
          <w:sz w:val="24"/>
          <w:szCs w:val="24"/>
        </w:rPr>
        <w:t>some C</w:t>
      </w:r>
      <w:r w:rsidR="00494965">
        <w:rPr>
          <w:rFonts w:ascii="Times New Roman" w:hAnsi="Times New Roman" w:cs="Times New Roman"/>
          <w:color w:val="000000" w:themeColor="text1"/>
          <w:sz w:val="24"/>
          <w:szCs w:val="24"/>
        </w:rPr>
        <w:t xml:space="preserve">annabis companies will make money in a legal manner. Both are radically overvalued currently and will probably be one of the things talking heads point to when they are discussing the next bear cycle. </w:t>
      </w:r>
    </w:p>
    <w:p w:rsidR="00C025F1" w:rsidRPr="00032893" w:rsidRDefault="00C025F1" w:rsidP="005D40BE">
      <w:pPr>
        <w:pStyle w:val="NoSpacing"/>
        <w:jc w:val="both"/>
        <w:rPr>
          <w:rFonts w:ascii="Times New Roman" w:hAnsi="Times New Roman" w:cs="Times New Roman"/>
          <w:b/>
          <w:color w:val="1F24E6"/>
          <w:sz w:val="24"/>
          <w:szCs w:val="24"/>
        </w:rPr>
      </w:pPr>
    </w:p>
    <w:p w:rsidR="00EB780D" w:rsidRDefault="00E26517" w:rsidP="005D40BE">
      <w:pPr>
        <w:pStyle w:val="NoSpacing"/>
        <w:jc w:val="both"/>
        <w:rPr>
          <w:rFonts w:ascii="Times New Roman" w:hAnsi="Times New Roman" w:cs="Times New Roman"/>
          <w:sz w:val="24"/>
          <w:szCs w:val="24"/>
        </w:rPr>
      </w:pPr>
      <w:r w:rsidRPr="00E26517">
        <w:rPr>
          <w:rFonts w:ascii="Times New Roman" w:hAnsi="Times New Roman" w:cs="Times New Roman"/>
          <w:b/>
          <w:sz w:val="24"/>
          <w:szCs w:val="24"/>
        </w:rPr>
        <w:t>Melt-up</w:t>
      </w:r>
      <w:r>
        <w:rPr>
          <w:rFonts w:ascii="Times New Roman" w:hAnsi="Times New Roman" w:cs="Times New Roman"/>
          <w:sz w:val="24"/>
          <w:szCs w:val="24"/>
        </w:rPr>
        <w:t xml:space="preserve">. </w:t>
      </w:r>
      <w:r w:rsidR="00835D4F" w:rsidRPr="00C41FF6">
        <w:rPr>
          <w:rFonts w:ascii="Times New Roman" w:hAnsi="Times New Roman" w:cs="Times New Roman"/>
          <w:sz w:val="24"/>
          <w:szCs w:val="24"/>
        </w:rPr>
        <w:t xml:space="preserve">“If current macro trends continue, I </w:t>
      </w:r>
      <w:r w:rsidR="00835D4F" w:rsidRPr="00C41FF6">
        <w:rPr>
          <w:rFonts w:ascii="Times New Roman" w:hAnsi="Times New Roman" w:cs="Times New Roman"/>
          <w:color w:val="000000" w:themeColor="text1"/>
          <w:sz w:val="24"/>
          <w:szCs w:val="24"/>
        </w:rPr>
        <w:t>wouldn’t be surprised if the equity market gained substantially from current levels in the months ahead in an almost parabolic fashion.” </w:t>
      </w:r>
      <w:hyperlink r:id="rId12" w:history="1">
        <w:r w:rsidR="00835D4F" w:rsidRPr="00C41FF6">
          <w:rPr>
            <w:rStyle w:val="Hyperlink"/>
            <w:rFonts w:ascii="Times New Roman" w:hAnsi="Times New Roman" w:cs="Times New Roman"/>
            <w:color w:val="000000" w:themeColor="text1"/>
            <w:sz w:val="24"/>
            <w:szCs w:val="24"/>
          </w:rPr>
          <w:t>wrote</w:t>
        </w:r>
      </w:hyperlink>
      <w:r w:rsidR="00835D4F" w:rsidRPr="00C41FF6">
        <w:rPr>
          <w:rFonts w:ascii="Times New Roman" w:hAnsi="Times New Roman" w:cs="Times New Roman"/>
          <w:color w:val="000000" w:themeColor="text1"/>
          <w:sz w:val="24"/>
          <w:szCs w:val="24"/>
        </w:rPr>
        <w:t xml:space="preserve"> Ryan Beach, the CEO of CLS Investments. But he worries investors are too deep in love with the current bull market and might abandon reason. “How many years in a row can we inaccurately warn </w:t>
      </w:r>
      <w:r w:rsidR="00835D4F" w:rsidRPr="00C41FF6">
        <w:rPr>
          <w:rFonts w:ascii="Times New Roman" w:hAnsi="Times New Roman" w:cs="Times New Roman"/>
          <w:sz w:val="24"/>
          <w:szCs w:val="24"/>
        </w:rPr>
        <w:t>that ‘winter’ is coming before investors lose confidence in our warnings and abandon carefully crafted, diversified portfolios?”</w:t>
      </w:r>
    </w:p>
    <w:p w:rsidR="00C41FF6" w:rsidRDefault="00C41FF6" w:rsidP="005D40BE">
      <w:pPr>
        <w:pStyle w:val="NoSpacing"/>
        <w:jc w:val="both"/>
        <w:rPr>
          <w:rFonts w:ascii="Times New Roman" w:hAnsi="Times New Roman" w:cs="Times New Roman"/>
          <w:b/>
          <w:sz w:val="24"/>
          <w:szCs w:val="24"/>
        </w:rPr>
      </w:pPr>
    </w:p>
    <w:p w:rsidR="00C41FF6" w:rsidRPr="00C41FF6" w:rsidRDefault="00C41FF6" w:rsidP="005D40B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agree with </w:t>
      </w:r>
      <w:r w:rsidR="00E26517">
        <w:rPr>
          <w:rFonts w:ascii="Times New Roman" w:hAnsi="Times New Roman" w:cs="Times New Roman"/>
          <w:sz w:val="24"/>
          <w:szCs w:val="24"/>
        </w:rPr>
        <w:t xml:space="preserve">him. </w:t>
      </w:r>
      <w:r w:rsidR="00F63BAD">
        <w:rPr>
          <w:rFonts w:ascii="Times New Roman" w:hAnsi="Times New Roman" w:cs="Times New Roman"/>
          <w:sz w:val="24"/>
          <w:szCs w:val="24"/>
        </w:rPr>
        <w:t xml:space="preserve">The end of </w:t>
      </w:r>
      <w:r w:rsidR="000C4287">
        <w:rPr>
          <w:rFonts w:ascii="Times New Roman" w:hAnsi="Times New Roman" w:cs="Times New Roman"/>
          <w:sz w:val="24"/>
          <w:szCs w:val="24"/>
        </w:rPr>
        <w:t>b</w:t>
      </w:r>
      <w:r>
        <w:rPr>
          <w:rFonts w:ascii="Times New Roman" w:hAnsi="Times New Roman" w:cs="Times New Roman"/>
          <w:sz w:val="24"/>
          <w:szCs w:val="24"/>
        </w:rPr>
        <w:t xml:space="preserve">ull </w:t>
      </w:r>
      <w:r w:rsidR="00F63BAD">
        <w:rPr>
          <w:rFonts w:ascii="Times New Roman" w:hAnsi="Times New Roman" w:cs="Times New Roman"/>
          <w:sz w:val="24"/>
          <w:szCs w:val="24"/>
        </w:rPr>
        <w:t xml:space="preserve">and bear </w:t>
      </w:r>
      <w:r>
        <w:rPr>
          <w:rFonts w:ascii="Times New Roman" w:hAnsi="Times New Roman" w:cs="Times New Roman"/>
          <w:sz w:val="24"/>
          <w:szCs w:val="24"/>
        </w:rPr>
        <w:t>markets are often characterized by</w:t>
      </w:r>
      <w:r w:rsidR="00E26517">
        <w:rPr>
          <w:rFonts w:ascii="Times New Roman" w:hAnsi="Times New Roman" w:cs="Times New Roman"/>
          <w:sz w:val="24"/>
          <w:szCs w:val="24"/>
        </w:rPr>
        <w:t xml:space="preserve"> </w:t>
      </w:r>
      <w:r w:rsidR="00F63BAD" w:rsidRPr="000C4287">
        <w:rPr>
          <w:rFonts w:ascii="Times New Roman" w:hAnsi="Times New Roman" w:cs="Times New Roman"/>
          <w:sz w:val="24"/>
          <w:szCs w:val="24"/>
          <w:u w:val="single"/>
        </w:rPr>
        <w:t>capitulation</w:t>
      </w:r>
      <w:r w:rsidR="00E26517" w:rsidRPr="000C4287">
        <w:rPr>
          <w:rFonts w:ascii="Times New Roman" w:hAnsi="Times New Roman" w:cs="Times New Roman"/>
          <w:sz w:val="24"/>
          <w:szCs w:val="24"/>
          <w:u w:val="single"/>
        </w:rPr>
        <w:t>.</w:t>
      </w:r>
      <w:r w:rsidR="00E26517">
        <w:rPr>
          <w:rFonts w:ascii="Times New Roman" w:hAnsi="Times New Roman" w:cs="Times New Roman"/>
          <w:sz w:val="24"/>
          <w:szCs w:val="24"/>
        </w:rPr>
        <w:t xml:space="preserve"> </w:t>
      </w:r>
      <w:r w:rsidR="00F63BAD">
        <w:rPr>
          <w:rFonts w:ascii="Times New Roman" w:hAnsi="Times New Roman" w:cs="Times New Roman"/>
          <w:sz w:val="24"/>
          <w:szCs w:val="24"/>
        </w:rPr>
        <w:t xml:space="preserve">During the 2008-2009 market downturn, even patient, experienced </w:t>
      </w:r>
      <w:r w:rsidR="00E26517">
        <w:rPr>
          <w:rFonts w:ascii="Times New Roman" w:hAnsi="Times New Roman" w:cs="Times New Roman"/>
          <w:sz w:val="24"/>
          <w:szCs w:val="24"/>
        </w:rPr>
        <w:t>i</w:t>
      </w:r>
      <w:r w:rsidR="00F63BAD">
        <w:rPr>
          <w:rFonts w:ascii="Times New Roman" w:hAnsi="Times New Roman" w:cs="Times New Roman"/>
          <w:sz w:val="24"/>
          <w:szCs w:val="24"/>
        </w:rPr>
        <w:t xml:space="preserve">nvestors capitulated by giving up on stocks. We may </w:t>
      </w:r>
      <w:r w:rsidR="00E26517">
        <w:rPr>
          <w:rFonts w:ascii="Times New Roman" w:hAnsi="Times New Roman" w:cs="Times New Roman"/>
          <w:sz w:val="24"/>
          <w:szCs w:val="24"/>
        </w:rPr>
        <w:t xml:space="preserve">eventually </w:t>
      </w:r>
      <w:r w:rsidR="00F63BAD">
        <w:rPr>
          <w:rFonts w:ascii="Times New Roman" w:hAnsi="Times New Roman" w:cs="Times New Roman"/>
          <w:sz w:val="24"/>
          <w:szCs w:val="24"/>
        </w:rPr>
        <w:t xml:space="preserve">see just the opposite. Many investors who were previously wary of </w:t>
      </w:r>
      <w:r w:rsidR="00F63BAD">
        <w:rPr>
          <w:rFonts w:ascii="Times New Roman" w:hAnsi="Times New Roman" w:cs="Times New Roman"/>
          <w:sz w:val="24"/>
          <w:szCs w:val="24"/>
        </w:rPr>
        <w:lastRenderedPageBreak/>
        <w:t xml:space="preserve">stocks because of the 2018 bear may decide they have to get invested. </w:t>
      </w:r>
      <w:r w:rsidR="00E26517">
        <w:rPr>
          <w:rFonts w:ascii="Times New Roman" w:hAnsi="Times New Roman" w:cs="Times New Roman"/>
          <w:sz w:val="24"/>
          <w:szCs w:val="24"/>
        </w:rPr>
        <w:t xml:space="preserve">FOMO (fear of missing out) strikes again. </w:t>
      </w:r>
      <w:r w:rsidR="000C4287">
        <w:rPr>
          <w:rFonts w:ascii="Times New Roman" w:hAnsi="Times New Roman" w:cs="Times New Roman"/>
          <w:sz w:val="24"/>
          <w:szCs w:val="24"/>
        </w:rPr>
        <w:t xml:space="preserve">Doing some selling into a melt up would probably be a good strategy. </w:t>
      </w:r>
    </w:p>
    <w:p w:rsidR="00851CBD" w:rsidRDefault="00851CBD" w:rsidP="005D40BE">
      <w:pPr>
        <w:pStyle w:val="NoSpacing"/>
        <w:jc w:val="both"/>
        <w:rPr>
          <w:rFonts w:ascii="Times New Roman" w:hAnsi="Times New Roman" w:cs="Times New Roman"/>
          <w:b/>
          <w:color w:val="1F24E6"/>
          <w:sz w:val="24"/>
          <w:szCs w:val="24"/>
        </w:rPr>
      </w:pPr>
    </w:p>
    <w:p w:rsidR="0012195E" w:rsidRDefault="0012195E" w:rsidP="005D40BE">
      <w:pPr>
        <w:pStyle w:val="NoSpacing"/>
        <w:jc w:val="both"/>
        <w:rPr>
          <w:rFonts w:ascii="Times New Roman" w:hAnsi="Times New Roman" w:cs="Times New Roman"/>
          <w:b/>
          <w:color w:val="1F24E6"/>
          <w:sz w:val="24"/>
          <w:szCs w:val="24"/>
        </w:rPr>
      </w:pPr>
      <w:r>
        <w:rPr>
          <w:rFonts w:ascii="Times New Roman" w:hAnsi="Times New Roman" w:cs="Times New Roman"/>
          <w:b/>
          <w:color w:val="1F24E6"/>
          <w:sz w:val="24"/>
          <w:szCs w:val="24"/>
        </w:rPr>
        <w:t>Mutual Funds 2018: Low Diversification</w:t>
      </w:r>
    </w:p>
    <w:p w:rsidR="0012195E" w:rsidRDefault="0012195E" w:rsidP="005D40BE">
      <w:pPr>
        <w:pStyle w:val="NoSpacing"/>
        <w:jc w:val="both"/>
        <w:rPr>
          <w:rFonts w:ascii="Times New Roman" w:hAnsi="Times New Roman" w:cs="Times New Roman"/>
          <w:b/>
          <w:color w:val="1F24E6"/>
          <w:sz w:val="24"/>
          <w:szCs w:val="24"/>
        </w:rPr>
      </w:pPr>
    </w:p>
    <w:p w:rsidR="00E2252C" w:rsidRDefault="005E0E34" w:rsidP="005D40BE">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regularly review all mutual funds</w:t>
      </w:r>
      <w:r w:rsidR="0055074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clients own including 401(k) plan fund options we don’t manage when I help them with their plan allocation. I’ve noticed a recent trend toward less and less d</w:t>
      </w:r>
      <w:r w:rsidR="00E2252C">
        <w:rPr>
          <w:rFonts w:ascii="Times New Roman" w:hAnsi="Times New Roman" w:cs="Times New Roman"/>
          <w:color w:val="000000" w:themeColor="text1"/>
          <w:sz w:val="24"/>
          <w:szCs w:val="24"/>
        </w:rPr>
        <w:t xml:space="preserve">iversification. The list of top holdings from fund to fund is strikingly similar. This is because much of the returns of the market have occurred in the same </w:t>
      </w:r>
      <w:r w:rsidR="00990008">
        <w:rPr>
          <w:rFonts w:ascii="Times New Roman" w:hAnsi="Times New Roman" w:cs="Times New Roman"/>
          <w:color w:val="000000" w:themeColor="text1"/>
          <w:sz w:val="24"/>
          <w:szCs w:val="24"/>
        </w:rPr>
        <w:t xml:space="preserve">relatively small </w:t>
      </w:r>
      <w:r w:rsidR="00E2252C">
        <w:rPr>
          <w:rFonts w:ascii="Times New Roman" w:hAnsi="Times New Roman" w:cs="Times New Roman"/>
          <w:color w:val="000000" w:themeColor="text1"/>
          <w:sz w:val="24"/>
          <w:szCs w:val="24"/>
        </w:rPr>
        <w:t xml:space="preserve">list of stocks. For managers to keep up with their benchmarks or the competition, they </w:t>
      </w:r>
      <w:r w:rsidR="00990008">
        <w:rPr>
          <w:rFonts w:ascii="Times New Roman" w:hAnsi="Times New Roman" w:cs="Times New Roman"/>
          <w:color w:val="000000" w:themeColor="text1"/>
          <w:sz w:val="24"/>
          <w:szCs w:val="24"/>
        </w:rPr>
        <w:t xml:space="preserve">must </w:t>
      </w:r>
      <w:r w:rsidR="00E2252C">
        <w:rPr>
          <w:rFonts w:ascii="Times New Roman" w:hAnsi="Times New Roman" w:cs="Times New Roman"/>
          <w:color w:val="000000" w:themeColor="text1"/>
          <w:sz w:val="24"/>
          <w:szCs w:val="24"/>
        </w:rPr>
        <w:t xml:space="preserve">own the same stocks. </w:t>
      </w:r>
      <w:r w:rsidR="00990008">
        <w:rPr>
          <w:rFonts w:ascii="Times New Roman" w:hAnsi="Times New Roman" w:cs="Times New Roman"/>
          <w:color w:val="000000" w:themeColor="text1"/>
          <w:sz w:val="24"/>
          <w:szCs w:val="24"/>
        </w:rPr>
        <w:t>Also, i</w:t>
      </w:r>
      <w:r w:rsidR="00E2252C">
        <w:rPr>
          <w:rFonts w:ascii="Times New Roman" w:hAnsi="Times New Roman" w:cs="Times New Roman"/>
          <w:color w:val="000000" w:themeColor="text1"/>
          <w:sz w:val="24"/>
          <w:szCs w:val="24"/>
        </w:rPr>
        <w:t xml:space="preserve">nvestors think investing in index funds will provide them with broad diversification. </w:t>
      </w:r>
      <w:r w:rsidR="00990008">
        <w:rPr>
          <w:rFonts w:ascii="Times New Roman" w:hAnsi="Times New Roman" w:cs="Times New Roman"/>
          <w:color w:val="000000" w:themeColor="text1"/>
          <w:sz w:val="24"/>
          <w:szCs w:val="24"/>
        </w:rPr>
        <w:t xml:space="preserve">90% of indexing is in the S&amp;P 500 index. </w:t>
      </w:r>
      <w:r w:rsidR="00E26517">
        <w:rPr>
          <w:rFonts w:ascii="Times New Roman" w:hAnsi="Times New Roman" w:cs="Times New Roman"/>
          <w:color w:val="000000" w:themeColor="text1"/>
          <w:sz w:val="24"/>
          <w:szCs w:val="24"/>
        </w:rPr>
        <w:t xml:space="preserve">The same list of best performing stocks makes up a disproportionate percentage of the index. </w:t>
      </w:r>
      <w:r w:rsidR="00990008">
        <w:rPr>
          <w:rFonts w:ascii="Times New Roman" w:hAnsi="Times New Roman" w:cs="Times New Roman"/>
          <w:color w:val="000000" w:themeColor="text1"/>
          <w:sz w:val="24"/>
          <w:szCs w:val="24"/>
        </w:rPr>
        <w:t xml:space="preserve">When the next bear hits, </w:t>
      </w:r>
      <w:r w:rsidR="00550743">
        <w:rPr>
          <w:rFonts w:ascii="Times New Roman" w:hAnsi="Times New Roman" w:cs="Times New Roman"/>
          <w:color w:val="000000" w:themeColor="text1"/>
          <w:sz w:val="24"/>
          <w:szCs w:val="24"/>
        </w:rPr>
        <w:t xml:space="preserve">these </w:t>
      </w:r>
      <w:r w:rsidR="00990008">
        <w:rPr>
          <w:rFonts w:ascii="Times New Roman" w:hAnsi="Times New Roman" w:cs="Times New Roman"/>
          <w:color w:val="000000" w:themeColor="text1"/>
          <w:sz w:val="24"/>
          <w:szCs w:val="24"/>
        </w:rPr>
        <w:t xml:space="preserve">same stocks </w:t>
      </w:r>
      <w:r w:rsidR="00550743">
        <w:rPr>
          <w:rFonts w:ascii="Times New Roman" w:hAnsi="Times New Roman" w:cs="Times New Roman"/>
          <w:color w:val="000000" w:themeColor="text1"/>
          <w:sz w:val="24"/>
          <w:szCs w:val="24"/>
        </w:rPr>
        <w:t xml:space="preserve">may be </w:t>
      </w:r>
      <w:r w:rsidR="00990008">
        <w:rPr>
          <w:rFonts w:ascii="Times New Roman" w:hAnsi="Times New Roman" w:cs="Times New Roman"/>
          <w:color w:val="000000" w:themeColor="text1"/>
          <w:sz w:val="24"/>
          <w:szCs w:val="24"/>
        </w:rPr>
        <w:t xml:space="preserve">hit the </w:t>
      </w:r>
      <w:r w:rsidR="00550743">
        <w:rPr>
          <w:rFonts w:ascii="Times New Roman" w:hAnsi="Times New Roman" w:cs="Times New Roman"/>
          <w:color w:val="000000" w:themeColor="text1"/>
          <w:sz w:val="24"/>
          <w:szCs w:val="24"/>
        </w:rPr>
        <w:t xml:space="preserve">hardest. </w:t>
      </w:r>
      <w:r w:rsidR="00A42F59">
        <w:rPr>
          <w:rFonts w:ascii="Times New Roman" w:hAnsi="Times New Roman" w:cs="Times New Roman"/>
          <w:color w:val="000000" w:themeColor="text1"/>
          <w:sz w:val="24"/>
          <w:szCs w:val="24"/>
        </w:rPr>
        <w:t xml:space="preserve">It is more important than ever to be diversified into smaller stocks, foreign stocks and domestic stocks in the sectors that have underperformed in current market conditions. </w:t>
      </w:r>
      <w:r w:rsidR="000C4287">
        <w:rPr>
          <w:rFonts w:ascii="Times New Roman" w:hAnsi="Times New Roman" w:cs="Times New Roman"/>
          <w:color w:val="000000" w:themeColor="text1"/>
          <w:sz w:val="24"/>
          <w:szCs w:val="24"/>
        </w:rPr>
        <w:t xml:space="preserve">Resist the temptation to put more money into the funds that have done the best recently. </w:t>
      </w:r>
    </w:p>
    <w:p w:rsidR="00990008" w:rsidRDefault="00990008" w:rsidP="005D40BE">
      <w:pPr>
        <w:pStyle w:val="NoSpacing"/>
        <w:jc w:val="both"/>
        <w:rPr>
          <w:rFonts w:ascii="Times New Roman" w:hAnsi="Times New Roman" w:cs="Times New Roman"/>
          <w:color w:val="000000" w:themeColor="text1"/>
          <w:sz w:val="24"/>
          <w:szCs w:val="24"/>
        </w:rPr>
      </w:pPr>
    </w:p>
    <w:p w:rsidR="00E26517" w:rsidRPr="00C025F1" w:rsidRDefault="00E26517" w:rsidP="00E26517">
      <w:pPr>
        <w:pStyle w:val="NoSpacing"/>
        <w:jc w:val="both"/>
        <w:rPr>
          <w:rFonts w:ascii="Times New Roman" w:hAnsi="Times New Roman" w:cs="Times New Roman"/>
          <w:b/>
          <w:color w:val="1F24E6"/>
          <w:sz w:val="24"/>
          <w:szCs w:val="24"/>
        </w:rPr>
      </w:pPr>
      <w:r w:rsidRPr="00C025F1">
        <w:rPr>
          <w:rFonts w:ascii="Times New Roman" w:hAnsi="Times New Roman" w:cs="Times New Roman"/>
          <w:b/>
          <w:color w:val="1F24E6"/>
          <w:sz w:val="24"/>
          <w:szCs w:val="24"/>
        </w:rPr>
        <w:t>Electric Vehicles</w:t>
      </w:r>
      <w:r w:rsidR="005E0E34">
        <w:rPr>
          <w:rFonts w:ascii="Times New Roman" w:hAnsi="Times New Roman" w:cs="Times New Roman"/>
          <w:b/>
          <w:color w:val="1F24E6"/>
          <w:sz w:val="24"/>
          <w:szCs w:val="24"/>
        </w:rPr>
        <w:t xml:space="preserve">, </w:t>
      </w:r>
      <w:r w:rsidR="000C4287">
        <w:rPr>
          <w:rFonts w:ascii="Times New Roman" w:hAnsi="Times New Roman" w:cs="Times New Roman"/>
          <w:b/>
          <w:color w:val="1F24E6"/>
          <w:sz w:val="24"/>
          <w:szCs w:val="24"/>
        </w:rPr>
        <w:t xml:space="preserve">A Way </w:t>
      </w:r>
      <w:r w:rsidR="00A54E5E">
        <w:rPr>
          <w:rFonts w:ascii="Times New Roman" w:hAnsi="Times New Roman" w:cs="Times New Roman"/>
          <w:b/>
          <w:color w:val="1F24E6"/>
          <w:sz w:val="24"/>
          <w:szCs w:val="24"/>
        </w:rPr>
        <w:t>to</w:t>
      </w:r>
      <w:r w:rsidR="000C4287">
        <w:rPr>
          <w:rFonts w:ascii="Times New Roman" w:hAnsi="Times New Roman" w:cs="Times New Roman"/>
          <w:b/>
          <w:color w:val="1F24E6"/>
          <w:sz w:val="24"/>
          <w:szCs w:val="24"/>
        </w:rPr>
        <w:t xml:space="preserve"> </w:t>
      </w:r>
      <w:r w:rsidR="005E0E34">
        <w:rPr>
          <w:rFonts w:ascii="Times New Roman" w:hAnsi="Times New Roman" w:cs="Times New Roman"/>
          <w:b/>
          <w:color w:val="1F24E6"/>
          <w:sz w:val="24"/>
          <w:szCs w:val="24"/>
        </w:rPr>
        <w:t>Profit</w:t>
      </w:r>
    </w:p>
    <w:p w:rsidR="00E26517" w:rsidRDefault="00E26517" w:rsidP="00E26517">
      <w:pPr>
        <w:pStyle w:val="NoSpacing"/>
        <w:jc w:val="both"/>
        <w:rPr>
          <w:rFonts w:ascii="Times New Roman" w:hAnsi="Times New Roman" w:cs="Times New Roman"/>
          <w:b/>
          <w:sz w:val="24"/>
          <w:szCs w:val="24"/>
        </w:rPr>
      </w:pPr>
    </w:p>
    <w:p w:rsidR="00E26517" w:rsidRDefault="00253C88" w:rsidP="00E26517">
      <w:pPr>
        <w:pStyle w:val="No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margin">
              <wp:align>left</wp:align>
            </wp:positionH>
            <wp:positionV relativeFrom="paragraph">
              <wp:posOffset>85725</wp:posOffset>
            </wp:positionV>
            <wp:extent cx="1880235" cy="1111885"/>
            <wp:effectExtent l="0" t="0" r="5715" b="0"/>
            <wp:wrapSquare wrapText="bothSides"/>
            <wp:docPr id="8" name="Picture 8" descr="A red ca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la-Model-3-shiny-CleanTechnica-EV-Report-20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0235" cy="1111885"/>
                    </a:xfrm>
                    <a:prstGeom prst="rect">
                      <a:avLst/>
                    </a:prstGeom>
                  </pic:spPr>
                </pic:pic>
              </a:graphicData>
            </a:graphic>
            <wp14:sizeRelH relativeFrom="margin">
              <wp14:pctWidth>0</wp14:pctWidth>
            </wp14:sizeRelH>
            <wp14:sizeRelV relativeFrom="margin">
              <wp14:pctHeight>0</wp14:pctHeight>
            </wp14:sizeRelV>
          </wp:anchor>
        </w:drawing>
      </w:r>
      <w:r w:rsidR="00E26517">
        <w:rPr>
          <w:rFonts w:ascii="Times New Roman" w:hAnsi="Times New Roman" w:cs="Times New Roman"/>
          <w:sz w:val="24"/>
          <w:szCs w:val="24"/>
        </w:rPr>
        <w:t>Levi Strauss accumulated great wealth by selling denim jeans to California gold rush miners. Few of those miners came close to striking it rich like the inventor of the iconic Levi brand jeans. Tesla has successfully changed the image of the electric vehicle from glorified golf cart to fast, sexy vehicles. Tesla, however, is always in need of new capital and no profits are in sight. Like Levi Strauss did the during Gold Rush, selling things the miners need to do their job, a way to profit from the EV “Gold Rush” is to invest in companies sell</w:t>
      </w:r>
      <w:r w:rsidR="00550743">
        <w:rPr>
          <w:rFonts w:ascii="Times New Roman" w:hAnsi="Times New Roman" w:cs="Times New Roman"/>
          <w:sz w:val="24"/>
          <w:szCs w:val="24"/>
        </w:rPr>
        <w:t xml:space="preserve">ing </w:t>
      </w:r>
      <w:r w:rsidR="00E26517">
        <w:rPr>
          <w:rFonts w:ascii="Times New Roman" w:hAnsi="Times New Roman" w:cs="Times New Roman"/>
          <w:sz w:val="24"/>
          <w:szCs w:val="24"/>
        </w:rPr>
        <w:t xml:space="preserve">the manufacturers the things they need to do their jobs.  </w:t>
      </w:r>
    </w:p>
    <w:p w:rsidR="00E26517" w:rsidRDefault="00E26517" w:rsidP="00E26517">
      <w:pPr>
        <w:pStyle w:val="NoSpacing"/>
        <w:jc w:val="both"/>
        <w:rPr>
          <w:rFonts w:ascii="Times New Roman" w:hAnsi="Times New Roman" w:cs="Times New Roman"/>
          <w:sz w:val="24"/>
          <w:szCs w:val="24"/>
        </w:rPr>
      </w:pPr>
    </w:p>
    <w:p w:rsidR="00E26517" w:rsidRDefault="00851CBD" w:rsidP="00E26517">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We’ve compiled a </w:t>
      </w:r>
      <w:r w:rsidR="00E26517">
        <w:rPr>
          <w:rFonts w:ascii="Times New Roman" w:hAnsi="Times New Roman" w:cs="Times New Roman"/>
          <w:sz w:val="24"/>
          <w:szCs w:val="24"/>
        </w:rPr>
        <w:t xml:space="preserve">portfolio of companies that appear to be positioned to benefit from the rise in EV manufacturing. For the most part, these companies are high priced relative to traditional valuation measures. Obviously, I’m not the only person in the world interested in this idea. So, I am buying a fraction of the size of position </w:t>
      </w:r>
      <w:r w:rsidR="00550743">
        <w:rPr>
          <w:rFonts w:ascii="Times New Roman" w:hAnsi="Times New Roman" w:cs="Times New Roman"/>
          <w:sz w:val="24"/>
          <w:szCs w:val="24"/>
        </w:rPr>
        <w:t>I</w:t>
      </w:r>
      <w:r w:rsidR="00E26517">
        <w:rPr>
          <w:rFonts w:ascii="Times New Roman" w:hAnsi="Times New Roman" w:cs="Times New Roman"/>
          <w:sz w:val="24"/>
          <w:szCs w:val="24"/>
        </w:rPr>
        <w:t xml:space="preserve"> would like to eventually own of these names. Inevitably, there will be bumps in the road to EV dominance and the stock market itself will eventually dip. This then will provide the opportunity to add to these positions at more reasonable valuations. Call or e-mail me if you are interested in more information on my EV supplier portfolio. </w:t>
      </w:r>
    </w:p>
    <w:p w:rsidR="0012195E" w:rsidRDefault="0012195E" w:rsidP="005D40BE">
      <w:pPr>
        <w:pStyle w:val="NoSpacing"/>
        <w:jc w:val="both"/>
        <w:rPr>
          <w:rFonts w:ascii="Times New Roman" w:hAnsi="Times New Roman" w:cs="Times New Roman"/>
          <w:b/>
          <w:color w:val="1F24E6"/>
          <w:sz w:val="24"/>
          <w:szCs w:val="24"/>
        </w:rPr>
      </w:pPr>
    </w:p>
    <w:p w:rsidR="00CE68CE" w:rsidRDefault="00CE68CE" w:rsidP="005D40BE">
      <w:pPr>
        <w:pStyle w:val="NoSpacing"/>
        <w:jc w:val="both"/>
        <w:rPr>
          <w:rFonts w:ascii="Times New Roman" w:hAnsi="Times New Roman" w:cs="Times New Roman"/>
          <w:sz w:val="24"/>
          <w:szCs w:val="24"/>
        </w:rPr>
      </w:pPr>
      <w:r>
        <w:rPr>
          <w:rFonts w:ascii="Times New Roman" w:hAnsi="Times New Roman" w:cs="Times New Roman"/>
          <w:sz w:val="24"/>
          <w:szCs w:val="24"/>
        </w:rPr>
        <w:t>Thank you for your business!</w:t>
      </w:r>
    </w:p>
    <w:p w:rsidR="004E676F" w:rsidRDefault="004E676F" w:rsidP="005D40BE">
      <w:pPr>
        <w:pStyle w:val="NoSpacing"/>
        <w:jc w:val="both"/>
        <w:rPr>
          <w:rFonts w:ascii="Times New Roman" w:hAnsi="Times New Roman" w:cs="Times New Roman"/>
          <w:sz w:val="24"/>
          <w:szCs w:val="24"/>
        </w:rPr>
      </w:pPr>
    </w:p>
    <w:p w:rsidR="006571A3" w:rsidRDefault="00BE78CB" w:rsidP="005D40BE">
      <w:pPr>
        <w:pStyle w:val="NoSpacing"/>
        <w:jc w:val="both"/>
        <w:rPr>
          <w:rFonts w:ascii="Times New Roman" w:hAnsi="Times New Roman" w:cs="Times New Roman"/>
          <w:sz w:val="24"/>
          <w:szCs w:val="24"/>
        </w:rPr>
      </w:pPr>
      <w:r>
        <w:rPr>
          <w:rFonts w:ascii="Times New Roman" w:hAnsi="Times New Roman" w:cs="Times New Roman"/>
          <w:sz w:val="24"/>
          <w:szCs w:val="24"/>
        </w:rPr>
        <w:t>Michael Dunham CFP®, CPC, QPFC</w:t>
      </w:r>
    </w:p>
    <w:p w:rsidR="00BE78CB" w:rsidRDefault="00BE78CB" w:rsidP="005D40BE">
      <w:pPr>
        <w:pStyle w:val="NoSpacing"/>
        <w:jc w:val="both"/>
        <w:rPr>
          <w:rFonts w:ascii="Times New Roman" w:hAnsi="Times New Roman" w:cs="Times New Roman"/>
          <w:sz w:val="24"/>
          <w:szCs w:val="24"/>
        </w:rPr>
      </w:pPr>
    </w:p>
    <w:p w:rsidR="00012CAC" w:rsidRDefault="005174F1" w:rsidP="005D40BE">
      <w:pPr>
        <w:jc w:val="both"/>
        <w:rPr>
          <w:rFonts w:ascii="Times New Roman" w:hAnsi="Times New Roman"/>
          <w:sz w:val="18"/>
          <w:szCs w:val="18"/>
        </w:rPr>
      </w:pPr>
      <w:r>
        <w:rPr>
          <w:rFonts w:ascii="Times New Roman" w:hAnsi="Times New Roman"/>
          <w:sz w:val="18"/>
          <w:szCs w:val="18"/>
        </w:rPr>
        <w:t>I</w:t>
      </w:r>
      <w:r w:rsidR="00012CAC" w:rsidRPr="00F027D5">
        <w:rPr>
          <w:rFonts w:ascii="Times New Roman" w:hAnsi="Times New Roman"/>
          <w:sz w:val="18"/>
          <w:szCs w:val="18"/>
        </w:rPr>
        <w:t>nvestment advisory services offered through Access Financial Resources, Inc., an SEC Registered Investment Advisor</w:t>
      </w:r>
    </w:p>
    <w:p w:rsidR="00FA0F82" w:rsidRDefault="00FA0F82" w:rsidP="00FA0F82">
      <w:pPr>
        <w:jc w:val="both"/>
        <w:rPr>
          <w:sz w:val="16"/>
          <w:szCs w:val="16"/>
        </w:rPr>
      </w:pPr>
    </w:p>
    <w:p w:rsidR="00FA0F82" w:rsidRPr="00FA0F82" w:rsidRDefault="00FA0F82" w:rsidP="00FA0F82">
      <w:pPr>
        <w:jc w:val="both"/>
        <w:rPr>
          <w:sz w:val="16"/>
          <w:szCs w:val="16"/>
        </w:rPr>
      </w:pPr>
      <w:r w:rsidRPr="00FA0F82">
        <w:rPr>
          <w:sz w:val="16"/>
          <w:szCs w:val="16"/>
        </w:rPr>
        <w:t>*Market Returns: All data is indicative of total return which includes capital gain/loss and reinvested dividends for noted period. Index data sources; MSCI, DJ-UBSCI, WTI, IDC, S&amp;P. The information provided is believed to be reliable, but its accuracy or completeness is not warranted. This material is not intended as an offer or solicitation for the purchase or</w:t>
      </w:r>
      <w:r>
        <w:rPr>
          <w:sz w:val="16"/>
          <w:szCs w:val="16"/>
        </w:rPr>
        <w:t xml:space="preserve"> </w:t>
      </w:r>
      <w:r w:rsidRPr="00FA0F82">
        <w:rPr>
          <w:sz w:val="16"/>
          <w:szCs w:val="16"/>
        </w:rPr>
        <w:t>sale of any stock, bond, mutual fund, or any other financial instrument. The views and strategies discussed herein may not be appropriate and/or suitable for all investors. This material is meant solely for informational purposes, and is not intended to suffice as any type of accounting, legal, tax, or estate planning advice. Any and all forecasts mentioned</w:t>
      </w:r>
    </w:p>
    <w:p w:rsidR="00FA0F82" w:rsidRPr="00F027D5" w:rsidRDefault="00FA0F82" w:rsidP="005D40BE">
      <w:pPr>
        <w:jc w:val="both"/>
        <w:rPr>
          <w:rFonts w:ascii="Times New Roman" w:hAnsi="Times New Roman"/>
          <w:sz w:val="18"/>
          <w:szCs w:val="18"/>
        </w:rPr>
      </w:pPr>
      <w:r w:rsidRPr="00FA0F82">
        <w:rPr>
          <w:sz w:val="16"/>
          <w:szCs w:val="16"/>
        </w:rPr>
        <w:t>are for illustrative purposes only and should not be interpreted as investment recommendations.</w:t>
      </w:r>
    </w:p>
    <w:sectPr w:rsidR="00FA0F82" w:rsidRPr="00F027D5" w:rsidSect="005A5C98">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F5C" w:rsidRDefault="005A7F5C" w:rsidP="00E923D2">
      <w:r>
        <w:separator/>
      </w:r>
    </w:p>
  </w:endnote>
  <w:endnote w:type="continuationSeparator" w:id="0">
    <w:p w:rsidR="005A7F5C" w:rsidRDefault="005A7F5C" w:rsidP="00E9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F5C" w:rsidRDefault="005A7F5C" w:rsidP="00E923D2">
      <w:r>
        <w:separator/>
      </w:r>
    </w:p>
  </w:footnote>
  <w:footnote w:type="continuationSeparator" w:id="0">
    <w:p w:rsidR="005A7F5C" w:rsidRDefault="005A7F5C" w:rsidP="00E9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98" w:rsidRDefault="005A5C98">
    <w:pPr>
      <w:pStyle w:val="Header"/>
    </w:pPr>
    <w:r>
      <w:rPr>
        <w:noProof/>
      </w:rPr>
      <w:drawing>
        <wp:anchor distT="0" distB="0" distL="114300" distR="114300" simplePos="0" relativeHeight="251659264" behindDoc="0" locked="0" layoutInCell="1" allowOverlap="1" wp14:anchorId="03802E5F" wp14:editId="677FAAC8">
          <wp:simplePos x="0" y="0"/>
          <wp:positionH relativeFrom="column">
            <wp:posOffset>-238125</wp:posOffset>
          </wp:positionH>
          <wp:positionV relativeFrom="paragraph">
            <wp:posOffset>-304800</wp:posOffset>
          </wp:positionV>
          <wp:extent cx="6485890" cy="2000250"/>
          <wp:effectExtent l="0" t="0" r="0" b="0"/>
          <wp:wrapSquare wrapText="bothSides"/>
          <wp:docPr id="1" name="Picture 1" descr="cid:image001.jpg@01D2AD48.4A01F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c4322a-4c76-487d-97d0-60bcbc4e2829" descr="cid:image001.jpg@01D2AD48.4A01FA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589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D69FF"/>
    <w:multiLevelType w:val="multilevel"/>
    <w:tmpl w:val="487AF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90181"/>
    <w:multiLevelType w:val="hybridMultilevel"/>
    <w:tmpl w:val="64E29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D2"/>
    <w:rsid w:val="000041BF"/>
    <w:rsid w:val="00012CAC"/>
    <w:rsid w:val="00032217"/>
    <w:rsid w:val="00032893"/>
    <w:rsid w:val="00053A08"/>
    <w:rsid w:val="00053CC4"/>
    <w:rsid w:val="00093B75"/>
    <w:rsid w:val="000C4287"/>
    <w:rsid w:val="000D7784"/>
    <w:rsid w:val="001125BD"/>
    <w:rsid w:val="0012195E"/>
    <w:rsid w:val="0012511E"/>
    <w:rsid w:val="00130C7C"/>
    <w:rsid w:val="00153A94"/>
    <w:rsid w:val="001555D4"/>
    <w:rsid w:val="00165E0B"/>
    <w:rsid w:val="00183469"/>
    <w:rsid w:val="0018583C"/>
    <w:rsid w:val="001954D6"/>
    <w:rsid w:val="001C7B1A"/>
    <w:rsid w:val="001C7C34"/>
    <w:rsid w:val="001E6EB8"/>
    <w:rsid w:val="00216A5A"/>
    <w:rsid w:val="00217255"/>
    <w:rsid w:val="00226A3A"/>
    <w:rsid w:val="00240358"/>
    <w:rsid w:val="0025206B"/>
    <w:rsid w:val="002535A2"/>
    <w:rsid w:val="00253C88"/>
    <w:rsid w:val="00272105"/>
    <w:rsid w:val="002810F4"/>
    <w:rsid w:val="00297178"/>
    <w:rsid w:val="002D5BAA"/>
    <w:rsid w:val="002E4797"/>
    <w:rsid w:val="002F6D66"/>
    <w:rsid w:val="003003EB"/>
    <w:rsid w:val="00310E02"/>
    <w:rsid w:val="0031105D"/>
    <w:rsid w:val="00311810"/>
    <w:rsid w:val="00316F4A"/>
    <w:rsid w:val="003348AE"/>
    <w:rsid w:val="00344154"/>
    <w:rsid w:val="00355226"/>
    <w:rsid w:val="00373456"/>
    <w:rsid w:val="00391CAF"/>
    <w:rsid w:val="00395037"/>
    <w:rsid w:val="003A60E6"/>
    <w:rsid w:val="003E080B"/>
    <w:rsid w:val="003E6978"/>
    <w:rsid w:val="0040410B"/>
    <w:rsid w:val="004350DE"/>
    <w:rsid w:val="004673A1"/>
    <w:rsid w:val="00487F51"/>
    <w:rsid w:val="00494965"/>
    <w:rsid w:val="004D266E"/>
    <w:rsid w:val="004E1635"/>
    <w:rsid w:val="004E676F"/>
    <w:rsid w:val="005174F1"/>
    <w:rsid w:val="00522217"/>
    <w:rsid w:val="005258A2"/>
    <w:rsid w:val="00541C2C"/>
    <w:rsid w:val="005437AD"/>
    <w:rsid w:val="00550743"/>
    <w:rsid w:val="005606F3"/>
    <w:rsid w:val="00570DD0"/>
    <w:rsid w:val="005778A8"/>
    <w:rsid w:val="005937AD"/>
    <w:rsid w:val="0059490D"/>
    <w:rsid w:val="005A5C98"/>
    <w:rsid w:val="005A7F5C"/>
    <w:rsid w:val="005C7A9A"/>
    <w:rsid w:val="005D40BE"/>
    <w:rsid w:val="005D7DE1"/>
    <w:rsid w:val="005E0E34"/>
    <w:rsid w:val="00632817"/>
    <w:rsid w:val="00652B39"/>
    <w:rsid w:val="006571A3"/>
    <w:rsid w:val="0066090A"/>
    <w:rsid w:val="00667B89"/>
    <w:rsid w:val="00683596"/>
    <w:rsid w:val="006B4A4E"/>
    <w:rsid w:val="006D7A90"/>
    <w:rsid w:val="00701673"/>
    <w:rsid w:val="00722015"/>
    <w:rsid w:val="00731082"/>
    <w:rsid w:val="00747F03"/>
    <w:rsid w:val="00756E14"/>
    <w:rsid w:val="00785968"/>
    <w:rsid w:val="007A3BB4"/>
    <w:rsid w:val="007B02E7"/>
    <w:rsid w:val="007B5E15"/>
    <w:rsid w:val="007D728F"/>
    <w:rsid w:val="007E0C11"/>
    <w:rsid w:val="007E41E8"/>
    <w:rsid w:val="007E5283"/>
    <w:rsid w:val="00812942"/>
    <w:rsid w:val="00835D4F"/>
    <w:rsid w:val="008463EF"/>
    <w:rsid w:val="00851CBD"/>
    <w:rsid w:val="00855D23"/>
    <w:rsid w:val="00887ECC"/>
    <w:rsid w:val="008A30AB"/>
    <w:rsid w:val="00907C00"/>
    <w:rsid w:val="00920AC9"/>
    <w:rsid w:val="00950201"/>
    <w:rsid w:val="0095174C"/>
    <w:rsid w:val="00961C2A"/>
    <w:rsid w:val="0098122B"/>
    <w:rsid w:val="00986C55"/>
    <w:rsid w:val="00990008"/>
    <w:rsid w:val="009A300E"/>
    <w:rsid w:val="009C5E44"/>
    <w:rsid w:val="009D05BC"/>
    <w:rsid w:val="009D5AC7"/>
    <w:rsid w:val="00A213BE"/>
    <w:rsid w:val="00A35217"/>
    <w:rsid w:val="00A42F59"/>
    <w:rsid w:val="00A54E5E"/>
    <w:rsid w:val="00A67D02"/>
    <w:rsid w:val="00A90BC1"/>
    <w:rsid w:val="00AA3DC8"/>
    <w:rsid w:val="00AC73B5"/>
    <w:rsid w:val="00AC7A65"/>
    <w:rsid w:val="00AD5D4C"/>
    <w:rsid w:val="00AF20DA"/>
    <w:rsid w:val="00AF2334"/>
    <w:rsid w:val="00AF34F6"/>
    <w:rsid w:val="00B03F1E"/>
    <w:rsid w:val="00B06A7C"/>
    <w:rsid w:val="00B635C1"/>
    <w:rsid w:val="00B6752B"/>
    <w:rsid w:val="00B82694"/>
    <w:rsid w:val="00BE78CB"/>
    <w:rsid w:val="00C025F1"/>
    <w:rsid w:val="00C05D19"/>
    <w:rsid w:val="00C12DAD"/>
    <w:rsid w:val="00C223EE"/>
    <w:rsid w:val="00C41FF6"/>
    <w:rsid w:val="00C51056"/>
    <w:rsid w:val="00C54758"/>
    <w:rsid w:val="00C5586B"/>
    <w:rsid w:val="00C5760C"/>
    <w:rsid w:val="00C65A83"/>
    <w:rsid w:val="00C7155B"/>
    <w:rsid w:val="00C733B1"/>
    <w:rsid w:val="00C74A3E"/>
    <w:rsid w:val="00C81D33"/>
    <w:rsid w:val="00CB295A"/>
    <w:rsid w:val="00CB79B7"/>
    <w:rsid w:val="00CD2024"/>
    <w:rsid w:val="00CE68CE"/>
    <w:rsid w:val="00CF01D7"/>
    <w:rsid w:val="00CF31A7"/>
    <w:rsid w:val="00CF3E71"/>
    <w:rsid w:val="00CF47FD"/>
    <w:rsid w:val="00D07E79"/>
    <w:rsid w:val="00D2039B"/>
    <w:rsid w:val="00D46FF3"/>
    <w:rsid w:val="00D51F85"/>
    <w:rsid w:val="00D53797"/>
    <w:rsid w:val="00D6653C"/>
    <w:rsid w:val="00D72574"/>
    <w:rsid w:val="00D74625"/>
    <w:rsid w:val="00D874F2"/>
    <w:rsid w:val="00DA6F4A"/>
    <w:rsid w:val="00DB5A40"/>
    <w:rsid w:val="00DC201B"/>
    <w:rsid w:val="00DC4D0F"/>
    <w:rsid w:val="00DE54DF"/>
    <w:rsid w:val="00DE654F"/>
    <w:rsid w:val="00DF3105"/>
    <w:rsid w:val="00DF7616"/>
    <w:rsid w:val="00E02919"/>
    <w:rsid w:val="00E11374"/>
    <w:rsid w:val="00E1590F"/>
    <w:rsid w:val="00E21B53"/>
    <w:rsid w:val="00E2252C"/>
    <w:rsid w:val="00E26517"/>
    <w:rsid w:val="00E37619"/>
    <w:rsid w:val="00E470F4"/>
    <w:rsid w:val="00E4741D"/>
    <w:rsid w:val="00E618B6"/>
    <w:rsid w:val="00E74F1E"/>
    <w:rsid w:val="00E923D2"/>
    <w:rsid w:val="00EB780D"/>
    <w:rsid w:val="00EC14FA"/>
    <w:rsid w:val="00EF3948"/>
    <w:rsid w:val="00F027D5"/>
    <w:rsid w:val="00F152D4"/>
    <w:rsid w:val="00F16EC0"/>
    <w:rsid w:val="00F46DFE"/>
    <w:rsid w:val="00F613F4"/>
    <w:rsid w:val="00F63BAD"/>
    <w:rsid w:val="00F64769"/>
    <w:rsid w:val="00F719BE"/>
    <w:rsid w:val="00F73B2E"/>
    <w:rsid w:val="00F8286A"/>
    <w:rsid w:val="00FA0F82"/>
    <w:rsid w:val="00FA3100"/>
    <w:rsid w:val="00FD7FA6"/>
    <w:rsid w:val="00FE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33A94E"/>
  <w15:chartTrackingRefBased/>
  <w15:docId w15:val="{7992B651-1F4E-4DD2-9E77-15F42E47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CAC"/>
    <w:pPr>
      <w:spacing w:after="0" w:line="240" w:lineRule="auto"/>
    </w:pPr>
    <w:rPr>
      <w:rFonts w:ascii="Calibri" w:eastAsia="Times New Roman" w:hAnsi="Calibri" w:cs="Times New Roman"/>
    </w:rPr>
  </w:style>
  <w:style w:type="paragraph" w:styleId="Heading1">
    <w:name w:val="heading 1"/>
    <w:basedOn w:val="Normal"/>
    <w:link w:val="Heading1Char"/>
    <w:uiPriority w:val="9"/>
    <w:qFormat/>
    <w:rsid w:val="00522217"/>
    <w:pPr>
      <w:spacing w:before="100" w:beforeAutospacing="1" w:after="100" w:afterAutospacing="1"/>
      <w:outlineLvl w:val="0"/>
    </w:pPr>
    <w:rPr>
      <w:rFonts w:eastAsiaTheme="minorHAns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625"/>
    <w:pPr>
      <w:spacing w:after="0" w:line="240" w:lineRule="auto"/>
    </w:pPr>
  </w:style>
  <w:style w:type="paragraph" w:styleId="Header">
    <w:name w:val="header"/>
    <w:basedOn w:val="Normal"/>
    <w:link w:val="HeaderChar"/>
    <w:uiPriority w:val="99"/>
    <w:unhideWhenUsed/>
    <w:rsid w:val="00E923D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923D2"/>
  </w:style>
  <w:style w:type="paragraph" w:styleId="Footer">
    <w:name w:val="footer"/>
    <w:basedOn w:val="Normal"/>
    <w:link w:val="FooterChar"/>
    <w:uiPriority w:val="99"/>
    <w:unhideWhenUsed/>
    <w:rsid w:val="00E923D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923D2"/>
  </w:style>
  <w:style w:type="character" w:customStyle="1" w:styleId="Heading1Char">
    <w:name w:val="Heading 1 Char"/>
    <w:basedOn w:val="DefaultParagraphFont"/>
    <w:link w:val="Heading1"/>
    <w:uiPriority w:val="9"/>
    <w:rsid w:val="00522217"/>
    <w:rPr>
      <w:rFonts w:ascii="Calibri" w:hAnsi="Calibri" w:cs="Calibri"/>
      <w:b/>
      <w:bCs/>
      <w:kern w:val="36"/>
      <w:sz w:val="48"/>
      <w:szCs w:val="48"/>
    </w:rPr>
  </w:style>
  <w:style w:type="character" w:styleId="Hyperlink">
    <w:name w:val="Hyperlink"/>
    <w:basedOn w:val="DefaultParagraphFont"/>
    <w:uiPriority w:val="99"/>
    <w:unhideWhenUsed/>
    <w:rsid w:val="00522217"/>
    <w:rPr>
      <w:color w:val="3998B4"/>
      <w:u w:val="single"/>
    </w:rPr>
  </w:style>
  <w:style w:type="character" w:styleId="Strong">
    <w:name w:val="Strong"/>
    <w:basedOn w:val="DefaultParagraphFont"/>
    <w:uiPriority w:val="22"/>
    <w:qFormat/>
    <w:rsid w:val="00522217"/>
    <w:rPr>
      <w:b/>
      <w:bCs/>
    </w:rPr>
  </w:style>
  <w:style w:type="character" w:styleId="Emphasis">
    <w:name w:val="Emphasis"/>
    <w:basedOn w:val="DefaultParagraphFont"/>
    <w:uiPriority w:val="20"/>
    <w:qFormat/>
    <w:rsid w:val="00522217"/>
    <w:rPr>
      <w:i/>
      <w:iCs/>
    </w:rPr>
  </w:style>
  <w:style w:type="character" w:styleId="UnresolvedMention">
    <w:name w:val="Unresolved Mention"/>
    <w:basedOn w:val="DefaultParagraphFont"/>
    <w:uiPriority w:val="99"/>
    <w:semiHidden/>
    <w:unhideWhenUsed/>
    <w:rsid w:val="008A30AB"/>
    <w:rPr>
      <w:color w:val="808080"/>
      <w:shd w:val="clear" w:color="auto" w:fill="E6E6E6"/>
    </w:rPr>
  </w:style>
  <w:style w:type="paragraph" w:styleId="BalloonText">
    <w:name w:val="Balloon Text"/>
    <w:basedOn w:val="Normal"/>
    <w:link w:val="BalloonTextChar"/>
    <w:uiPriority w:val="99"/>
    <w:semiHidden/>
    <w:unhideWhenUsed/>
    <w:rsid w:val="00CB2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3924">
      <w:bodyDiv w:val="1"/>
      <w:marLeft w:val="0"/>
      <w:marRight w:val="0"/>
      <w:marTop w:val="0"/>
      <w:marBottom w:val="0"/>
      <w:divBdr>
        <w:top w:val="none" w:sz="0" w:space="0" w:color="auto"/>
        <w:left w:val="none" w:sz="0" w:space="0" w:color="auto"/>
        <w:bottom w:val="none" w:sz="0" w:space="0" w:color="auto"/>
        <w:right w:val="none" w:sz="0" w:space="0" w:color="auto"/>
      </w:divBdr>
      <w:divsChild>
        <w:div w:id="761531570">
          <w:marLeft w:val="0"/>
          <w:marRight w:val="0"/>
          <w:marTop w:val="0"/>
          <w:marBottom w:val="0"/>
          <w:divBdr>
            <w:top w:val="none" w:sz="0" w:space="0" w:color="auto"/>
            <w:left w:val="none" w:sz="0" w:space="0" w:color="auto"/>
            <w:bottom w:val="none" w:sz="0" w:space="0" w:color="auto"/>
            <w:right w:val="none" w:sz="0" w:space="0" w:color="auto"/>
          </w:divBdr>
          <w:divsChild>
            <w:div w:id="1058016618">
              <w:marLeft w:val="0"/>
              <w:marRight w:val="0"/>
              <w:marTop w:val="0"/>
              <w:marBottom w:val="0"/>
              <w:divBdr>
                <w:top w:val="none" w:sz="0" w:space="0" w:color="auto"/>
                <w:left w:val="none" w:sz="0" w:space="0" w:color="auto"/>
                <w:bottom w:val="none" w:sz="0" w:space="0" w:color="auto"/>
                <w:right w:val="none" w:sz="0" w:space="0" w:color="auto"/>
              </w:divBdr>
              <w:divsChild>
                <w:div w:id="112746998">
                  <w:marLeft w:val="0"/>
                  <w:marRight w:val="0"/>
                  <w:marTop w:val="360"/>
                  <w:marBottom w:val="0"/>
                  <w:divBdr>
                    <w:top w:val="none" w:sz="0" w:space="0" w:color="auto"/>
                    <w:left w:val="none" w:sz="0" w:space="0" w:color="auto"/>
                    <w:bottom w:val="none" w:sz="0" w:space="0" w:color="auto"/>
                    <w:right w:val="none" w:sz="0" w:space="0" w:color="auto"/>
                  </w:divBdr>
                  <w:divsChild>
                    <w:div w:id="983778416">
                      <w:marLeft w:val="0"/>
                      <w:marRight w:val="0"/>
                      <w:marTop w:val="0"/>
                      <w:marBottom w:val="0"/>
                      <w:divBdr>
                        <w:top w:val="none" w:sz="0" w:space="0" w:color="auto"/>
                        <w:left w:val="none" w:sz="0" w:space="0" w:color="auto"/>
                        <w:bottom w:val="none" w:sz="0" w:space="0" w:color="auto"/>
                        <w:right w:val="none" w:sz="0" w:space="0" w:color="auto"/>
                      </w:divBdr>
                      <w:divsChild>
                        <w:div w:id="950937187">
                          <w:marLeft w:val="0"/>
                          <w:marRight w:val="0"/>
                          <w:marTop w:val="0"/>
                          <w:marBottom w:val="0"/>
                          <w:divBdr>
                            <w:top w:val="none" w:sz="0" w:space="0" w:color="auto"/>
                            <w:left w:val="none" w:sz="0" w:space="0" w:color="auto"/>
                            <w:bottom w:val="none" w:sz="0" w:space="0" w:color="auto"/>
                            <w:right w:val="none" w:sz="0" w:space="0" w:color="auto"/>
                          </w:divBdr>
                          <w:divsChild>
                            <w:div w:id="127763917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31737">
      <w:bodyDiv w:val="1"/>
      <w:marLeft w:val="0"/>
      <w:marRight w:val="0"/>
      <w:marTop w:val="0"/>
      <w:marBottom w:val="0"/>
      <w:divBdr>
        <w:top w:val="none" w:sz="0" w:space="0" w:color="auto"/>
        <w:left w:val="none" w:sz="0" w:space="0" w:color="auto"/>
        <w:bottom w:val="none" w:sz="0" w:space="0" w:color="auto"/>
        <w:right w:val="none" w:sz="0" w:space="0" w:color="auto"/>
      </w:divBdr>
    </w:div>
    <w:div w:id="763037210">
      <w:bodyDiv w:val="1"/>
      <w:marLeft w:val="0"/>
      <w:marRight w:val="0"/>
      <w:marTop w:val="0"/>
      <w:marBottom w:val="0"/>
      <w:divBdr>
        <w:top w:val="none" w:sz="0" w:space="0" w:color="auto"/>
        <w:left w:val="none" w:sz="0" w:space="0" w:color="auto"/>
        <w:bottom w:val="none" w:sz="0" w:space="0" w:color="auto"/>
        <w:right w:val="none" w:sz="0" w:space="0" w:color="auto"/>
      </w:divBdr>
    </w:div>
    <w:div w:id="768542649">
      <w:bodyDiv w:val="1"/>
      <w:marLeft w:val="0"/>
      <w:marRight w:val="0"/>
      <w:marTop w:val="0"/>
      <w:marBottom w:val="0"/>
      <w:divBdr>
        <w:top w:val="none" w:sz="0" w:space="0" w:color="auto"/>
        <w:left w:val="none" w:sz="0" w:space="0" w:color="auto"/>
        <w:bottom w:val="none" w:sz="0" w:space="0" w:color="auto"/>
        <w:right w:val="none" w:sz="0" w:space="0" w:color="auto"/>
      </w:divBdr>
    </w:div>
    <w:div w:id="1151093513">
      <w:bodyDiv w:val="1"/>
      <w:marLeft w:val="0"/>
      <w:marRight w:val="0"/>
      <w:marTop w:val="0"/>
      <w:marBottom w:val="0"/>
      <w:divBdr>
        <w:top w:val="none" w:sz="0" w:space="0" w:color="auto"/>
        <w:left w:val="none" w:sz="0" w:space="0" w:color="auto"/>
        <w:bottom w:val="none" w:sz="0" w:space="0" w:color="auto"/>
        <w:right w:val="none" w:sz="0" w:space="0" w:color="auto"/>
      </w:divBdr>
    </w:div>
    <w:div w:id="19444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althmanagement.com/resources/wealth-management-yearend-outlook?elqTrackId=79034d4580a94323b7f76ec4ee26731f&amp;elq=428bfdc1f64f47dab793231a2246afd4&amp;elqaid=12073&amp;elqat=1&amp;elqCampaignId=10537&amp;utm_rid=CPG09000005743225&amp;utm_campaign=12073&amp;utm_medium=email&amp;elq2=428bfdc1f64f47dab793231a2246afd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AD48.4A01FAE0"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13344</TotalTime>
  <Pages>4</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Powell</dc:creator>
  <cp:keywords/>
  <dc:description/>
  <cp:lastModifiedBy>Mara Scott</cp:lastModifiedBy>
  <cp:revision>41</cp:revision>
  <cp:lastPrinted>2018-01-14T15:34:00Z</cp:lastPrinted>
  <dcterms:created xsi:type="dcterms:W3CDTF">2018-01-03T14:24:00Z</dcterms:created>
  <dcterms:modified xsi:type="dcterms:W3CDTF">2018-01-15T17:37:00Z</dcterms:modified>
</cp:coreProperties>
</file>