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3021B">
      <w:pPr>
        <w:pStyle w:val="news-title"/>
      </w:pPr>
      <w:bookmarkStart w:id="0" w:name="topofpage"/>
      <w:bookmarkStart w:id="1" w:name="_GoBack"/>
      <w:bookmarkEnd w:id="0"/>
      <w:bookmarkEnd w:id="1"/>
      <w:r>
        <w:t>Dealing with Uncashed Distribution Checks and Missing Participants</w:t>
      </w:r>
    </w:p>
    <w:p w:rsidR="00000000" w:rsidRDefault="00A3021B">
      <w:pPr>
        <w:pStyle w:val="news-date"/>
      </w:pPr>
      <w:r>
        <w:t>February 2017 Newsletter</w:t>
      </w:r>
    </w:p>
    <w:p w:rsidR="00000000" w:rsidRDefault="00A3021B">
      <w:pPr>
        <w:rPr>
          <w:rFonts w:ascii="Verdana" w:eastAsia="Times New Roman" w:hAnsi="Verdana"/>
          <w:sz w:val="17"/>
          <w:szCs w:val="17"/>
        </w:rPr>
      </w:pPr>
      <w:r>
        <w:rPr>
          <w:rFonts w:ascii="Verdana" w:eastAsia="Times New Roman" w:hAnsi="Verdana"/>
          <w:sz w:val="17"/>
          <w:szCs w:val="17"/>
        </w:rPr>
        <w:pict>
          <v:rect id="_x0000_i1025" style="width:0;height:1.5pt" o:hralign="center" o:hrstd="t" o:hr="t" fillcolor="#a0a0a0" stroked="f"/>
        </w:pict>
      </w:r>
    </w:p>
    <w:p w:rsidR="00000000" w:rsidRDefault="00A3021B">
      <w:pPr>
        <w:numPr>
          <w:ilvl w:val="0"/>
          <w:numId w:val="1"/>
        </w:numPr>
        <w:spacing w:before="100" w:beforeAutospacing="1" w:after="100" w:afterAutospacing="1"/>
        <w:rPr>
          <w:rFonts w:ascii="Verdana" w:eastAsia="Times New Roman" w:hAnsi="Verdana"/>
          <w:sz w:val="17"/>
          <w:szCs w:val="17"/>
        </w:rPr>
      </w:pPr>
      <w:hyperlink w:anchor="intro" w:history="1">
        <w:r>
          <w:rPr>
            <w:rStyle w:val="Hyperlink"/>
            <w:rFonts w:ascii="Verdana" w:eastAsia="Times New Roman" w:hAnsi="Verdana"/>
            <w:sz w:val="17"/>
            <w:szCs w:val="17"/>
          </w:rPr>
          <w:t>Introduction</w:t>
        </w:r>
      </w:hyperlink>
    </w:p>
    <w:p w:rsidR="00000000" w:rsidRDefault="00A3021B">
      <w:pPr>
        <w:numPr>
          <w:ilvl w:val="0"/>
          <w:numId w:val="1"/>
        </w:numPr>
        <w:spacing w:before="100" w:beforeAutospacing="1" w:after="100" w:afterAutospacing="1"/>
        <w:rPr>
          <w:rFonts w:ascii="Verdana" w:eastAsia="Times New Roman" w:hAnsi="Verdana"/>
          <w:sz w:val="17"/>
          <w:szCs w:val="17"/>
        </w:rPr>
      </w:pPr>
      <w:hyperlink w:anchor="assets" w:history="1">
        <w:r>
          <w:rPr>
            <w:rStyle w:val="Hyperlink"/>
            <w:rFonts w:ascii="Verdana" w:eastAsia="Times New Roman" w:hAnsi="Verdana"/>
            <w:sz w:val="17"/>
            <w:szCs w:val="17"/>
          </w:rPr>
          <w:t>Uncashed Checks are Plan Assets</w:t>
        </w:r>
      </w:hyperlink>
    </w:p>
    <w:p w:rsidR="00000000" w:rsidRDefault="00A3021B">
      <w:pPr>
        <w:numPr>
          <w:ilvl w:val="0"/>
          <w:numId w:val="1"/>
        </w:numPr>
        <w:spacing w:before="100" w:beforeAutospacing="1" w:after="100" w:afterAutospacing="1"/>
        <w:rPr>
          <w:rFonts w:ascii="Verdana" w:eastAsia="Times New Roman" w:hAnsi="Verdana"/>
          <w:sz w:val="17"/>
          <w:szCs w:val="17"/>
        </w:rPr>
      </w:pPr>
      <w:hyperlink w:anchor="what" w:history="1">
        <w:r>
          <w:rPr>
            <w:rStyle w:val="Hyperlink"/>
            <w:rFonts w:ascii="Verdana" w:eastAsia="Times New Roman" w:hAnsi="Verdana"/>
            <w:sz w:val="17"/>
            <w:szCs w:val="17"/>
          </w:rPr>
          <w:t>What Should Plan Sponsors Do?</w:t>
        </w:r>
      </w:hyperlink>
    </w:p>
    <w:p w:rsidR="00000000" w:rsidRDefault="00A3021B">
      <w:pPr>
        <w:numPr>
          <w:ilvl w:val="0"/>
          <w:numId w:val="1"/>
        </w:numPr>
        <w:spacing w:before="100" w:beforeAutospacing="1" w:after="100" w:afterAutospacing="1"/>
        <w:rPr>
          <w:rFonts w:ascii="Verdana" w:eastAsia="Times New Roman" w:hAnsi="Verdana"/>
          <w:sz w:val="17"/>
          <w:szCs w:val="17"/>
        </w:rPr>
      </w:pPr>
      <w:hyperlink w:anchor="searching" w:history="1">
        <w:r>
          <w:rPr>
            <w:rStyle w:val="Hyperlink"/>
            <w:rFonts w:ascii="Verdana" w:eastAsia="Times New Roman" w:hAnsi="Verdana"/>
            <w:sz w:val="17"/>
            <w:szCs w:val="17"/>
          </w:rPr>
          <w:t>Searching for Missing Partici</w:t>
        </w:r>
        <w:r>
          <w:rPr>
            <w:rStyle w:val="Hyperlink"/>
            <w:rFonts w:ascii="Verdana" w:eastAsia="Times New Roman" w:hAnsi="Verdana"/>
            <w:sz w:val="17"/>
            <w:szCs w:val="17"/>
          </w:rPr>
          <w:t>pants</w:t>
        </w:r>
      </w:hyperlink>
    </w:p>
    <w:p w:rsidR="00000000" w:rsidRDefault="00A3021B">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 xml:space="preserve">    </w:t>
      </w:r>
      <w:hyperlink w:anchor="required" w:history="1">
        <w:r>
          <w:rPr>
            <w:rStyle w:val="Hyperlink"/>
            <w:rFonts w:ascii="Verdana" w:eastAsia="Times New Roman" w:hAnsi="Verdana"/>
            <w:sz w:val="17"/>
            <w:szCs w:val="17"/>
          </w:rPr>
          <w:t>Required Steps</w:t>
        </w:r>
      </w:hyperlink>
    </w:p>
    <w:p w:rsidR="00000000" w:rsidRDefault="00A3021B">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   </w:t>
      </w:r>
      <w:hyperlink w:anchor="addiitonal" w:history="1">
        <w:r>
          <w:rPr>
            <w:rStyle w:val="Hyperlink"/>
            <w:rFonts w:ascii="Verdana" w:eastAsia="Times New Roman" w:hAnsi="Verdana"/>
            <w:sz w:val="17"/>
            <w:szCs w:val="17"/>
          </w:rPr>
          <w:t xml:space="preserve"> Reasonable Additional Steps</w:t>
        </w:r>
      </w:hyperlink>
    </w:p>
    <w:p w:rsidR="00000000" w:rsidRDefault="00A3021B">
      <w:pPr>
        <w:numPr>
          <w:ilvl w:val="0"/>
          <w:numId w:val="1"/>
        </w:numPr>
        <w:spacing w:before="100" w:beforeAutospacing="1" w:after="100" w:afterAutospacing="1"/>
        <w:rPr>
          <w:rFonts w:ascii="Verdana" w:eastAsia="Times New Roman" w:hAnsi="Verdana"/>
          <w:sz w:val="17"/>
          <w:szCs w:val="17"/>
        </w:rPr>
      </w:pPr>
      <w:hyperlink w:anchor="options" w:history="1">
        <w:r>
          <w:rPr>
            <w:rStyle w:val="Hyperlink"/>
            <w:rFonts w:ascii="Verdana" w:eastAsia="Times New Roman" w:hAnsi="Verdana"/>
            <w:sz w:val="17"/>
            <w:szCs w:val="17"/>
          </w:rPr>
          <w:t>What are the Options if the Participant Cannot be Found?</w:t>
        </w:r>
      </w:hyperlink>
    </w:p>
    <w:p w:rsidR="00000000" w:rsidRDefault="00A3021B">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 xml:space="preserve">    </w:t>
      </w:r>
      <w:hyperlink w:anchor="return" w:history="1">
        <w:r>
          <w:rPr>
            <w:rStyle w:val="Hyperlink"/>
            <w:rFonts w:ascii="Verdana" w:eastAsia="Times New Roman" w:hAnsi="Verdana"/>
            <w:sz w:val="17"/>
            <w:szCs w:val="17"/>
          </w:rPr>
          <w:t>Return Funds to</w:t>
        </w:r>
        <w:r>
          <w:rPr>
            <w:rStyle w:val="Hyperlink"/>
            <w:rFonts w:ascii="Verdana" w:eastAsia="Times New Roman" w:hAnsi="Verdana"/>
            <w:sz w:val="17"/>
            <w:szCs w:val="17"/>
          </w:rPr>
          <w:t xml:space="preserve"> the Plan</w:t>
        </w:r>
      </w:hyperlink>
    </w:p>
    <w:p w:rsidR="00000000" w:rsidRDefault="00A3021B">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 xml:space="preserve">    </w:t>
      </w:r>
      <w:hyperlink w:anchor="forfeit" w:history="1">
        <w:r>
          <w:rPr>
            <w:rStyle w:val="Hyperlink"/>
            <w:rFonts w:ascii="Verdana" w:eastAsia="Times New Roman" w:hAnsi="Verdana"/>
            <w:sz w:val="17"/>
            <w:szCs w:val="17"/>
          </w:rPr>
          <w:t>Forfeit the Account Balance</w:t>
        </w:r>
      </w:hyperlink>
    </w:p>
    <w:p w:rsidR="00000000" w:rsidRDefault="00A3021B">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 xml:space="preserve">    </w:t>
      </w:r>
      <w:hyperlink w:anchor="roll" w:history="1">
        <w:r>
          <w:rPr>
            <w:rStyle w:val="Hyperlink"/>
            <w:rFonts w:ascii="Verdana" w:eastAsia="Times New Roman" w:hAnsi="Verdana"/>
            <w:sz w:val="17"/>
            <w:szCs w:val="17"/>
          </w:rPr>
          <w:t>Roll Over Assets to an IRA</w:t>
        </w:r>
      </w:hyperlink>
    </w:p>
    <w:p w:rsidR="00000000" w:rsidRDefault="00A3021B">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 xml:space="preserve">    </w:t>
      </w:r>
      <w:hyperlink w:anchor="withholding" w:history="1">
        <w:r>
          <w:rPr>
            <w:rStyle w:val="Hyperlink"/>
            <w:rFonts w:ascii="Verdana" w:eastAsia="Times New Roman" w:hAnsi="Verdana"/>
            <w:sz w:val="17"/>
            <w:szCs w:val="17"/>
          </w:rPr>
          <w:t>Withholding 100% of the Participant's Account Balance is not an Option</w:t>
        </w:r>
      </w:hyperlink>
    </w:p>
    <w:p w:rsidR="00000000" w:rsidRDefault="00A3021B">
      <w:pPr>
        <w:numPr>
          <w:ilvl w:val="0"/>
          <w:numId w:val="1"/>
        </w:numPr>
        <w:spacing w:before="100" w:beforeAutospacing="1" w:after="100" w:afterAutospacing="1"/>
        <w:rPr>
          <w:rFonts w:ascii="Verdana" w:eastAsia="Times New Roman" w:hAnsi="Verdana"/>
          <w:sz w:val="17"/>
          <w:szCs w:val="17"/>
        </w:rPr>
      </w:pPr>
      <w:hyperlink w:anchor="preventive" w:history="1">
        <w:r>
          <w:rPr>
            <w:rStyle w:val="Hyperlink"/>
            <w:rFonts w:ascii="Verdana" w:eastAsia="Times New Roman" w:hAnsi="Verdana"/>
            <w:sz w:val="17"/>
            <w:szCs w:val="17"/>
          </w:rPr>
          <w:t>Preventive Action Tips</w:t>
        </w:r>
      </w:hyperlink>
    </w:p>
    <w:p w:rsidR="00000000" w:rsidRDefault="00A3021B">
      <w:pPr>
        <w:numPr>
          <w:ilvl w:val="0"/>
          <w:numId w:val="1"/>
        </w:numPr>
        <w:spacing w:before="100" w:beforeAutospacing="1" w:after="100" w:afterAutospacing="1"/>
        <w:rPr>
          <w:rFonts w:ascii="Verdana" w:eastAsia="Times New Roman" w:hAnsi="Verdana"/>
          <w:sz w:val="17"/>
          <w:szCs w:val="17"/>
        </w:rPr>
      </w:pPr>
      <w:hyperlink w:anchor="conclusion" w:history="1">
        <w:r>
          <w:rPr>
            <w:rStyle w:val="Hyperlink"/>
            <w:rFonts w:ascii="Verdana" w:eastAsia="Times New Roman" w:hAnsi="Verdana"/>
            <w:sz w:val="17"/>
            <w:szCs w:val="17"/>
          </w:rPr>
          <w:t>Conclusion</w:t>
        </w:r>
      </w:hyperlink>
    </w:p>
    <w:p w:rsidR="00000000" w:rsidRDefault="00A3021B">
      <w:pPr>
        <w:pStyle w:val="NormalWeb"/>
      </w:pPr>
      <w:bookmarkStart w:id="2" w:name="intro"/>
      <w:bookmarkEnd w:id="2"/>
      <w:r>
        <w:t>It is estimated that uncashed checks account for billions of dollars, representing a fortune of uncollected funds belonging to plan participants or beneficiaries that they a</w:t>
      </w:r>
      <w:r>
        <w:t xml:space="preserve">re not able to use and also represent serious issues for fiduciaries. </w:t>
      </w:r>
    </w:p>
    <w:p w:rsidR="00000000" w:rsidRDefault="00A3021B">
      <w:pPr>
        <w:pStyle w:val="NormalWeb"/>
      </w:pPr>
      <w:r>
        <w:t>Uncashed distribution checks occur when retirement plan participants fail to cash or deposit a distribution check from their defined contribution plan, for a variety of reasons, includi</w:t>
      </w:r>
      <w:r>
        <w:t>ng:</w:t>
      </w:r>
    </w:p>
    <w:p w:rsidR="00000000" w:rsidRDefault="00A3021B">
      <w:pPr>
        <w:numPr>
          <w:ilvl w:val="0"/>
          <w:numId w:val="2"/>
        </w:numPr>
        <w:spacing w:before="100" w:beforeAutospacing="1" w:after="100" w:afterAutospacing="1"/>
        <w:ind w:left="150"/>
        <w:rPr>
          <w:rFonts w:ascii="Verdana" w:eastAsia="Times New Roman" w:hAnsi="Verdana"/>
          <w:sz w:val="17"/>
          <w:szCs w:val="17"/>
        </w:rPr>
      </w:pPr>
      <w:r>
        <w:rPr>
          <w:rFonts w:ascii="Verdana" w:eastAsia="Times New Roman" w:hAnsi="Verdana"/>
          <w:sz w:val="17"/>
          <w:szCs w:val="17"/>
        </w:rPr>
        <w:t>An incorrect mailing address;</w:t>
      </w:r>
    </w:p>
    <w:p w:rsidR="00000000" w:rsidRDefault="00A3021B">
      <w:pPr>
        <w:numPr>
          <w:ilvl w:val="0"/>
          <w:numId w:val="2"/>
        </w:numPr>
        <w:spacing w:before="100" w:beforeAutospacing="1" w:after="100" w:afterAutospacing="1"/>
        <w:ind w:left="150"/>
        <w:rPr>
          <w:rFonts w:ascii="Verdana" w:eastAsia="Times New Roman" w:hAnsi="Verdana"/>
          <w:sz w:val="17"/>
          <w:szCs w:val="17"/>
        </w:rPr>
      </w:pPr>
      <w:r>
        <w:rPr>
          <w:rFonts w:ascii="Verdana" w:eastAsia="Times New Roman" w:hAnsi="Verdana"/>
          <w:sz w:val="17"/>
          <w:szCs w:val="17"/>
        </w:rPr>
        <w:t>A lost or misplaced physical check;</w:t>
      </w:r>
    </w:p>
    <w:p w:rsidR="00000000" w:rsidRDefault="00A3021B">
      <w:pPr>
        <w:numPr>
          <w:ilvl w:val="0"/>
          <w:numId w:val="2"/>
        </w:numPr>
        <w:spacing w:before="100" w:beforeAutospacing="1" w:after="100" w:afterAutospacing="1"/>
        <w:ind w:left="150"/>
        <w:rPr>
          <w:rFonts w:ascii="Verdana" w:eastAsia="Times New Roman" w:hAnsi="Verdana"/>
          <w:sz w:val="17"/>
          <w:szCs w:val="17"/>
        </w:rPr>
      </w:pPr>
      <w:r>
        <w:rPr>
          <w:rFonts w:ascii="Verdana" w:eastAsia="Times New Roman" w:hAnsi="Verdana"/>
          <w:sz w:val="17"/>
          <w:szCs w:val="17"/>
        </w:rPr>
        <w:t>A distribution check that was not anticipated (e.g., mandatory cash out of account balances of $1,000 or less); or</w:t>
      </w:r>
    </w:p>
    <w:p w:rsidR="00000000" w:rsidRDefault="00A3021B">
      <w:pPr>
        <w:numPr>
          <w:ilvl w:val="0"/>
          <w:numId w:val="2"/>
        </w:numPr>
        <w:spacing w:before="100" w:beforeAutospacing="1" w:after="100" w:afterAutospacing="1"/>
        <w:ind w:left="150"/>
        <w:rPr>
          <w:rFonts w:ascii="Verdana" w:eastAsia="Times New Roman" w:hAnsi="Verdana"/>
          <w:sz w:val="17"/>
          <w:szCs w:val="17"/>
        </w:rPr>
      </w:pPr>
      <w:r>
        <w:rPr>
          <w:rFonts w:ascii="Verdana" w:eastAsia="Times New Roman" w:hAnsi="Verdana"/>
          <w:sz w:val="17"/>
          <w:szCs w:val="17"/>
        </w:rPr>
        <w:t>As the result of inaction on the part of the participant.</w:t>
      </w:r>
    </w:p>
    <w:p w:rsidR="00000000" w:rsidRDefault="00A3021B">
      <w:pPr>
        <w:pStyle w:val="NormalWeb"/>
      </w:pPr>
      <w:r>
        <w:t xml:space="preserve">The uncashed </w:t>
      </w:r>
      <w:r>
        <w:t>checks issue is a problem that has gained the attention of the Department of Labor (DOL) and Internal Revenue Service (IRS). The DOL estimates that each year $15 million in retirement plan distribution checks go unclaimed because plan participants, or thei</w:t>
      </w:r>
      <w:r>
        <w:t xml:space="preserve">r beneficiaries, have failed to cash distribution checks. And it's rapidly becoming a material issue for retirement plans. </w:t>
      </w:r>
    </w:p>
    <w:p w:rsidR="00000000" w:rsidRDefault="00A3021B">
      <w:pPr>
        <w:pStyle w:val="NormalWeb"/>
      </w:pPr>
      <w:r>
        <w:t>This article will focus on defined contribution plans, although defined benefit plans have issues as well, especially since benefits</w:t>
      </w:r>
      <w:r>
        <w:t xml:space="preserve"> may not be payable until normal retirement age, which could be well after participants terminate employment, allowing lots of time for them to go missing. </w:t>
      </w:r>
    </w:p>
    <w:p w:rsidR="00000000" w:rsidRDefault="00A3021B">
      <w:pPr>
        <w:pStyle w:val="subhead"/>
      </w:pPr>
      <w:bookmarkStart w:id="3" w:name="assets"/>
      <w:bookmarkEnd w:id="3"/>
      <w:r>
        <w:t>Uncashed Checks are Plan Assets</w:t>
      </w:r>
    </w:p>
    <w:p w:rsidR="00000000" w:rsidRDefault="00A3021B">
      <w:pPr>
        <w:pStyle w:val="NormalWeb"/>
      </w:pPr>
      <w:r>
        <w:t xml:space="preserve">Plan sponsors retain fiduciary responsibility of the funds represented by uncashed checks. Therefore, it is the fiduciary's responsibility to work with their service providers and attempt to locate these participants in order to get them to take action. </w:t>
      </w:r>
    </w:p>
    <w:p w:rsidR="00000000" w:rsidRDefault="00A3021B">
      <w:pPr>
        <w:pStyle w:val="NormalWeb"/>
      </w:pPr>
      <w:r>
        <w:t>T</w:t>
      </w:r>
      <w:r>
        <w:t>he failure to take steps to locate and pay terminated participants can be considered a breach of fiduciary duty, potentially resulting in personal liability to plan fiduciaries.</w:t>
      </w:r>
    </w:p>
    <w:p w:rsidR="00000000" w:rsidRDefault="00A3021B">
      <w:pPr>
        <w:pStyle w:val="subhead"/>
      </w:pPr>
      <w:bookmarkStart w:id="4" w:name="what"/>
      <w:bookmarkEnd w:id="4"/>
      <w:r>
        <w:t>What Should Plan Sponsors Do?</w:t>
      </w:r>
    </w:p>
    <w:p w:rsidR="00000000" w:rsidRDefault="00A3021B">
      <w:pPr>
        <w:pStyle w:val="NormalWeb"/>
      </w:pPr>
      <w:r>
        <w:t>Unfortunately, there is no clear guidance from t</w:t>
      </w:r>
      <w:r>
        <w:t xml:space="preserve">he IRS or DOL regarding how to administer these checks. Until guidance is issued by regulators, plan sponsors should take a best-practices approach while working </w:t>
      </w:r>
      <w:r>
        <w:lastRenderedPageBreak/>
        <w:t>with ERISA attorneys and service providers to develop policies and processes for managing unca</w:t>
      </w:r>
      <w:r>
        <w:t>shed checks, outlining those processes in plan documents (along with recording the rationale behind the choices made) and making sure the processes are implemented properly. At a minimum, plan documents or written procedures should describe:</w:t>
      </w:r>
    </w:p>
    <w:p w:rsidR="00000000" w:rsidRDefault="00A3021B">
      <w:pPr>
        <w:numPr>
          <w:ilvl w:val="0"/>
          <w:numId w:val="3"/>
        </w:numPr>
        <w:spacing w:before="100" w:beforeAutospacing="1" w:after="100" w:afterAutospacing="1"/>
        <w:ind w:left="150"/>
        <w:rPr>
          <w:rFonts w:ascii="Verdana" w:eastAsia="Times New Roman" w:hAnsi="Verdana"/>
          <w:sz w:val="17"/>
          <w:szCs w:val="17"/>
        </w:rPr>
      </w:pPr>
      <w:r>
        <w:rPr>
          <w:rFonts w:ascii="Verdana" w:eastAsia="Times New Roman" w:hAnsi="Verdana"/>
          <w:sz w:val="17"/>
          <w:szCs w:val="17"/>
        </w:rPr>
        <w:t>The steps that</w:t>
      </w:r>
      <w:r>
        <w:rPr>
          <w:rFonts w:ascii="Verdana" w:eastAsia="Times New Roman" w:hAnsi="Verdana"/>
          <w:sz w:val="17"/>
          <w:szCs w:val="17"/>
        </w:rPr>
        <w:t xml:space="preserve"> will be taken to locate lost or non-responsive participants;</w:t>
      </w:r>
    </w:p>
    <w:p w:rsidR="00000000" w:rsidRDefault="00A3021B">
      <w:pPr>
        <w:numPr>
          <w:ilvl w:val="0"/>
          <w:numId w:val="3"/>
        </w:numPr>
        <w:spacing w:before="100" w:beforeAutospacing="1" w:after="100" w:afterAutospacing="1"/>
        <w:ind w:left="150"/>
        <w:rPr>
          <w:rFonts w:ascii="Verdana" w:eastAsia="Times New Roman" w:hAnsi="Verdana"/>
          <w:sz w:val="17"/>
          <w:szCs w:val="17"/>
        </w:rPr>
      </w:pPr>
      <w:r>
        <w:rPr>
          <w:rFonts w:ascii="Verdana" w:eastAsia="Times New Roman" w:hAnsi="Verdana"/>
          <w:sz w:val="17"/>
          <w:szCs w:val="17"/>
        </w:rPr>
        <w:t>The time frames for banks or the plan administrator to report uncashed checks to the plan; and</w:t>
      </w:r>
    </w:p>
    <w:p w:rsidR="00000000" w:rsidRDefault="00A3021B">
      <w:pPr>
        <w:numPr>
          <w:ilvl w:val="0"/>
          <w:numId w:val="3"/>
        </w:numPr>
        <w:spacing w:before="100" w:beforeAutospacing="1" w:after="100" w:afterAutospacing="1"/>
        <w:ind w:left="150"/>
        <w:rPr>
          <w:rFonts w:ascii="Verdana" w:eastAsia="Times New Roman" w:hAnsi="Verdana"/>
          <w:sz w:val="17"/>
          <w:szCs w:val="17"/>
        </w:rPr>
      </w:pPr>
      <w:r>
        <w:rPr>
          <w:rFonts w:ascii="Verdana" w:eastAsia="Times New Roman" w:hAnsi="Verdana"/>
          <w:sz w:val="17"/>
          <w:szCs w:val="17"/>
        </w:rPr>
        <w:t xml:space="preserve">How the funds from uncashed checks will be handled if the participant cannot be located. </w:t>
      </w:r>
    </w:p>
    <w:p w:rsidR="00000000" w:rsidRDefault="00A3021B">
      <w:pPr>
        <w:pStyle w:val="subhead"/>
      </w:pPr>
      <w:bookmarkStart w:id="5" w:name="searching"/>
      <w:bookmarkEnd w:id="5"/>
      <w:r>
        <w:t>Searching</w:t>
      </w:r>
      <w:r>
        <w:t xml:space="preserve"> for Missing Participants</w:t>
      </w:r>
    </w:p>
    <w:p w:rsidR="00000000" w:rsidRDefault="00A3021B">
      <w:pPr>
        <w:pStyle w:val="NormalWeb"/>
      </w:pPr>
      <w:r>
        <w:t>Plan fiduciaries must make a reasonable effort to locate missing participants and should keep accurate records of all efforts to locate them. The DOL has provided steps for finding participants for terminating defined contribution</w:t>
      </w:r>
      <w:r>
        <w:t xml:space="preserve"> plans. This guidance can be useful for ongoing plans as well. </w:t>
      </w:r>
    </w:p>
    <w:p w:rsidR="00000000" w:rsidRDefault="00A3021B">
      <w:pPr>
        <w:pStyle w:val="subhead2"/>
      </w:pPr>
      <w:bookmarkStart w:id="6" w:name="required"/>
      <w:bookmarkEnd w:id="6"/>
      <w:r>
        <w:t>Required Steps</w:t>
      </w:r>
    </w:p>
    <w:p w:rsidR="00000000" w:rsidRDefault="00A3021B">
      <w:pPr>
        <w:pStyle w:val="NormalWeb"/>
      </w:pPr>
      <w:r>
        <w:t>The minimum steps a fiduciary must take to find lost participants are:</w:t>
      </w:r>
    </w:p>
    <w:p w:rsidR="00000000" w:rsidRDefault="00A3021B">
      <w:pPr>
        <w:pStyle w:val="NormalWeb"/>
      </w:pPr>
      <w:r>
        <w:rPr>
          <w:rStyle w:val="Strong"/>
        </w:rPr>
        <w:t>Send a notice by certified mail:</w:t>
      </w:r>
      <w:r>
        <w:t xml:space="preserve"> This method allows the sender proof of mailing via a mailing receipt and </w:t>
      </w:r>
      <w:r>
        <w:t>verification that mail was delivered.</w:t>
      </w:r>
    </w:p>
    <w:p w:rsidR="00000000" w:rsidRDefault="00A3021B">
      <w:pPr>
        <w:pStyle w:val="NormalWeb"/>
      </w:pPr>
      <w:r>
        <w:rPr>
          <w:rStyle w:val="Strong"/>
        </w:rPr>
        <w:t>Check related plan and employer records:</w:t>
      </w:r>
      <w:r>
        <w:t xml:space="preserve"> Check other plan records as well as records for other company benefits such as health insurance plans.</w:t>
      </w:r>
    </w:p>
    <w:p w:rsidR="00000000" w:rsidRDefault="00A3021B">
      <w:pPr>
        <w:pStyle w:val="NormalWeb"/>
      </w:pPr>
      <w:r>
        <w:rPr>
          <w:rStyle w:val="Strong"/>
        </w:rPr>
        <w:t>Check with the participant's plan beneficiary:</w:t>
      </w:r>
      <w:r>
        <w:t xml:space="preserve"> Check with the designated </w:t>
      </w:r>
      <w:r>
        <w:t>beneficiary to see if he or she can provide contact information that may help locate the missing individual.</w:t>
      </w:r>
    </w:p>
    <w:p w:rsidR="00000000" w:rsidRDefault="00A3021B">
      <w:pPr>
        <w:pStyle w:val="NormalWeb"/>
      </w:pPr>
      <w:r>
        <w:rPr>
          <w:rStyle w:val="Strong"/>
        </w:rPr>
        <w:t>Use free internet search tools:</w:t>
      </w:r>
      <w:r>
        <w:t xml:space="preserve"> These tools include search engines, public records databases, obituaries and social media sites.</w:t>
      </w:r>
    </w:p>
    <w:p w:rsidR="00000000" w:rsidRDefault="00A3021B">
      <w:pPr>
        <w:pStyle w:val="subhead2"/>
        <w:spacing w:before="0"/>
      </w:pPr>
      <w:bookmarkStart w:id="7" w:name="addiitonal"/>
      <w:bookmarkEnd w:id="7"/>
      <w:r>
        <w:t>Reasonable Additio</w:t>
      </w:r>
      <w:r>
        <w:t>nal Steps</w:t>
      </w:r>
    </w:p>
    <w:p w:rsidR="00000000" w:rsidRDefault="00A3021B">
      <w:pPr>
        <w:pStyle w:val="NormalWeb"/>
      </w:pPr>
      <w:r>
        <w:t>If none of the required search methods is successful in locating the participant, the plan fiduciary needs to consider whether it would be prudent to use other methods, such as fee-based internet search services, commercial locator services and c</w:t>
      </w:r>
      <w:r>
        <w:t xml:space="preserve">redit reporting agencies. </w:t>
      </w:r>
    </w:p>
    <w:p w:rsidR="00000000" w:rsidRDefault="00A3021B">
      <w:pPr>
        <w:pStyle w:val="NormalWeb"/>
      </w:pPr>
      <w:r>
        <w:t>If the cost of using these services will be charged to the participant's account, the plan fiduciary will need to consider the size of the participant's account balance in relation to the fees that would be incurred when deciding</w:t>
      </w:r>
      <w:r>
        <w:t xml:space="preserve"> whether to use any of these alternatives.</w:t>
      </w:r>
    </w:p>
    <w:p w:rsidR="00000000" w:rsidRDefault="00A3021B">
      <w:pPr>
        <w:pStyle w:val="subhead"/>
      </w:pPr>
      <w:bookmarkStart w:id="8" w:name="options"/>
      <w:bookmarkEnd w:id="8"/>
      <w:r>
        <w:t xml:space="preserve">What are the Options if the Participant Cannot be Found? </w:t>
      </w:r>
    </w:p>
    <w:p w:rsidR="00000000" w:rsidRDefault="00A3021B">
      <w:pPr>
        <w:pStyle w:val="NormalWeb"/>
      </w:pPr>
      <w:r>
        <w:t>Due to the lack of regulatory guidance regarding uncashed checks, the challenge for plan sponsors is how to appropriately handle these assets while meeting</w:t>
      </w:r>
      <w:r>
        <w:t xml:space="preserve"> their fiduciary responsibilities. The best practice solutions available to plan sponsors depend on whether a plan is ongoing or terminating and the plan document provisions. They include:</w:t>
      </w:r>
    </w:p>
    <w:p w:rsidR="00000000" w:rsidRDefault="00A3021B">
      <w:pPr>
        <w:pStyle w:val="subhead2"/>
      </w:pPr>
      <w:bookmarkStart w:id="9" w:name="return"/>
      <w:bookmarkEnd w:id="9"/>
      <w:r>
        <w:t>Return Funds to the Plan</w:t>
      </w:r>
    </w:p>
    <w:p w:rsidR="00000000" w:rsidRDefault="00A3021B">
      <w:pPr>
        <w:pStyle w:val="NormalWeb"/>
      </w:pPr>
      <w:r>
        <w:t>If the account balance exceeds $5,000, ret</w:t>
      </w:r>
      <w:r>
        <w:t>urn the funds to the plan and reestablish the participant's account so that new earnings will accumulate. The plan sponsor must decide how to invest the assets, address restoring withheld taxes and determine if interest should be added to the account. If F</w:t>
      </w:r>
      <w:r>
        <w:t xml:space="preserve">orm 1099-R was previously submitted to the IRS, a corrected one should be filed. </w:t>
      </w:r>
    </w:p>
    <w:p w:rsidR="00000000" w:rsidRDefault="00A3021B">
      <w:pPr>
        <w:pStyle w:val="subhead2"/>
      </w:pPr>
      <w:bookmarkStart w:id="10" w:name="forfeit"/>
      <w:bookmarkEnd w:id="10"/>
      <w:r>
        <w:lastRenderedPageBreak/>
        <w:t>Forfeit the Account Balance</w:t>
      </w:r>
    </w:p>
    <w:p w:rsidR="00000000" w:rsidRDefault="00A3021B">
      <w:pPr>
        <w:pStyle w:val="NormalWeb"/>
      </w:pPr>
      <w:r>
        <w:t>Many plans include provisions that allow account balances under $1,000 to be forfeited. If the participant comes forward in the future, the plan m</w:t>
      </w:r>
      <w:r>
        <w:t>ust make him or her whole by reinstating the forfeited amount and paying the distribution. If sufficient funds do not exist in the plan's forfeiture account at the time payment is requested, such amounts will need to be paid by the plan sponsor.</w:t>
      </w:r>
    </w:p>
    <w:p w:rsidR="00000000" w:rsidRDefault="00A3021B">
      <w:pPr>
        <w:pStyle w:val="NormalWeb"/>
      </w:pPr>
      <w:r>
        <w:t>The plan s</w:t>
      </w:r>
      <w:r>
        <w:t>hould have rules and procedures addressing the time frames and circumstances in which assets may be forfeited if accounts remain unclaimed and the procedures for reinstatement if later claimed. To provide for possible future distribution requests, should a</w:t>
      </w:r>
      <w:r>
        <w:t xml:space="preserve"> participant reappear, the plan sponsor must keep records of the forfeited account balances of missing participants.</w:t>
      </w:r>
    </w:p>
    <w:p w:rsidR="00000000" w:rsidRDefault="00A3021B">
      <w:pPr>
        <w:pStyle w:val="NormalWeb"/>
      </w:pPr>
      <w:r>
        <w:t>Forfeiting funds without making reasonable efforts to locate missing participants raises compliance issues, especially if the plan uses for</w:t>
      </w:r>
      <w:r>
        <w:t>feitures to reduce employer contributions.</w:t>
      </w:r>
    </w:p>
    <w:p w:rsidR="00000000" w:rsidRDefault="00A3021B">
      <w:pPr>
        <w:pStyle w:val="subhead2"/>
      </w:pPr>
      <w:bookmarkStart w:id="11" w:name="roll"/>
      <w:bookmarkEnd w:id="11"/>
      <w:r>
        <w:t>Roll Over Assets to an IRA</w:t>
      </w:r>
    </w:p>
    <w:p w:rsidR="00000000" w:rsidRDefault="00A3021B">
      <w:pPr>
        <w:pStyle w:val="NormalWeb"/>
      </w:pPr>
      <w:r>
        <w:t xml:space="preserve">The DOL has provided guidance on using automatic rollovers to roll assets of less than $5,000 into an IRA in the name of the missing or unresponsive </w:t>
      </w:r>
      <w:r>
        <w:t>participant or his or her beneficiary. Rollover IRAs are a viable transfer option for active plans with a mandatory cash out provision. Moving uncashed check assets into IRAs can:</w:t>
      </w:r>
    </w:p>
    <w:p w:rsidR="00000000" w:rsidRDefault="00A3021B">
      <w:pPr>
        <w:numPr>
          <w:ilvl w:val="0"/>
          <w:numId w:val="4"/>
        </w:numPr>
        <w:spacing w:before="100" w:beforeAutospacing="1" w:after="100" w:afterAutospacing="1"/>
        <w:ind w:left="150"/>
        <w:rPr>
          <w:rFonts w:ascii="Verdana" w:eastAsia="Times New Roman" w:hAnsi="Verdana"/>
          <w:sz w:val="17"/>
          <w:szCs w:val="17"/>
        </w:rPr>
      </w:pPr>
      <w:r>
        <w:rPr>
          <w:rFonts w:ascii="Verdana" w:eastAsia="Times New Roman" w:hAnsi="Verdana"/>
          <w:sz w:val="17"/>
          <w:szCs w:val="17"/>
        </w:rPr>
        <w:t>Preserve the tax-deferred status of participants' retirement accounts;</w:t>
      </w:r>
    </w:p>
    <w:p w:rsidR="00000000" w:rsidRDefault="00A3021B">
      <w:pPr>
        <w:numPr>
          <w:ilvl w:val="0"/>
          <w:numId w:val="4"/>
        </w:numPr>
        <w:spacing w:before="100" w:beforeAutospacing="1" w:after="100" w:afterAutospacing="1"/>
        <w:ind w:left="150"/>
        <w:rPr>
          <w:rFonts w:ascii="Verdana" w:eastAsia="Times New Roman" w:hAnsi="Verdana"/>
          <w:sz w:val="17"/>
          <w:szCs w:val="17"/>
        </w:rPr>
      </w:pPr>
      <w:r>
        <w:rPr>
          <w:rFonts w:ascii="Verdana" w:eastAsia="Times New Roman" w:hAnsi="Verdana"/>
          <w:sz w:val="17"/>
          <w:szCs w:val="17"/>
        </w:rPr>
        <w:t>Simpl</w:t>
      </w:r>
      <w:r>
        <w:rPr>
          <w:rFonts w:ascii="Verdana" w:eastAsia="Times New Roman" w:hAnsi="Verdana"/>
          <w:sz w:val="17"/>
          <w:szCs w:val="17"/>
        </w:rPr>
        <w:t>ify plan administration;</w:t>
      </w:r>
    </w:p>
    <w:p w:rsidR="00000000" w:rsidRDefault="00A3021B">
      <w:pPr>
        <w:numPr>
          <w:ilvl w:val="0"/>
          <w:numId w:val="4"/>
        </w:numPr>
        <w:spacing w:before="100" w:beforeAutospacing="1" w:after="100" w:afterAutospacing="1"/>
        <w:ind w:left="150"/>
        <w:rPr>
          <w:rFonts w:ascii="Verdana" w:eastAsia="Times New Roman" w:hAnsi="Verdana"/>
          <w:sz w:val="17"/>
          <w:szCs w:val="17"/>
        </w:rPr>
      </w:pPr>
      <w:r>
        <w:rPr>
          <w:rFonts w:ascii="Verdana" w:eastAsia="Times New Roman" w:hAnsi="Verdana"/>
          <w:sz w:val="17"/>
          <w:szCs w:val="17"/>
        </w:rPr>
        <w:t>Lower overall plan costs; and</w:t>
      </w:r>
    </w:p>
    <w:p w:rsidR="00000000" w:rsidRDefault="00A3021B">
      <w:pPr>
        <w:numPr>
          <w:ilvl w:val="0"/>
          <w:numId w:val="4"/>
        </w:numPr>
        <w:spacing w:before="100" w:beforeAutospacing="1" w:after="100" w:afterAutospacing="1"/>
        <w:ind w:left="150"/>
        <w:rPr>
          <w:rFonts w:ascii="Verdana" w:eastAsia="Times New Roman" w:hAnsi="Verdana"/>
          <w:sz w:val="17"/>
          <w:szCs w:val="17"/>
        </w:rPr>
      </w:pPr>
      <w:r>
        <w:rPr>
          <w:rFonts w:ascii="Verdana" w:eastAsia="Times New Roman" w:hAnsi="Verdana"/>
          <w:sz w:val="17"/>
          <w:szCs w:val="17"/>
        </w:rPr>
        <w:t>Reduce potential fiduciary risk.</w:t>
      </w:r>
    </w:p>
    <w:p w:rsidR="00000000" w:rsidRDefault="00A3021B">
      <w:pPr>
        <w:pStyle w:val="NormalWeb"/>
      </w:pPr>
      <w:r>
        <w:t>By utilizing automatic rollover IRAs, plan sponsors will be deemed to have met their fiduciary responsibilities, freeing them from the ongoing fiduciary and administrat</w:t>
      </w:r>
      <w:r>
        <w:t>ive burden of uncashed checks/unclaimed plan assets.</w:t>
      </w:r>
    </w:p>
    <w:p w:rsidR="00000000" w:rsidRDefault="00A3021B">
      <w:pPr>
        <w:pStyle w:val="NormalWeb"/>
      </w:pPr>
      <w:r>
        <w:t>Most IRA custodians will take multiple steps to locate the participant to reunite him or her with the newly created account, conducting research in an attempt to locate and notify the appropriate parties</w:t>
      </w:r>
      <w:r>
        <w:t xml:space="preserve">. The plan sponsor should be careful to choose a rollover IRA custodian that has effective search procedures in place, as well as a proven record of reuniting plan participants with their assets. </w:t>
      </w:r>
    </w:p>
    <w:p w:rsidR="00000000" w:rsidRDefault="00A3021B">
      <w:pPr>
        <w:pStyle w:val="NormalWeb"/>
      </w:pPr>
      <w:r>
        <w:t>Regulations provide a safe harbor method to satisfy fiducia</w:t>
      </w:r>
      <w:r>
        <w:t>ry duties in selecting the IRA provider and the default investment. Specifically, an automatic rollover of a cash out distribution will satisfy the safe harbor if the following conditions are met:</w:t>
      </w:r>
    </w:p>
    <w:p w:rsidR="00000000" w:rsidRDefault="00A3021B">
      <w:pPr>
        <w:numPr>
          <w:ilvl w:val="0"/>
          <w:numId w:val="5"/>
        </w:numPr>
        <w:spacing w:before="100" w:beforeAutospacing="1" w:after="100" w:afterAutospacing="1"/>
        <w:ind w:left="150"/>
        <w:rPr>
          <w:rFonts w:ascii="Verdana" w:eastAsia="Times New Roman" w:hAnsi="Verdana"/>
          <w:sz w:val="17"/>
          <w:szCs w:val="17"/>
        </w:rPr>
      </w:pPr>
      <w:r>
        <w:rPr>
          <w:rFonts w:ascii="Verdana" w:eastAsia="Times New Roman" w:hAnsi="Verdana"/>
          <w:sz w:val="17"/>
          <w:szCs w:val="17"/>
        </w:rPr>
        <w:t>The rollover amount cannot be more than $5,000, unless from</w:t>
      </w:r>
      <w:r>
        <w:rPr>
          <w:rFonts w:ascii="Verdana" w:eastAsia="Times New Roman" w:hAnsi="Verdana"/>
          <w:sz w:val="17"/>
          <w:szCs w:val="17"/>
        </w:rPr>
        <w:t xml:space="preserve"> a terminating defined contribution plan;</w:t>
      </w:r>
    </w:p>
    <w:p w:rsidR="00000000" w:rsidRDefault="00A3021B">
      <w:pPr>
        <w:numPr>
          <w:ilvl w:val="0"/>
          <w:numId w:val="5"/>
        </w:numPr>
        <w:spacing w:before="100" w:beforeAutospacing="1" w:after="100" w:afterAutospacing="1"/>
        <w:ind w:left="150"/>
        <w:rPr>
          <w:rFonts w:ascii="Verdana" w:eastAsia="Times New Roman" w:hAnsi="Verdana"/>
          <w:sz w:val="17"/>
          <w:szCs w:val="17"/>
        </w:rPr>
      </w:pPr>
      <w:r>
        <w:rPr>
          <w:rFonts w:ascii="Verdana" w:eastAsia="Times New Roman" w:hAnsi="Verdana"/>
          <w:sz w:val="17"/>
          <w:szCs w:val="17"/>
        </w:rPr>
        <w:t>The account balance must be rolled over to an entity authorized by the IRS to act as an IRA custodian, such as a trust company, bank, credit union or registered mutual fund;</w:t>
      </w:r>
    </w:p>
    <w:p w:rsidR="00000000" w:rsidRDefault="00A3021B">
      <w:pPr>
        <w:numPr>
          <w:ilvl w:val="0"/>
          <w:numId w:val="5"/>
        </w:numPr>
        <w:spacing w:before="100" w:beforeAutospacing="1" w:after="100" w:afterAutospacing="1"/>
        <w:ind w:left="150"/>
        <w:rPr>
          <w:rFonts w:ascii="Verdana" w:eastAsia="Times New Roman" w:hAnsi="Verdana"/>
          <w:sz w:val="17"/>
          <w:szCs w:val="17"/>
        </w:rPr>
      </w:pPr>
      <w:r>
        <w:rPr>
          <w:rFonts w:ascii="Verdana" w:eastAsia="Times New Roman" w:hAnsi="Verdana"/>
          <w:sz w:val="17"/>
          <w:szCs w:val="17"/>
        </w:rPr>
        <w:t>The rolled over money must be invested i</w:t>
      </w:r>
      <w:r>
        <w:rPr>
          <w:rFonts w:ascii="Verdana" w:eastAsia="Times New Roman" w:hAnsi="Verdana"/>
          <w:sz w:val="17"/>
          <w:szCs w:val="17"/>
        </w:rPr>
        <w:t>n a product that meets requirements relating to preserving principal and providing a reasonable rate of return and liquidity;</w:t>
      </w:r>
    </w:p>
    <w:p w:rsidR="00000000" w:rsidRDefault="00A3021B">
      <w:pPr>
        <w:numPr>
          <w:ilvl w:val="0"/>
          <w:numId w:val="5"/>
        </w:numPr>
        <w:spacing w:before="100" w:beforeAutospacing="1" w:after="100" w:afterAutospacing="1"/>
        <w:ind w:left="150"/>
        <w:rPr>
          <w:rFonts w:ascii="Verdana" w:eastAsia="Times New Roman" w:hAnsi="Verdana"/>
          <w:sz w:val="17"/>
          <w:szCs w:val="17"/>
        </w:rPr>
      </w:pPr>
      <w:r>
        <w:rPr>
          <w:rFonts w:ascii="Verdana" w:eastAsia="Times New Roman" w:hAnsi="Verdana"/>
          <w:sz w:val="17"/>
          <w:szCs w:val="17"/>
        </w:rPr>
        <w:t>The fees and expenses for the IRA cannot be more than the fees and expenses the IRA provider charges for similar, non-automatic ro</w:t>
      </w:r>
      <w:r>
        <w:rPr>
          <w:rFonts w:ascii="Verdana" w:eastAsia="Times New Roman" w:hAnsi="Verdana"/>
          <w:sz w:val="17"/>
          <w:szCs w:val="17"/>
        </w:rPr>
        <w:t>llover IRAs; and</w:t>
      </w:r>
    </w:p>
    <w:p w:rsidR="00000000" w:rsidRDefault="00A3021B">
      <w:pPr>
        <w:numPr>
          <w:ilvl w:val="0"/>
          <w:numId w:val="5"/>
        </w:numPr>
        <w:spacing w:before="100" w:beforeAutospacing="1" w:after="100" w:afterAutospacing="1"/>
        <w:ind w:left="150"/>
        <w:rPr>
          <w:rFonts w:ascii="Verdana" w:eastAsia="Times New Roman" w:hAnsi="Verdana"/>
          <w:sz w:val="17"/>
          <w:szCs w:val="17"/>
        </w:rPr>
      </w:pPr>
      <w:r>
        <w:rPr>
          <w:rFonts w:ascii="Verdana" w:eastAsia="Times New Roman" w:hAnsi="Verdana"/>
          <w:sz w:val="17"/>
          <w:szCs w:val="17"/>
        </w:rPr>
        <w:t>The participant must have the power to enforce the terms of the IRA.</w:t>
      </w:r>
    </w:p>
    <w:p w:rsidR="00000000" w:rsidRDefault="00A3021B">
      <w:pPr>
        <w:pStyle w:val="subhead2"/>
      </w:pPr>
      <w:bookmarkStart w:id="12" w:name="withholding"/>
      <w:bookmarkEnd w:id="12"/>
      <w:r>
        <w:t>Withholding 100% of the Participant's Account Balance is not an Option</w:t>
      </w:r>
    </w:p>
    <w:p w:rsidR="00000000" w:rsidRDefault="00A3021B">
      <w:pPr>
        <w:pStyle w:val="NormalWeb"/>
      </w:pPr>
      <w:r>
        <w:t>In the past a popular practice was to simply pay the entire amount of the distribution to the IRS a</w:t>
      </w:r>
      <w:r>
        <w:t>s income tax withholding. Although very clean and efficient from the plan sponsor's perspective, the IRS issued guidance indicating such practice was not acceptable. Therefore, sponsors should no longer pursue 100% withholding as an option.</w:t>
      </w:r>
    </w:p>
    <w:p w:rsidR="00000000" w:rsidRDefault="00A3021B">
      <w:pPr>
        <w:pStyle w:val="subhead"/>
      </w:pPr>
      <w:bookmarkStart w:id="13" w:name="preventive"/>
      <w:bookmarkEnd w:id="13"/>
      <w:r>
        <w:lastRenderedPageBreak/>
        <w:t>Preventive Acti</w:t>
      </w:r>
      <w:r>
        <w:t>on Tips</w:t>
      </w:r>
    </w:p>
    <w:p w:rsidR="00000000" w:rsidRDefault="00A3021B">
      <w:pPr>
        <w:pStyle w:val="NormalWeb"/>
      </w:pPr>
      <w:r>
        <w:t>Plan sponsors should take actions to reduce the occurrence of missing participants and uncashed checks such as:</w:t>
      </w:r>
    </w:p>
    <w:p w:rsidR="00000000" w:rsidRDefault="00A3021B">
      <w:pPr>
        <w:numPr>
          <w:ilvl w:val="0"/>
          <w:numId w:val="6"/>
        </w:numPr>
        <w:spacing w:before="100" w:beforeAutospacing="1" w:after="100" w:afterAutospacing="1"/>
        <w:ind w:left="150"/>
        <w:rPr>
          <w:rFonts w:ascii="Verdana" w:eastAsia="Times New Roman" w:hAnsi="Verdana"/>
          <w:sz w:val="17"/>
          <w:szCs w:val="17"/>
        </w:rPr>
      </w:pPr>
      <w:r>
        <w:rPr>
          <w:rFonts w:ascii="Verdana" w:eastAsia="Times New Roman" w:hAnsi="Verdana"/>
          <w:sz w:val="17"/>
          <w:szCs w:val="17"/>
        </w:rPr>
        <w:t>Periodically review and cancel uncashed checks and take appropriate steps in accordance with the plan document and procedures;</w:t>
      </w:r>
    </w:p>
    <w:p w:rsidR="00000000" w:rsidRDefault="00A3021B">
      <w:pPr>
        <w:numPr>
          <w:ilvl w:val="0"/>
          <w:numId w:val="6"/>
        </w:numPr>
        <w:spacing w:before="100" w:beforeAutospacing="1" w:after="100" w:afterAutospacing="1"/>
        <w:ind w:left="150"/>
        <w:rPr>
          <w:rFonts w:ascii="Verdana" w:eastAsia="Times New Roman" w:hAnsi="Verdana"/>
          <w:sz w:val="17"/>
          <w:szCs w:val="17"/>
        </w:rPr>
      </w:pPr>
      <w:r>
        <w:rPr>
          <w:rFonts w:ascii="Verdana" w:eastAsia="Times New Roman" w:hAnsi="Verdana"/>
          <w:sz w:val="17"/>
          <w:szCs w:val="17"/>
        </w:rPr>
        <w:t>Include r</w:t>
      </w:r>
      <w:r>
        <w:rPr>
          <w:rFonts w:ascii="Verdana" w:eastAsia="Times New Roman" w:hAnsi="Verdana"/>
          <w:sz w:val="17"/>
          <w:szCs w:val="17"/>
        </w:rPr>
        <w:t>eminders on all plan communications to participants to update their contact information;</w:t>
      </w:r>
    </w:p>
    <w:p w:rsidR="00000000" w:rsidRDefault="00A3021B">
      <w:pPr>
        <w:numPr>
          <w:ilvl w:val="0"/>
          <w:numId w:val="6"/>
        </w:numPr>
        <w:spacing w:before="100" w:beforeAutospacing="1" w:after="100" w:afterAutospacing="1"/>
        <w:ind w:left="150"/>
        <w:rPr>
          <w:rFonts w:ascii="Verdana" w:eastAsia="Times New Roman" w:hAnsi="Verdana"/>
          <w:sz w:val="17"/>
          <w:szCs w:val="17"/>
        </w:rPr>
      </w:pPr>
      <w:r>
        <w:rPr>
          <w:rFonts w:ascii="Verdana" w:eastAsia="Times New Roman" w:hAnsi="Verdana"/>
          <w:sz w:val="17"/>
          <w:szCs w:val="17"/>
        </w:rPr>
        <w:t>Require beneficiary contact information on beneficiary designation forms;</w:t>
      </w:r>
    </w:p>
    <w:p w:rsidR="00000000" w:rsidRDefault="00A3021B">
      <w:pPr>
        <w:numPr>
          <w:ilvl w:val="0"/>
          <w:numId w:val="6"/>
        </w:numPr>
        <w:spacing w:before="100" w:beforeAutospacing="1" w:after="100" w:afterAutospacing="1"/>
        <w:ind w:left="150"/>
        <w:rPr>
          <w:rFonts w:ascii="Verdana" w:eastAsia="Times New Roman" w:hAnsi="Verdana"/>
          <w:sz w:val="17"/>
          <w:szCs w:val="17"/>
        </w:rPr>
      </w:pPr>
      <w:r>
        <w:rPr>
          <w:rFonts w:ascii="Verdana" w:eastAsia="Times New Roman" w:hAnsi="Verdana"/>
          <w:sz w:val="17"/>
          <w:szCs w:val="17"/>
        </w:rPr>
        <w:t xml:space="preserve">Do searches immediately when mail is returned; </w:t>
      </w:r>
    </w:p>
    <w:p w:rsidR="00000000" w:rsidRDefault="00A3021B">
      <w:pPr>
        <w:numPr>
          <w:ilvl w:val="0"/>
          <w:numId w:val="6"/>
        </w:numPr>
        <w:spacing w:before="100" w:beforeAutospacing="1" w:after="100" w:afterAutospacing="1"/>
        <w:ind w:left="150"/>
        <w:rPr>
          <w:rFonts w:ascii="Verdana" w:eastAsia="Times New Roman" w:hAnsi="Verdana"/>
          <w:sz w:val="17"/>
          <w:szCs w:val="17"/>
        </w:rPr>
      </w:pPr>
      <w:r>
        <w:rPr>
          <w:rFonts w:ascii="Verdana" w:eastAsia="Times New Roman" w:hAnsi="Verdana"/>
          <w:sz w:val="17"/>
          <w:szCs w:val="17"/>
        </w:rPr>
        <w:t xml:space="preserve">Request a personal email address and/or cell </w:t>
      </w:r>
      <w:r>
        <w:rPr>
          <w:rFonts w:ascii="Verdana" w:eastAsia="Times New Roman" w:hAnsi="Verdana"/>
          <w:sz w:val="17"/>
          <w:szCs w:val="17"/>
        </w:rPr>
        <w:t>phone number during the exit process and emphasize that any change of address must be reported to the employer;</w:t>
      </w:r>
    </w:p>
    <w:p w:rsidR="00000000" w:rsidRDefault="00A3021B">
      <w:pPr>
        <w:numPr>
          <w:ilvl w:val="0"/>
          <w:numId w:val="6"/>
        </w:numPr>
        <w:spacing w:before="100" w:beforeAutospacing="1" w:after="100" w:afterAutospacing="1"/>
        <w:ind w:left="150"/>
        <w:rPr>
          <w:rFonts w:ascii="Verdana" w:eastAsia="Times New Roman" w:hAnsi="Verdana"/>
          <w:sz w:val="17"/>
          <w:szCs w:val="17"/>
        </w:rPr>
      </w:pPr>
      <w:r>
        <w:rPr>
          <w:rFonts w:ascii="Verdana" w:eastAsia="Times New Roman" w:hAnsi="Verdana"/>
          <w:sz w:val="17"/>
          <w:szCs w:val="17"/>
        </w:rPr>
        <w:t>If the plan document calls for mandatory cash outs and/or rollovers, do so promptly. Failure to proceed is a violation of plan terms; and</w:t>
      </w:r>
    </w:p>
    <w:p w:rsidR="00000000" w:rsidRDefault="00A3021B">
      <w:pPr>
        <w:numPr>
          <w:ilvl w:val="0"/>
          <w:numId w:val="6"/>
        </w:numPr>
        <w:spacing w:before="100" w:beforeAutospacing="1" w:after="100" w:afterAutospacing="1"/>
        <w:ind w:left="150"/>
        <w:rPr>
          <w:rFonts w:ascii="Verdana" w:eastAsia="Times New Roman" w:hAnsi="Verdana"/>
          <w:sz w:val="17"/>
          <w:szCs w:val="17"/>
        </w:rPr>
      </w:pPr>
      <w:r>
        <w:rPr>
          <w:rFonts w:ascii="Verdana" w:eastAsia="Times New Roman" w:hAnsi="Verdana"/>
          <w:sz w:val="17"/>
          <w:szCs w:val="17"/>
        </w:rPr>
        <w:t>For balances under $200, pay out the participant ASAP after termination as no withholding or distribution forms are required.</w:t>
      </w:r>
    </w:p>
    <w:p w:rsidR="00000000" w:rsidRDefault="00A3021B">
      <w:pPr>
        <w:pStyle w:val="subhead"/>
      </w:pPr>
      <w:bookmarkStart w:id="14" w:name="conclusion"/>
      <w:bookmarkEnd w:id="14"/>
      <w:r>
        <w:t>Conclusion</w:t>
      </w:r>
    </w:p>
    <w:p w:rsidR="00000000" w:rsidRDefault="00A3021B">
      <w:pPr>
        <w:pStyle w:val="NormalWeb"/>
      </w:pPr>
      <w:r>
        <w:t>Uncashed checks remain plan assets and fiduciaries remain responsible for appropriately managing the funds and making s</w:t>
      </w:r>
      <w:r>
        <w:t>ure missing participants receive their money.</w:t>
      </w:r>
    </w:p>
    <w:p w:rsidR="00000000" w:rsidRDefault="00A3021B">
      <w:pPr>
        <w:pStyle w:val="NormalWeb"/>
      </w:pPr>
      <w:r>
        <w:t>In the absence of formal regulatory guidance for dealing with uncashed checks and missing participants, it is important to have written procedures in place for addressing these issues and documentation that the</w:t>
      </w:r>
      <w:r>
        <w:t xml:space="preserve"> procedures were followed.</w:t>
      </w:r>
    </w:p>
    <w:p w:rsidR="00000000" w:rsidRDefault="00A3021B">
      <w:pPr>
        <w:pStyle w:val="NormalWeb"/>
      </w:pPr>
      <w:r>
        <w:t>As the saying goes, an ounce of prevention is worth a pound of cure. In the case of uncashed checks and missing participants, there are many steps a plan sponsor can take to keep these potentially bothersome situations from becom</w:t>
      </w:r>
      <w:r>
        <w:t>ing big headaches.</w:t>
      </w:r>
    </w:p>
    <w:p w:rsidR="00000000" w:rsidRDefault="00A3021B">
      <w:pPr>
        <w:rPr>
          <w:rFonts w:ascii="Verdana" w:eastAsia="Times New Roman" w:hAnsi="Verdana"/>
          <w:sz w:val="17"/>
          <w:szCs w:val="17"/>
        </w:rPr>
      </w:pPr>
      <w:r>
        <w:rPr>
          <w:rFonts w:ascii="Verdana" w:eastAsia="Times New Roman" w:hAnsi="Verdana"/>
          <w:sz w:val="17"/>
          <w:szCs w:val="17"/>
        </w:rPr>
        <w:pict>
          <v:rect id="_x0000_i1026" style="width:0;height:1.5pt" o:hralign="center" o:hrstd="t" o:hr="t" fillcolor="#a0a0a0" stroked="f"/>
        </w:pict>
      </w:r>
    </w:p>
    <w:p w:rsidR="00000000" w:rsidRDefault="00A3021B">
      <w:pPr>
        <w:pStyle w:val="news-disclaimer"/>
      </w:pPr>
      <w:r>
        <w:t>This newsletter is intended to provide general information on matters of interest in the area of qualified retirement plans and is distributed with the understanding that the publisher and distributor</w:t>
      </w:r>
      <w:r>
        <w:t xml:space="preserve"> are not rendering legal, tax or other professional advice. Readers should not act or rely on any information in this newsletter without first seeking the advice of an independent tax advisor such as an attorney or CPA.</w:t>
      </w:r>
    </w:p>
    <w:p w:rsidR="00000000" w:rsidRDefault="00A3021B">
      <w:pPr>
        <w:pStyle w:val="pagetop"/>
      </w:pPr>
      <w:hyperlink w:anchor="topofpage" w:history="1">
        <w:r>
          <w:rPr>
            <w:rStyle w:val="Hyperlink"/>
          </w:rPr>
          <w:t>[top</w:t>
        </w:r>
        <w:r>
          <w:rPr>
            <w:rStyle w:val="Hyperlink"/>
          </w:rPr>
          <w:t xml:space="preserve"> of page]</w:t>
        </w:r>
      </w:hyperlink>
    </w:p>
    <w:p w:rsidR="00000000" w:rsidRDefault="00A3021B">
      <w:pPr>
        <w:pStyle w:val="copyright"/>
      </w:pPr>
      <w:r>
        <w:t>©2017 Benefit Insights, Inc. All rights reserved.</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951D4"/>
    <w:multiLevelType w:val="multilevel"/>
    <w:tmpl w:val="CB38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C24C4E"/>
    <w:multiLevelType w:val="multilevel"/>
    <w:tmpl w:val="1E0A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186764"/>
    <w:multiLevelType w:val="multilevel"/>
    <w:tmpl w:val="6E52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37678C"/>
    <w:multiLevelType w:val="multilevel"/>
    <w:tmpl w:val="77EA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EA435F"/>
    <w:multiLevelType w:val="multilevel"/>
    <w:tmpl w:val="AE92A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1F1DCA"/>
    <w:multiLevelType w:val="multilevel"/>
    <w:tmpl w:val="EDEC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9452B"/>
    <w:rsid w:val="0009452B"/>
    <w:rsid w:val="00A30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F4F583-5704-4140-89C2-F5085F10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sz w:val="17"/>
      <w:szCs w:val="17"/>
    </w:rPr>
  </w:style>
  <w:style w:type="paragraph" w:customStyle="1" w:styleId="copyright">
    <w:name w:val="copyright"/>
    <w:basedOn w:val="Normal"/>
    <w:pPr>
      <w:spacing w:before="100" w:beforeAutospacing="1" w:after="100" w:afterAutospacing="1"/>
      <w:jc w:val="center"/>
    </w:pPr>
    <w:rPr>
      <w:rFonts w:ascii="Verdana" w:hAnsi="Verdana"/>
      <w:sz w:val="14"/>
      <w:szCs w:val="14"/>
    </w:rPr>
  </w:style>
  <w:style w:type="paragraph" w:customStyle="1" w:styleId="pagetop">
    <w:name w:val="pagetop"/>
    <w:basedOn w:val="Normal"/>
    <w:pPr>
      <w:spacing w:before="100" w:beforeAutospacing="1" w:after="100" w:afterAutospacing="1"/>
      <w:jc w:val="center"/>
    </w:pPr>
    <w:rPr>
      <w:rFonts w:ascii="Verdana" w:hAnsi="Verdana"/>
      <w:sz w:val="17"/>
      <w:szCs w:val="17"/>
    </w:rPr>
  </w:style>
  <w:style w:type="paragraph" w:customStyle="1" w:styleId="news-title">
    <w:name w:val="news-title"/>
    <w:basedOn w:val="Normal"/>
    <w:pPr>
      <w:spacing w:before="100" w:beforeAutospacing="1"/>
    </w:pPr>
    <w:rPr>
      <w:rFonts w:ascii="Verdana" w:hAnsi="Verdana"/>
      <w:b/>
      <w:bCs/>
      <w:color w:val="000000"/>
      <w:sz w:val="27"/>
      <w:szCs w:val="27"/>
    </w:rPr>
  </w:style>
  <w:style w:type="paragraph" w:customStyle="1" w:styleId="news-date">
    <w:name w:val="news-date"/>
    <w:basedOn w:val="Normal"/>
    <w:rPr>
      <w:rFonts w:ascii="Verdana" w:hAnsi="Verdana"/>
      <w:i/>
      <w:iCs/>
      <w:sz w:val="17"/>
      <w:szCs w:val="17"/>
    </w:rPr>
  </w:style>
  <w:style w:type="paragraph" w:customStyle="1" w:styleId="subhead">
    <w:name w:val="subhead"/>
    <w:basedOn w:val="Normal"/>
    <w:pPr>
      <w:spacing w:before="225"/>
    </w:pPr>
    <w:rPr>
      <w:rFonts w:ascii="Verdana" w:hAnsi="Verdana"/>
      <w:b/>
      <w:bCs/>
      <w:color w:val="000000"/>
      <w:sz w:val="21"/>
      <w:szCs w:val="21"/>
    </w:rPr>
  </w:style>
  <w:style w:type="paragraph" w:customStyle="1" w:styleId="subhead2">
    <w:name w:val="subhead2"/>
    <w:basedOn w:val="Normal"/>
    <w:pPr>
      <w:spacing w:before="225"/>
    </w:pPr>
    <w:rPr>
      <w:rFonts w:ascii="Verdana" w:hAnsi="Verdana"/>
      <w:b/>
      <w:bCs/>
      <w:color w:val="000000"/>
      <w:sz w:val="18"/>
      <w:szCs w:val="18"/>
    </w:rPr>
  </w:style>
  <w:style w:type="paragraph" w:customStyle="1" w:styleId="news-disclaimer">
    <w:name w:val="news-disclaimer"/>
    <w:basedOn w:val="Normal"/>
    <w:pPr>
      <w:spacing w:after="100" w:afterAutospacing="1"/>
    </w:pPr>
    <w:rPr>
      <w:rFonts w:ascii="Verdana" w:hAnsi="Verdana"/>
      <w:sz w:val="15"/>
      <w:szCs w:val="15"/>
    </w:rPr>
  </w:style>
  <w:style w:type="paragraph" w:customStyle="1" w:styleId="news-example">
    <w:name w:val="news-example"/>
    <w:basedOn w:val="Normal"/>
    <w:pPr>
      <w:spacing w:before="100" w:beforeAutospacing="1" w:after="100" w:afterAutospacing="1"/>
      <w:ind w:left="600"/>
    </w:pPr>
    <w:rPr>
      <w:rFonts w:ascii="Verdana" w:hAnsi="Verdana"/>
      <w:sz w:val="17"/>
      <w:szCs w:val="17"/>
    </w:rPr>
  </w:style>
  <w:style w:type="character" w:customStyle="1" w:styleId="bold-italic">
    <w:name w:val="bold-italic"/>
    <w:basedOn w:val="DefaultParagraphFont"/>
    <w:rPr>
      <w:b/>
      <w:bCs/>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1705</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February 2017 Newsletter</vt:lpstr>
    </vt:vector>
  </TitlesOfParts>
  <Company>Cloud Server</Company>
  <LinksUpToDate>false</LinksUpToDate>
  <CharactersWithSpaces>11470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2017 Newsletter</dc:title>
  <dc:subject/>
  <dc:creator>Maxine Bryant</dc:creator>
  <cp:keywords/>
  <dc:description/>
  <cp:lastModifiedBy>Maxine Bryant</cp:lastModifiedBy>
  <cp:revision>2</cp:revision>
  <dcterms:created xsi:type="dcterms:W3CDTF">2017-06-28T18:00:00Z</dcterms:created>
  <dcterms:modified xsi:type="dcterms:W3CDTF">2017-06-28T18:00:00Z</dcterms:modified>
</cp:coreProperties>
</file>