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D2DA" w14:textId="069E3D47" w:rsidR="002404C2" w:rsidRPr="007431E7" w:rsidRDefault="002404C2">
      <w:pPr>
        <w:rPr>
          <w:rFonts w:cs="Arial"/>
          <w:b/>
          <w:color w:val="000000" w:themeColor="text1"/>
        </w:rPr>
      </w:pPr>
    </w:p>
    <w:p w14:paraId="1156C78B" w14:textId="6829CDE8" w:rsidR="002404C2" w:rsidRPr="007431E7" w:rsidRDefault="002404C2">
      <w:pPr>
        <w:rPr>
          <w:rFonts w:cs="Arial"/>
          <w:b/>
          <w:color w:val="000000" w:themeColor="text1"/>
        </w:rPr>
      </w:pPr>
    </w:p>
    <w:p w14:paraId="4931EAE0" w14:textId="77777777" w:rsidR="002404C2" w:rsidRPr="007431E7" w:rsidRDefault="002404C2">
      <w:pPr>
        <w:rPr>
          <w:rFonts w:cs="Arial"/>
          <w:b/>
          <w:color w:val="000000" w:themeColor="text1"/>
        </w:rPr>
      </w:pPr>
    </w:p>
    <w:p w14:paraId="1B0C62E0" w14:textId="77777777" w:rsidR="002404C2" w:rsidRPr="007431E7" w:rsidRDefault="002404C2">
      <w:pPr>
        <w:rPr>
          <w:rFonts w:cs="Arial"/>
          <w:b/>
          <w:color w:val="000000" w:themeColor="text1"/>
        </w:rPr>
      </w:pPr>
    </w:p>
    <w:p w14:paraId="4539FA80" w14:textId="77777777" w:rsidR="002404C2" w:rsidRPr="007431E7" w:rsidRDefault="002404C2">
      <w:pPr>
        <w:rPr>
          <w:rFonts w:cs="Arial"/>
          <w:b/>
          <w:color w:val="000000" w:themeColor="text1"/>
        </w:rPr>
      </w:pPr>
    </w:p>
    <w:p w14:paraId="5C4BD325" w14:textId="77777777" w:rsidR="002404C2" w:rsidRPr="007431E7" w:rsidRDefault="002404C2">
      <w:pPr>
        <w:rPr>
          <w:rFonts w:cs="Arial"/>
          <w:b/>
          <w:color w:val="000000" w:themeColor="text1"/>
        </w:rPr>
      </w:pPr>
    </w:p>
    <w:p w14:paraId="63F019B1" w14:textId="120A3295" w:rsidR="002404C2" w:rsidRPr="007431E7" w:rsidRDefault="009144CB" w:rsidP="009144CB">
      <w:pPr>
        <w:jc w:val="center"/>
        <w:rPr>
          <w:rFonts w:cs="Arial"/>
          <w:b/>
          <w:color w:val="000000" w:themeColor="text1"/>
        </w:rPr>
      </w:pPr>
      <w:bookmarkStart w:id="0" w:name="_GoBack"/>
      <w:bookmarkEnd w:id="0"/>
      <w:r>
        <w:rPr>
          <w:rFonts w:cs="Arial"/>
          <w:b/>
          <w:noProof/>
          <w:color w:val="000000" w:themeColor="text1"/>
        </w:rPr>
        <w:drawing>
          <wp:inline distT="0" distB="0" distL="0" distR="0" wp14:anchorId="2C433AD3" wp14:editId="47DB0211">
            <wp:extent cx="4676775" cy="2338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G_2019UpdatedLogo.png"/>
                    <pic:cNvPicPr/>
                  </pic:nvPicPr>
                  <pic:blipFill>
                    <a:blip r:embed="rId9"/>
                    <a:stretch>
                      <a:fillRect/>
                    </a:stretch>
                  </pic:blipFill>
                  <pic:spPr>
                    <a:xfrm>
                      <a:off x="0" y="0"/>
                      <a:ext cx="4681536" cy="2340768"/>
                    </a:xfrm>
                    <a:prstGeom prst="rect">
                      <a:avLst/>
                    </a:prstGeom>
                  </pic:spPr>
                </pic:pic>
              </a:graphicData>
            </a:graphic>
          </wp:inline>
        </w:drawing>
      </w:r>
    </w:p>
    <w:p w14:paraId="0D1680AF" w14:textId="77777777" w:rsidR="002404C2" w:rsidRPr="007431E7" w:rsidRDefault="002404C2">
      <w:pPr>
        <w:rPr>
          <w:rFonts w:cs="Arial"/>
          <w:b/>
          <w:color w:val="000000" w:themeColor="text1"/>
          <w:sz w:val="36"/>
        </w:rPr>
      </w:pPr>
    </w:p>
    <w:p w14:paraId="2129CD4E" w14:textId="77777777" w:rsidR="002404C2" w:rsidRPr="007431E7" w:rsidRDefault="002404C2" w:rsidP="002404C2">
      <w:pPr>
        <w:jc w:val="center"/>
        <w:rPr>
          <w:rFonts w:cs="Arial"/>
          <w:b/>
          <w:color w:val="000000" w:themeColor="text1"/>
          <w:sz w:val="36"/>
        </w:rPr>
      </w:pPr>
    </w:p>
    <w:p w14:paraId="6A4E0D8C" w14:textId="77777777" w:rsidR="002404C2" w:rsidRPr="00E96181" w:rsidRDefault="002404C2" w:rsidP="002404C2">
      <w:pPr>
        <w:pStyle w:val="Header"/>
        <w:rPr>
          <w:color w:val="000000" w:themeColor="text1"/>
        </w:rPr>
      </w:pPr>
      <w:r w:rsidRPr="00E96181">
        <w:rPr>
          <w:noProof/>
          <w:color w:val="000000" w:themeColor="text1"/>
        </w:rPr>
        <w:t>Capstone Financial Group</w:t>
      </w:r>
      <w:r w:rsidRPr="00E96181">
        <w:rPr>
          <w:color w:val="000000" w:themeColor="text1"/>
        </w:rPr>
        <w:t>, Inc</w:t>
      </w:r>
    </w:p>
    <w:p w14:paraId="4F6A986A" w14:textId="77777777" w:rsidR="002404C2" w:rsidRPr="00E96181" w:rsidRDefault="002404C2" w:rsidP="002404C2">
      <w:pPr>
        <w:pStyle w:val="Header"/>
        <w:rPr>
          <w:color w:val="000000" w:themeColor="text1"/>
        </w:rPr>
      </w:pPr>
    </w:p>
    <w:p w14:paraId="4765EB35" w14:textId="77777777" w:rsidR="002404C2" w:rsidRPr="00E96181" w:rsidRDefault="002404C2" w:rsidP="002404C2">
      <w:pPr>
        <w:pStyle w:val="Header"/>
        <w:rPr>
          <w:color w:val="000000" w:themeColor="text1"/>
        </w:rPr>
      </w:pPr>
    </w:p>
    <w:p w14:paraId="2BFD1BC8" w14:textId="77777777" w:rsidR="002404C2" w:rsidRPr="00E96181" w:rsidRDefault="002404C2" w:rsidP="002404C2">
      <w:pPr>
        <w:pStyle w:val="Header"/>
        <w:rPr>
          <w:color w:val="000000" w:themeColor="text1"/>
        </w:rPr>
      </w:pPr>
      <w:r w:rsidRPr="00E96181">
        <w:rPr>
          <w:color w:val="000000" w:themeColor="text1"/>
        </w:rPr>
        <w:t>Form ADV Part 2A – Disclosure Brochure</w:t>
      </w:r>
    </w:p>
    <w:p w14:paraId="281FA518" w14:textId="77777777" w:rsidR="002404C2" w:rsidRPr="00E96181" w:rsidRDefault="002404C2" w:rsidP="002404C2">
      <w:pPr>
        <w:jc w:val="center"/>
        <w:rPr>
          <w:rFonts w:cs="Arial"/>
          <w:b/>
          <w:color w:val="000000" w:themeColor="text1"/>
          <w:sz w:val="28"/>
        </w:rPr>
      </w:pPr>
    </w:p>
    <w:p w14:paraId="610D5099" w14:textId="7335666B" w:rsidR="002404C2" w:rsidRPr="00E96181" w:rsidRDefault="002404C2" w:rsidP="002404C2">
      <w:pPr>
        <w:jc w:val="center"/>
        <w:rPr>
          <w:rFonts w:cs="Arial"/>
          <w:b/>
          <w:bCs/>
          <w:color w:val="000000" w:themeColor="text1"/>
          <w:sz w:val="28"/>
          <w:szCs w:val="28"/>
        </w:rPr>
      </w:pPr>
      <w:r w:rsidRPr="00E96181">
        <w:rPr>
          <w:rFonts w:cs="Arial"/>
          <w:b/>
          <w:color w:val="000000" w:themeColor="text1"/>
          <w:sz w:val="28"/>
          <w:szCs w:val="28"/>
        </w:rPr>
        <w:t xml:space="preserve">Effective: </w:t>
      </w:r>
      <w:r w:rsidR="007044CD">
        <w:rPr>
          <w:b/>
          <w:noProof/>
          <w:color w:val="000000" w:themeColor="text1"/>
          <w:sz w:val="28"/>
          <w:szCs w:val="28"/>
        </w:rPr>
        <w:t>May 16, 2019</w:t>
      </w:r>
    </w:p>
    <w:p w14:paraId="56D9F757" w14:textId="77777777" w:rsidR="002404C2" w:rsidRPr="00E96181" w:rsidRDefault="002404C2" w:rsidP="002404C2">
      <w:pPr>
        <w:rPr>
          <w:rFonts w:ascii="Palatino" w:hAnsi="Palatino"/>
          <w:b/>
          <w:color w:val="000000" w:themeColor="text1"/>
          <w:sz w:val="36"/>
        </w:rPr>
      </w:pPr>
    </w:p>
    <w:p w14:paraId="02F2A4D1" w14:textId="446F3946" w:rsidR="002404C2" w:rsidRPr="00E96181" w:rsidRDefault="002404C2" w:rsidP="002404C2">
      <w:pPr>
        <w:rPr>
          <w:color w:val="000000" w:themeColor="text1"/>
        </w:rPr>
      </w:pPr>
      <w:r w:rsidRPr="00E96181">
        <w:rPr>
          <w:color w:val="000000" w:themeColor="text1"/>
        </w:rPr>
        <w:t xml:space="preserve">This Form ADV Part 2A (“Disclosure Brochure”) provides information about the qualifications and business practices of </w:t>
      </w:r>
      <w:r w:rsidRPr="00E96181">
        <w:rPr>
          <w:noProof/>
          <w:color w:val="000000" w:themeColor="text1"/>
        </w:rPr>
        <w:t>Capstone Financial Group</w:t>
      </w:r>
      <w:r w:rsidRPr="00E96181">
        <w:rPr>
          <w:color w:val="000000" w:themeColor="text1"/>
        </w:rPr>
        <w:t xml:space="preserve">, </w:t>
      </w:r>
      <w:r w:rsidR="00C20F38">
        <w:rPr>
          <w:color w:val="000000" w:themeColor="text1"/>
        </w:rPr>
        <w:t>Inc.</w:t>
      </w:r>
      <w:r w:rsidRPr="00E96181">
        <w:rPr>
          <w:color w:val="000000" w:themeColor="text1"/>
        </w:rPr>
        <w:t xml:space="preserve"> (“</w:t>
      </w:r>
      <w:r w:rsidRPr="00E96181">
        <w:rPr>
          <w:noProof/>
          <w:color w:val="000000" w:themeColor="text1"/>
        </w:rPr>
        <w:t>CFG</w:t>
      </w:r>
      <w:r w:rsidRPr="00E96181">
        <w:rPr>
          <w:color w:val="000000" w:themeColor="text1"/>
        </w:rPr>
        <w:t xml:space="preserve">” or the “Advisor”). If you have any questions about the contents of this Disclosure Brochure, please contact us at </w:t>
      </w:r>
      <w:r w:rsidRPr="00E96181">
        <w:rPr>
          <w:noProof/>
          <w:color w:val="000000" w:themeColor="text1"/>
        </w:rPr>
        <w:t>(405) 848-4646</w:t>
      </w:r>
      <w:r w:rsidRPr="00E96181">
        <w:rPr>
          <w:color w:val="000000" w:themeColor="text1"/>
        </w:rPr>
        <w:t>.</w:t>
      </w:r>
    </w:p>
    <w:p w14:paraId="31A9A218" w14:textId="77777777" w:rsidR="002404C2" w:rsidRPr="00E96181" w:rsidRDefault="002404C2" w:rsidP="002404C2">
      <w:pPr>
        <w:rPr>
          <w:color w:val="000000" w:themeColor="text1"/>
        </w:rPr>
      </w:pPr>
    </w:p>
    <w:p w14:paraId="53BC4717" w14:textId="77777777" w:rsidR="002404C2" w:rsidRPr="00E96181" w:rsidRDefault="002404C2" w:rsidP="002404C2">
      <w:pPr>
        <w:rPr>
          <w:color w:val="000000" w:themeColor="text1"/>
          <w:szCs w:val="20"/>
        </w:rPr>
      </w:pPr>
      <w:r w:rsidRPr="00E96181">
        <w:rPr>
          <w:noProof/>
          <w:color w:val="000000" w:themeColor="text1"/>
          <w:szCs w:val="20"/>
        </w:rPr>
        <w:t>CFG</w:t>
      </w:r>
      <w:r w:rsidRPr="00E96181">
        <w:rPr>
          <w:color w:val="000000" w:themeColor="text1"/>
          <w:szCs w:val="20"/>
        </w:rPr>
        <w:t xml:space="preserve"> is a registered investment advisor with </w:t>
      </w:r>
      <w:r w:rsidRPr="00E96181">
        <w:rPr>
          <w:rFonts w:cs="Arial"/>
          <w:noProof/>
          <w:szCs w:val="20"/>
        </w:rPr>
        <w:t xml:space="preserve">U.S. Securities </w:t>
      </w:r>
      <w:r w:rsidRPr="00E96181">
        <w:rPr>
          <w:rFonts w:cs="Arial"/>
          <w:szCs w:val="20"/>
        </w:rPr>
        <w:t>and Exchange Commission (“SEC”)</w:t>
      </w:r>
      <w:r w:rsidRPr="00E96181">
        <w:rPr>
          <w:color w:val="000000" w:themeColor="text1"/>
          <w:szCs w:val="20"/>
        </w:rPr>
        <w:t xml:space="preserve">. The information in this Disclosure Brochure has not been approved or verified by the SEC or by any state securities authority. Registration of an investment advisor does not imply any specific level of skill or training. This Disclosure Brochure provides information about </w:t>
      </w:r>
      <w:r w:rsidRPr="00E96181">
        <w:rPr>
          <w:noProof/>
          <w:color w:val="000000" w:themeColor="text1"/>
          <w:szCs w:val="20"/>
        </w:rPr>
        <w:t>CFG</w:t>
      </w:r>
      <w:r w:rsidRPr="00E96181">
        <w:rPr>
          <w:color w:val="000000" w:themeColor="text1"/>
          <w:szCs w:val="20"/>
        </w:rPr>
        <w:t xml:space="preserve"> to assist you in determining whether to retain the Advisor.</w:t>
      </w:r>
    </w:p>
    <w:p w14:paraId="79001C10" w14:textId="77777777" w:rsidR="002404C2" w:rsidRPr="00E96181" w:rsidRDefault="002404C2" w:rsidP="002404C2">
      <w:pPr>
        <w:rPr>
          <w:color w:val="000000" w:themeColor="text1"/>
          <w:szCs w:val="20"/>
        </w:rPr>
      </w:pPr>
    </w:p>
    <w:p w14:paraId="1441826F" w14:textId="62A701B8" w:rsidR="002404C2" w:rsidRPr="00E96181" w:rsidRDefault="002404C2" w:rsidP="002404C2">
      <w:pPr>
        <w:rPr>
          <w:color w:val="000000" w:themeColor="text1"/>
          <w:szCs w:val="20"/>
        </w:rPr>
      </w:pPr>
      <w:r w:rsidRPr="00E96181">
        <w:rPr>
          <w:color w:val="000000" w:themeColor="text1"/>
        </w:rPr>
        <w:t xml:space="preserve">Additional information about </w:t>
      </w:r>
      <w:r w:rsidRPr="00E96181">
        <w:rPr>
          <w:noProof/>
          <w:color w:val="000000" w:themeColor="text1"/>
        </w:rPr>
        <w:t>CFG</w:t>
      </w:r>
      <w:r w:rsidRPr="00E96181">
        <w:rPr>
          <w:color w:val="000000" w:themeColor="text1"/>
        </w:rPr>
        <w:t xml:space="preserve"> and its Advisory Persons </w:t>
      </w:r>
      <w:r w:rsidR="007044CD">
        <w:rPr>
          <w:color w:val="000000" w:themeColor="text1"/>
        </w:rPr>
        <w:t>is</w:t>
      </w:r>
      <w:r w:rsidR="007044CD" w:rsidRPr="00E96181">
        <w:rPr>
          <w:color w:val="000000" w:themeColor="text1"/>
        </w:rPr>
        <w:t xml:space="preserve"> </w:t>
      </w:r>
      <w:r w:rsidRPr="00E96181">
        <w:rPr>
          <w:color w:val="000000" w:themeColor="text1"/>
        </w:rPr>
        <w:t xml:space="preserve">available on the SEC’s website at </w:t>
      </w:r>
      <w:hyperlink r:id="rId10" w:history="1">
        <w:r w:rsidRPr="00E96181">
          <w:rPr>
            <w:rStyle w:val="Hyperlink"/>
            <w:rFonts w:cs="Arial"/>
          </w:rPr>
          <w:t>www.adviserinfo.sec.gov</w:t>
        </w:r>
      </w:hyperlink>
      <w:r w:rsidRPr="00E96181">
        <w:rPr>
          <w:rFonts w:cs="Arial"/>
        </w:rPr>
        <w:t xml:space="preserve"> </w:t>
      </w:r>
      <w:r w:rsidRPr="00E96181">
        <w:rPr>
          <w:rStyle w:val="Hyperlink"/>
          <w:rFonts w:cs="Arial"/>
          <w:color w:val="000000" w:themeColor="text1"/>
          <w:u w:val="none"/>
        </w:rPr>
        <w:t>by searching with our firm name or our CRD#</w:t>
      </w:r>
      <w:r w:rsidR="00A6477C" w:rsidRPr="00E96181">
        <w:rPr>
          <w:color w:val="000000" w:themeColor="text1"/>
        </w:rPr>
        <w:t xml:space="preserve"> 299819</w:t>
      </w:r>
      <w:r w:rsidR="00F17CE5">
        <w:rPr>
          <w:color w:val="000000" w:themeColor="text1"/>
        </w:rPr>
        <w:t>.</w:t>
      </w:r>
    </w:p>
    <w:p w14:paraId="3035901A" w14:textId="77777777" w:rsidR="002404C2" w:rsidRPr="00E96181" w:rsidRDefault="002404C2" w:rsidP="002404C2">
      <w:pPr>
        <w:spacing w:beforeLines="1" w:before="2" w:afterLines="1" w:after="2"/>
        <w:rPr>
          <w:rFonts w:ascii="Palatino" w:hAnsi="Palatino"/>
          <w:color w:val="000000" w:themeColor="text1"/>
          <w:szCs w:val="20"/>
        </w:rPr>
      </w:pPr>
    </w:p>
    <w:p w14:paraId="11E5FCA1" w14:textId="77777777" w:rsidR="002404C2" w:rsidRPr="00E96181" w:rsidRDefault="002404C2" w:rsidP="002404C2">
      <w:pPr>
        <w:spacing w:beforeLines="1" w:before="2" w:afterLines="1" w:after="2"/>
        <w:rPr>
          <w:rFonts w:ascii="Palatino" w:hAnsi="Palatino"/>
          <w:color w:val="000000" w:themeColor="text1"/>
          <w:szCs w:val="20"/>
        </w:rPr>
      </w:pPr>
    </w:p>
    <w:p w14:paraId="3F197565" w14:textId="77777777" w:rsidR="002404C2" w:rsidRPr="00E96181" w:rsidRDefault="002404C2" w:rsidP="002404C2">
      <w:pPr>
        <w:spacing w:beforeLines="1" w:before="2" w:afterLines="1" w:after="2"/>
        <w:rPr>
          <w:rFonts w:ascii="Palatino" w:hAnsi="Palatino"/>
          <w:color w:val="000000" w:themeColor="text1"/>
          <w:szCs w:val="20"/>
        </w:rPr>
      </w:pPr>
    </w:p>
    <w:p w14:paraId="4EB9736A" w14:textId="77777777" w:rsidR="002404C2" w:rsidRPr="00E96181" w:rsidRDefault="002404C2" w:rsidP="002404C2">
      <w:pPr>
        <w:spacing w:beforeLines="1" w:before="2" w:afterLines="1" w:after="2"/>
        <w:rPr>
          <w:rFonts w:ascii="Palatino" w:hAnsi="Palatino"/>
          <w:color w:val="000000" w:themeColor="text1"/>
          <w:szCs w:val="20"/>
        </w:rPr>
      </w:pPr>
    </w:p>
    <w:p w14:paraId="3B8D8D8A" w14:textId="77777777" w:rsidR="002404C2" w:rsidRPr="00E96181" w:rsidRDefault="002404C2" w:rsidP="002404C2">
      <w:pPr>
        <w:spacing w:beforeLines="1" w:before="2" w:afterLines="1" w:after="2"/>
        <w:rPr>
          <w:rFonts w:ascii="Palatino" w:hAnsi="Palatino"/>
          <w:color w:val="000000" w:themeColor="text1"/>
          <w:szCs w:val="20"/>
        </w:rPr>
      </w:pPr>
    </w:p>
    <w:p w14:paraId="407BAD6A" w14:textId="77777777" w:rsidR="002404C2" w:rsidRPr="00E96181" w:rsidRDefault="002404C2" w:rsidP="002404C2">
      <w:pPr>
        <w:spacing w:beforeLines="1" w:before="2" w:afterLines="1" w:after="2"/>
        <w:rPr>
          <w:rFonts w:ascii="Palatino" w:hAnsi="Palatino"/>
          <w:color w:val="000000" w:themeColor="text1"/>
          <w:szCs w:val="20"/>
        </w:rPr>
      </w:pPr>
    </w:p>
    <w:p w14:paraId="63B8A3E2" w14:textId="77777777" w:rsidR="002404C2" w:rsidRPr="00E96181" w:rsidRDefault="002404C2" w:rsidP="002404C2">
      <w:pPr>
        <w:spacing w:beforeLines="1" w:before="2" w:afterLines="1" w:after="2"/>
        <w:rPr>
          <w:rFonts w:ascii="Palatino" w:hAnsi="Palatino"/>
          <w:color w:val="000000" w:themeColor="text1"/>
          <w:szCs w:val="20"/>
        </w:rPr>
      </w:pPr>
    </w:p>
    <w:p w14:paraId="3D73EFEA" w14:textId="79F51542" w:rsidR="002404C2" w:rsidRPr="00E96181" w:rsidRDefault="002404C2" w:rsidP="002404C2">
      <w:pPr>
        <w:jc w:val="center"/>
        <w:rPr>
          <w:rFonts w:cs="Arial"/>
          <w:b/>
          <w:color w:val="000000" w:themeColor="text1"/>
          <w:szCs w:val="20"/>
        </w:rPr>
      </w:pPr>
      <w:r w:rsidRPr="00E96181">
        <w:rPr>
          <w:rFonts w:cs="Arial"/>
          <w:b/>
          <w:noProof/>
          <w:color w:val="000000" w:themeColor="text1"/>
          <w:szCs w:val="20"/>
        </w:rPr>
        <w:t>Capstone Financial Group</w:t>
      </w:r>
      <w:r w:rsidRPr="00E96181">
        <w:rPr>
          <w:rFonts w:cs="Arial"/>
          <w:b/>
          <w:color w:val="000000" w:themeColor="text1"/>
          <w:szCs w:val="20"/>
        </w:rPr>
        <w:t xml:space="preserve">, </w:t>
      </w:r>
      <w:r w:rsidR="00C20F38">
        <w:rPr>
          <w:rFonts w:cs="Arial"/>
          <w:b/>
          <w:color w:val="000000" w:themeColor="text1"/>
          <w:szCs w:val="20"/>
        </w:rPr>
        <w:t>Inc.</w:t>
      </w:r>
      <w:r w:rsidRPr="00E96181">
        <w:rPr>
          <w:rFonts w:cs="Arial"/>
          <w:b/>
          <w:color w:val="000000" w:themeColor="text1"/>
          <w:szCs w:val="20"/>
        </w:rPr>
        <w:t xml:space="preserve"> </w:t>
      </w:r>
    </w:p>
    <w:p w14:paraId="23C7C38B" w14:textId="77777777" w:rsidR="002404C2" w:rsidRPr="00E96181" w:rsidRDefault="002404C2" w:rsidP="002404C2">
      <w:pPr>
        <w:jc w:val="center"/>
        <w:rPr>
          <w:rFonts w:cs="Arial"/>
          <w:b/>
          <w:color w:val="000000" w:themeColor="text1"/>
          <w:szCs w:val="20"/>
        </w:rPr>
      </w:pPr>
      <w:r w:rsidRPr="00E96181">
        <w:rPr>
          <w:rFonts w:cs="Arial"/>
          <w:b/>
          <w:noProof/>
          <w:color w:val="000000" w:themeColor="text1"/>
          <w:szCs w:val="20"/>
        </w:rPr>
        <w:t>13919 Quail Pointe</w:t>
      </w:r>
      <w:r w:rsidRPr="00E96181">
        <w:rPr>
          <w:rFonts w:cs="Arial"/>
          <w:b/>
          <w:color w:val="000000" w:themeColor="text1"/>
          <w:szCs w:val="20"/>
        </w:rPr>
        <w:t xml:space="preserve"> Drive</w:t>
      </w:r>
      <w:r w:rsidRPr="00E96181">
        <w:rPr>
          <w:rFonts w:cs="Arial"/>
          <w:b/>
          <w:color w:val="000000" w:themeColor="text1"/>
          <w:szCs w:val="20"/>
        </w:rPr>
        <w:br/>
      </w:r>
      <w:r w:rsidRPr="00E96181">
        <w:rPr>
          <w:rFonts w:cs="Arial"/>
          <w:b/>
          <w:noProof/>
          <w:color w:val="000000" w:themeColor="text1"/>
          <w:szCs w:val="20"/>
        </w:rPr>
        <w:t>Oklahoma City</w:t>
      </w:r>
      <w:r w:rsidRPr="00E96181">
        <w:rPr>
          <w:rFonts w:cs="Arial"/>
          <w:b/>
          <w:color w:val="000000" w:themeColor="text1"/>
          <w:szCs w:val="20"/>
        </w:rPr>
        <w:t xml:space="preserve">, </w:t>
      </w:r>
      <w:r w:rsidRPr="00E96181">
        <w:rPr>
          <w:rFonts w:cs="Arial"/>
          <w:b/>
          <w:noProof/>
          <w:color w:val="000000" w:themeColor="text1"/>
          <w:szCs w:val="20"/>
        </w:rPr>
        <w:t>OK</w:t>
      </w:r>
      <w:r w:rsidRPr="00E96181">
        <w:rPr>
          <w:rFonts w:cs="Arial"/>
          <w:b/>
          <w:color w:val="000000" w:themeColor="text1"/>
          <w:szCs w:val="20"/>
        </w:rPr>
        <w:t xml:space="preserve"> </w:t>
      </w:r>
      <w:r w:rsidRPr="00E96181">
        <w:rPr>
          <w:rFonts w:cs="Arial"/>
          <w:b/>
          <w:noProof/>
          <w:color w:val="000000" w:themeColor="text1"/>
          <w:szCs w:val="20"/>
        </w:rPr>
        <w:t>73134</w:t>
      </w:r>
    </w:p>
    <w:p w14:paraId="41A575AD" w14:textId="77777777" w:rsidR="002404C2" w:rsidRPr="00E96181" w:rsidRDefault="002404C2" w:rsidP="002404C2">
      <w:pPr>
        <w:jc w:val="center"/>
        <w:rPr>
          <w:rFonts w:cs="Arial"/>
          <w:b/>
          <w:color w:val="000000" w:themeColor="text1"/>
          <w:szCs w:val="20"/>
        </w:rPr>
      </w:pPr>
      <w:r w:rsidRPr="00E96181">
        <w:rPr>
          <w:rFonts w:cs="Arial"/>
          <w:b/>
          <w:color w:val="000000" w:themeColor="text1"/>
          <w:szCs w:val="20"/>
        </w:rPr>
        <w:t xml:space="preserve">Phone: </w:t>
      </w:r>
      <w:r w:rsidRPr="00E96181">
        <w:rPr>
          <w:rFonts w:cs="Arial"/>
          <w:b/>
          <w:noProof/>
          <w:color w:val="000000" w:themeColor="text1"/>
          <w:szCs w:val="20"/>
        </w:rPr>
        <w:t>(405) 848-4646</w:t>
      </w:r>
      <w:r w:rsidRPr="00E96181">
        <w:rPr>
          <w:rFonts w:cs="Arial"/>
          <w:b/>
          <w:color w:val="000000" w:themeColor="text1"/>
          <w:szCs w:val="20"/>
        </w:rPr>
        <w:t xml:space="preserve"> * Fax: </w:t>
      </w:r>
      <w:r w:rsidRPr="00E96181">
        <w:rPr>
          <w:rFonts w:cs="Arial"/>
          <w:b/>
          <w:noProof/>
          <w:color w:val="000000" w:themeColor="text1"/>
          <w:szCs w:val="20"/>
        </w:rPr>
        <w:t>(405) 608-0839</w:t>
      </w:r>
    </w:p>
    <w:p w14:paraId="03A040F2" w14:textId="77777777" w:rsidR="002404C2" w:rsidRPr="00E96181" w:rsidRDefault="002404C2" w:rsidP="002404C2">
      <w:pPr>
        <w:jc w:val="center"/>
        <w:rPr>
          <w:rFonts w:cs="Arial"/>
          <w:b/>
          <w:color w:val="000000" w:themeColor="text1"/>
          <w:szCs w:val="20"/>
        </w:rPr>
      </w:pPr>
      <w:r w:rsidRPr="00E96181">
        <w:rPr>
          <w:rFonts w:cs="Arial"/>
          <w:b/>
          <w:noProof/>
          <w:color w:val="000000" w:themeColor="text1"/>
          <w:szCs w:val="20"/>
        </w:rPr>
        <w:t>www.capfinancial.com</w:t>
      </w:r>
    </w:p>
    <w:p w14:paraId="35E84840" w14:textId="77777777" w:rsidR="002404C2" w:rsidRPr="00E96181" w:rsidRDefault="002404C2">
      <w:pPr>
        <w:rPr>
          <w:rFonts w:eastAsia="Times New Roman" w:cs="Arial"/>
          <w:b/>
          <w:color w:val="000000" w:themeColor="text1"/>
          <w:sz w:val="22"/>
          <w:szCs w:val="22"/>
        </w:rPr>
      </w:pPr>
      <w:bookmarkStart w:id="1" w:name="_Toc161575099"/>
      <w:bookmarkStart w:id="2" w:name="_Toc241118505"/>
      <w:bookmarkStart w:id="3" w:name="ADV2A"/>
      <w:r w:rsidRPr="00E96181">
        <w:rPr>
          <w:rFonts w:eastAsia="Times New Roman" w:cs="Arial"/>
          <w:b/>
          <w:color w:val="000000" w:themeColor="text1"/>
          <w:sz w:val="22"/>
          <w:szCs w:val="22"/>
        </w:rPr>
        <w:br w:type="page"/>
      </w:r>
    </w:p>
    <w:p w14:paraId="2B288BE7" w14:textId="77777777" w:rsidR="002404C2" w:rsidRPr="00E96181" w:rsidRDefault="002404C2" w:rsidP="002404C2">
      <w:pPr>
        <w:pStyle w:val="ADVSectionHeader"/>
        <w:rPr>
          <w:color w:val="000000" w:themeColor="text1"/>
        </w:rPr>
      </w:pPr>
      <w:bookmarkStart w:id="4" w:name="_Toc462744535"/>
      <w:bookmarkStart w:id="5" w:name="_Toc406665820"/>
      <w:r w:rsidRPr="00E96181">
        <w:rPr>
          <w:color w:val="000000" w:themeColor="text1"/>
        </w:rPr>
        <w:lastRenderedPageBreak/>
        <w:t xml:space="preserve">Item 2 </w:t>
      </w:r>
      <w:r w:rsidRPr="00E96181">
        <w:rPr>
          <w:color w:val="000000" w:themeColor="text1"/>
          <w:sz w:val="20"/>
        </w:rPr>
        <w:t xml:space="preserve">– </w:t>
      </w:r>
      <w:r w:rsidRPr="00E96181">
        <w:rPr>
          <w:color w:val="000000" w:themeColor="text1"/>
        </w:rPr>
        <w:t>Material Changes</w:t>
      </w:r>
      <w:bookmarkEnd w:id="1"/>
      <w:bookmarkEnd w:id="2"/>
      <w:bookmarkEnd w:id="4"/>
      <w:bookmarkEnd w:id="5"/>
    </w:p>
    <w:p w14:paraId="4D8BEFCA"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0C7AEE2E" w14:textId="2E5E359D" w:rsidR="002404C2" w:rsidRPr="00E96181" w:rsidRDefault="002404C2" w:rsidP="002404C2">
      <w:pPr>
        <w:rPr>
          <w:rFonts w:eastAsia="Times New Roman" w:cs="Arial"/>
          <w:color w:val="000000" w:themeColor="text1"/>
          <w:szCs w:val="20"/>
        </w:rPr>
      </w:pPr>
      <w:r w:rsidRPr="00E96181">
        <w:rPr>
          <w:rFonts w:eastAsia="Times New Roman" w:cs="Arial"/>
          <w:color w:val="000000" w:themeColor="text1"/>
          <w:szCs w:val="20"/>
          <w:shd w:val="clear" w:color="auto" w:fill="FFFFFF"/>
        </w:rPr>
        <w:t xml:space="preserve">Form ADV 2 is divided into two parts: </w:t>
      </w:r>
      <w:r w:rsidRPr="00E96181">
        <w:rPr>
          <w:rFonts w:eastAsia="Times New Roman" w:cs="Arial"/>
          <w:i/>
          <w:iCs/>
          <w:color w:val="000000" w:themeColor="text1"/>
          <w:szCs w:val="20"/>
          <w:shd w:val="clear" w:color="auto" w:fill="FFFFFF"/>
        </w:rPr>
        <w:t xml:space="preserve">Part 2A (the "Disclosure Brochure") </w:t>
      </w:r>
      <w:r w:rsidRPr="00E96181">
        <w:rPr>
          <w:rFonts w:eastAsia="Times New Roman" w:cs="Arial"/>
          <w:iCs/>
          <w:color w:val="000000" w:themeColor="text1"/>
          <w:szCs w:val="20"/>
          <w:shd w:val="clear" w:color="auto" w:fill="FFFFFF"/>
        </w:rPr>
        <w:t>and</w:t>
      </w:r>
      <w:r w:rsidRPr="00E96181">
        <w:rPr>
          <w:rFonts w:eastAsia="Times New Roman" w:cs="Arial"/>
          <w:i/>
          <w:iCs/>
          <w:color w:val="000000" w:themeColor="text1"/>
          <w:szCs w:val="20"/>
          <w:shd w:val="clear" w:color="auto" w:fill="FFFFFF"/>
        </w:rPr>
        <w:t xml:space="preserve"> Part 2B (the "Brochure Supplement")</w:t>
      </w:r>
      <w:r w:rsidRPr="00E96181">
        <w:rPr>
          <w:rFonts w:eastAsia="Times New Roman" w:cs="Arial"/>
          <w:color w:val="000000" w:themeColor="text1"/>
          <w:szCs w:val="20"/>
          <w:shd w:val="clear" w:color="auto" w:fill="FFFFFF"/>
        </w:rPr>
        <w:t>. The Disclosure Brochure provides information about a variety of topics relating to an Advisor’s business practices and conflicts of interest. The Brochure Supplement provides information about the Advisory Person</w:t>
      </w:r>
      <w:r w:rsidR="00F17CE5">
        <w:rPr>
          <w:rFonts w:eastAsia="Times New Roman" w:cs="Arial"/>
          <w:color w:val="000000" w:themeColor="text1"/>
          <w:szCs w:val="20"/>
          <w:shd w:val="clear" w:color="auto" w:fill="FFFFFF"/>
        </w:rPr>
        <w:t>ne</w:t>
      </w:r>
      <w:r w:rsidRPr="00E96181">
        <w:rPr>
          <w:rFonts w:eastAsia="Times New Roman" w:cs="Arial"/>
          <w:color w:val="000000" w:themeColor="text1"/>
          <w:szCs w:val="20"/>
          <w:shd w:val="clear" w:color="auto" w:fill="FFFFFF"/>
        </w:rPr>
        <w:t xml:space="preserve">l of </w:t>
      </w:r>
      <w:r w:rsidRPr="00E96181">
        <w:rPr>
          <w:rFonts w:cs="Arial"/>
          <w:noProof/>
          <w:color w:val="000000" w:themeColor="text1"/>
        </w:rPr>
        <w:t>CFG</w:t>
      </w:r>
      <w:r w:rsidRPr="00E96181">
        <w:rPr>
          <w:rFonts w:eastAsia="Times New Roman" w:cs="Arial"/>
          <w:color w:val="000000" w:themeColor="text1"/>
          <w:szCs w:val="20"/>
          <w:shd w:val="clear" w:color="auto" w:fill="FFFFFF"/>
        </w:rPr>
        <w:t>. For convenience, we have combined these documents into a single disclosure document.</w:t>
      </w:r>
    </w:p>
    <w:p w14:paraId="63100D5C" w14:textId="77777777" w:rsidR="002404C2" w:rsidRPr="00E96181" w:rsidRDefault="002404C2" w:rsidP="002404C2">
      <w:pPr>
        <w:spacing w:beforeLines="1" w:before="2" w:afterLines="1" w:after="2"/>
        <w:rPr>
          <w:rFonts w:cs="Arial"/>
          <w:color w:val="000000" w:themeColor="text1"/>
          <w:szCs w:val="20"/>
        </w:rPr>
      </w:pPr>
    </w:p>
    <w:p w14:paraId="79DD7A87" w14:textId="77777777" w:rsidR="002404C2" w:rsidRPr="00E96181" w:rsidRDefault="002404C2" w:rsidP="002404C2">
      <w:pPr>
        <w:spacing w:beforeLines="1" w:before="2" w:afterLines="1" w:after="2"/>
        <w:rPr>
          <w:rFonts w:cs="Arial"/>
          <w:color w:val="000000" w:themeColor="text1"/>
          <w:szCs w:val="20"/>
        </w:rPr>
      </w:pPr>
      <w:r w:rsidRPr="00E96181">
        <w:rPr>
          <w:rFonts w:cs="Arial"/>
          <w:noProof/>
          <w:color w:val="000000" w:themeColor="text1"/>
        </w:rPr>
        <w:t>CFG</w:t>
      </w:r>
      <w:r w:rsidRPr="00E96181">
        <w:rPr>
          <w:rFonts w:cs="Arial"/>
          <w:color w:val="000000" w:themeColor="text1"/>
          <w:szCs w:val="20"/>
        </w:rPr>
        <w:t xml:space="preserve"> believes that communication and transparency are the foundation of its relationship with Clients and will continually strive to provide its Clients with complete and accurate information at all times. </w:t>
      </w:r>
      <w:r w:rsidRPr="00E96181">
        <w:rPr>
          <w:rFonts w:cs="Arial"/>
          <w:noProof/>
          <w:color w:val="000000" w:themeColor="text1"/>
        </w:rPr>
        <w:t>CFG</w:t>
      </w:r>
      <w:r w:rsidRPr="00E96181">
        <w:rPr>
          <w:rFonts w:cs="Arial"/>
          <w:color w:val="000000" w:themeColor="text1"/>
          <w:szCs w:val="20"/>
        </w:rPr>
        <w:t xml:space="preserve"> encourages all current and prospective Clients to read this Disclosure Brochure and discuss any questions you may have with us. And of course, we always welcome your feedback.</w:t>
      </w:r>
    </w:p>
    <w:p w14:paraId="40B293C4" w14:textId="77777777" w:rsidR="002404C2" w:rsidRPr="00E96181" w:rsidRDefault="002404C2" w:rsidP="002404C2">
      <w:pPr>
        <w:spacing w:beforeLines="1" w:before="2" w:afterLines="1" w:after="2"/>
        <w:rPr>
          <w:rFonts w:cs="Arial"/>
          <w:color w:val="000000" w:themeColor="text1"/>
          <w:szCs w:val="20"/>
          <w:u w:val="single"/>
        </w:rPr>
      </w:pPr>
    </w:p>
    <w:p w14:paraId="1DDB9076" w14:textId="77777777" w:rsidR="002404C2" w:rsidRPr="00E96181" w:rsidRDefault="002404C2" w:rsidP="002404C2">
      <w:pPr>
        <w:spacing w:beforeLines="1" w:before="2" w:afterLines="1" w:after="2"/>
        <w:rPr>
          <w:rFonts w:cs="Arial"/>
          <w:color w:val="000000" w:themeColor="text1"/>
          <w:szCs w:val="20"/>
          <w:u w:val="single"/>
        </w:rPr>
      </w:pPr>
      <w:r w:rsidRPr="00E96181">
        <w:rPr>
          <w:rFonts w:cs="Arial"/>
          <w:color w:val="000000" w:themeColor="text1"/>
          <w:szCs w:val="20"/>
          <w:u w:val="single"/>
        </w:rPr>
        <w:t>Material Changes</w:t>
      </w:r>
    </w:p>
    <w:p w14:paraId="0B41B292" w14:textId="66B810F6" w:rsidR="002404C2" w:rsidRPr="00E96181" w:rsidRDefault="007044CD" w:rsidP="002404C2">
      <w:pPr>
        <w:spacing w:beforeLines="1" w:before="2" w:afterLines="1" w:after="2"/>
        <w:rPr>
          <w:rFonts w:cs="Arial"/>
          <w:color w:val="000000" w:themeColor="text1"/>
          <w:szCs w:val="20"/>
        </w:rPr>
      </w:pPr>
      <w:r w:rsidRPr="002D52AA">
        <w:rPr>
          <w:rFonts w:cs="Arial"/>
          <w:color w:val="000000" w:themeColor="text1"/>
          <w:szCs w:val="20"/>
        </w:rPr>
        <w:t>There have been no material changes to this Disclosure Brochure since the last filing and distribution to Clients.</w:t>
      </w:r>
      <w:r w:rsidR="002404C2" w:rsidRPr="00E96181">
        <w:rPr>
          <w:rFonts w:cs="Arial"/>
          <w:color w:val="000000" w:themeColor="text1"/>
          <w:szCs w:val="20"/>
        </w:rPr>
        <w:t xml:space="preserve"> </w:t>
      </w:r>
    </w:p>
    <w:p w14:paraId="726C4B40" w14:textId="77777777" w:rsidR="002404C2" w:rsidRPr="00E96181" w:rsidRDefault="002404C2" w:rsidP="002404C2">
      <w:pPr>
        <w:spacing w:beforeLines="1" w:before="2" w:afterLines="1" w:after="2"/>
        <w:rPr>
          <w:rFonts w:cs="Arial"/>
          <w:color w:val="000000" w:themeColor="text1"/>
          <w:szCs w:val="20"/>
        </w:rPr>
      </w:pPr>
    </w:p>
    <w:p w14:paraId="3F8FC9A4" w14:textId="77777777" w:rsidR="002404C2" w:rsidRPr="00E96181" w:rsidRDefault="002404C2" w:rsidP="002404C2">
      <w:pPr>
        <w:spacing w:beforeLines="1" w:before="2" w:afterLines="1" w:after="2"/>
        <w:rPr>
          <w:rFonts w:cs="Arial"/>
          <w:color w:val="000000" w:themeColor="text1"/>
          <w:szCs w:val="20"/>
          <w:u w:val="single"/>
        </w:rPr>
      </w:pPr>
      <w:r w:rsidRPr="00E96181">
        <w:rPr>
          <w:rFonts w:cs="Arial"/>
          <w:color w:val="000000" w:themeColor="text1"/>
          <w:szCs w:val="20"/>
          <w:u w:val="single"/>
        </w:rPr>
        <w:t>Future Changes</w:t>
      </w:r>
    </w:p>
    <w:p w14:paraId="0A3767EE" w14:textId="77777777" w:rsidR="002404C2" w:rsidRPr="00E96181" w:rsidRDefault="002404C2" w:rsidP="002404C2">
      <w:pPr>
        <w:spacing w:beforeLines="1" w:before="2" w:afterLines="1" w:after="2"/>
        <w:rPr>
          <w:rFonts w:cs="Arial"/>
          <w:color w:val="000000" w:themeColor="text1"/>
          <w:szCs w:val="20"/>
        </w:rPr>
      </w:pPr>
      <w:r w:rsidRPr="00E96181">
        <w:rPr>
          <w:rFonts w:cs="Arial"/>
          <w:color w:val="000000" w:themeColor="text1"/>
          <w:szCs w:val="20"/>
        </w:rPr>
        <w:t xml:space="preserve">From time to time, we may amend this Disclosure Brochure to reflect changes in our business practices, changes in regulations and routine annual updates as required by the securities regulators. This complete Disclosure Brochure or a Summary of Material Changes shall be provided to each Client annually and if a material change occurs. </w:t>
      </w:r>
    </w:p>
    <w:p w14:paraId="0A9AD6A7" w14:textId="77777777" w:rsidR="002404C2" w:rsidRPr="00E96181" w:rsidRDefault="002404C2" w:rsidP="002404C2">
      <w:pPr>
        <w:spacing w:beforeLines="1" w:before="2" w:afterLines="1" w:after="2"/>
        <w:rPr>
          <w:rFonts w:cs="Arial"/>
          <w:color w:val="000000" w:themeColor="text1"/>
          <w:szCs w:val="20"/>
        </w:rPr>
      </w:pPr>
    </w:p>
    <w:p w14:paraId="71297931" w14:textId="1774B0E7" w:rsidR="002404C2" w:rsidRPr="00E96181" w:rsidRDefault="002404C2" w:rsidP="002404C2">
      <w:pPr>
        <w:spacing w:beforeLines="1" w:before="2" w:afterLines="1" w:after="2"/>
        <w:rPr>
          <w:rFonts w:cs="Arial"/>
          <w:color w:val="000000" w:themeColor="text1"/>
        </w:rPr>
      </w:pPr>
      <w:r w:rsidRPr="00E96181">
        <w:rPr>
          <w:rFonts w:cs="Arial"/>
          <w:color w:val="000000" w:themeColor="text1"/>
          <w:szCs w:val="20"/>
        </w:rPr>
        <w:t xml:space="preserve">At any time, you may view the current Disclosure Brochure on-line at the SEC’s </w:t>
      </w:r>
      <w:r w:rsidRPr="00E96181">
        <w:rPr>
          <w:rFonts w:cs="Arial"/>
          <w:color w:val="000000" w:themeColor="text1"/>
        </w:rPr>
        <w:t xml:space="preserve">Investment Adviser Public Disclosure website at </w:t>
      </w:r>
      <w:hyperlink r:id="rId11" w:history="1">
        <w:r w:rsidRPr="00E96181">
          <w:rPr>
            <w:rStyle w:val="Hyperlink"/>
            <w:rFonts w:cs="Arial"/>
          </w:rPr>
          <w:t>www.adviserinfo.sec.gov</w:t>
        </w:r>
      </w:hyperlink>
      <w:r w:rsidRPr="00E96181">
        <w:rPr>
          <w:rFonts w:cs="Arial"/>
        </w:rPr>
        <w:t xml:space="preserve"> </w:t>
      </w:r>
      <w:r w:rsidRPr="00E96181">
        <w:rPr>
          <w:rStyle w:val="Hyperlink"/>
          <w:rFonts w:cs="Arial"/>
          <w:color w:val="000000" w:themeColor="text1"/>
          <w:u w:val="none"/>
        </w:rPr>
        <w:t>by searching with our firm name or our CRD#</w:t>
      </w:r>
      <w:r w:rsidR="00A6477C" w:rsidRPr="00E96181">
        <w:rPr>
          <w:rStyle w:val="Hyperlink"/>
          <w:rFonts w:cs="Arial"/>
          <w:color w:val="000000" w:themeColor="text1"/>
          <w:u w:val="none"/>
        </w:rPr>
        <w:t xml:space="preserve"> 299819</w:t>
      </w:r>
      <w:r w:rsidRPr="00106B54">
        <w:rPr>
          <w:rFonts w:cs="Arial"/>
          <w:color w:val="000000" w:themeColor="text1"/>
        </w:rPr>
        <w:t>.</w:t>
      </w:r>
      <w:r w:rsidRPr="00E96181">
        <w:rPr>
          <w:rFonts w:cs="Arial"/>
          <w:color w:val="000000" w:themeColor="text1"/>
        </w:rPr>
        <w:t xml:space="preserve"> You may also request a copy of this Disclosure Brochure at any time, by contacting us at </w:t>
      </w:r>
      <w:r w:rsidRPr="00E96181">
        <w:rPr>
          <w:rFonts w:cs="Arial"/>
          <w:noProof/>
          <w:color w:val="000000" w:themeColor="text1"/>
        </w:rPr>
        <w:t>(405) 848-4646</w:t>
      </w:r>
      <w:r w:rsidRPr="00E96181">
        <w:rPr>
          <w:rFonts w:cs="Arial"/>
          <w:color w:val="000000" w:themeColor="text1"/>
        </w:rPr>
        <w:t xml:space="preserve">. </w:t>
      </w:r>
    </w:p>
    <w:p w14:paraId="5F1B334D" w14:textId="77777777" w:rsidR="002404C2" w:rsidRPr="00E96181" w:rsidRDefault="002404C2" w:rsidP="002404C2">
      <w:pPr>
        <w:pStyle w:val="Heading1"/>
      </w:pPr>
      <w:bookmarkStart w:id="6" w:name="_Toc161575100"/>
    </w:p>
    <w:p w14:paraId="318BFD65" w14:textId="77777777" w:rsidR="002404C2" w:rsidRPr="00E96181" w:rsidRDefault="002404C2" w:rsidP="002404C2">
      <w:pPr>
        <w:pStyle w:val="Heading1"/>
      </w:pPr>
    </w:p>
    <w:p w14:paraId="6284DF29" w14:textId="77777777" w:rsidR="002404C2" w:rsidRPr="00E96181" w:rsidRDefault="002404C2" w:rsidP="002404C2">
      <w:pPr>
        <w:pStyle w:val="ADVSectionHeader"/>
        <w:rPr>
          <w:color w:val="000000" w:themeColor="text1"/>
        </w:rPr>
      </w:pPr>
      <w:bookmarkStart w:id="7" w:name="_Toc241118506"/>
      <w:r w:rsidRPr="00E96181">
        <w:rPr>
          <w:color w:val="000000" w:themeColor="text1"/>
        </w:rPr>
        <w:br w:type="page"/>
      </w:r>
      <w:bookmarkStart w:id="8" w:name="_Toc462744536"/>
      <w:bookmarkStart w:id="9" w:name="_Toc406665821"/>
      <w:r w:rsidRPr="00E96181">
        <w:rPr>
          <w:color w:val="000000" w:themeColor="text1"/>
        </w:rPr>
        <w:lastRenderedPageBreak/>
        <w:t xml:space="preserve">Item 3 </w:t>
      </w:r>
      <w:r w:rsidRPr="00E96181">
        <w:rPr>
          <w:color w:val="000000" w:themeColor="text1"/>
          <w:sz w:val="20"/>
        </w:rPr>
        <w:t xml:space="preserve">– </w:t>
      </w:r>
      <w:r w:rsidRPr="00E96181">
        <w:rPr>
          <w:color w:val="000000" w:themeColor="text1"/>
        </w:rPr>
        <w:t>Table of Contents</w:t>
      </w:r>
      <w:bookmarkEnd w:id="6"/>
      <w:bookmarkEnd w:id="7"/>
      <w:bookmarkEnd w:id="8"/>
      <w:bookmarkEnd w:id="9"/>
    </w:p>
    <w:p w14:paraId="1E720F13"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18B903F4" w14:textId="77777777" w:rsidR="002404C2" w:rsidRPr="00E96181" w:rsidRDefault="002404C2" w:rsidP="002404C2">
      <w:pPr>
        <w:pStyle w:val="TOC1"/>
        <w:rPr>
          <w:noProof/>
          <w:color w:val="000000" w:themeColor="text1"/>
        </w:rPr>
      </w:pPr>
      <w:r w:rsidRPr="00E96181">
        <w:rPr>
          <w:noProof/>
          <w:color w:val="000000" w:themeColor="text1"/>
        </w:rPr>
        <w:t>Item 1 – Cover Page</w:t>
      </w:r>
      <w:r w:rsidRPr="00E96181">
        <w:rPr>
          <w:noProof/>
          <w:color w:val="000000" w:themeColor="text1"/>
        </w:rPr>
        <w:tab/>
        <w:t>1</w:t>
      </w:r>
    </w:p>
    <w:bookmarkStart w:id="10" w:name="_Toc161575101"/>
    <w:bookmarkStart w:id="11" w:name="_Toc241118507"/>
    <w:p w14:paraId="000428CD" w14:textId="1D8DB815" w:rsidR="00E04413" w:rsidRDefault="002404C2">
      <w:pPr>
        <w:pStyle w:val="TOC1"/>
        <w:rPr>
          <w:rFonts w:asciiTheme="minorHAnsi" w:eastAsiaTheme="minorEastAsia" w:hAnsiTheme="minorHAnsi" w:cstheme="minorBidi"/>
          <w:b w:val="0"/>
          <w:noProof/>
          <w:color w:val="auto"/>
          <w:sz w:val="24"/>
          <w:lang w:eastAsia="ja-JP"/>
        </w:rPr>
      </w:pPr>
      <w:r w:rsidRPr="00630C58">
        <w:rPr>
          <w:caps/>
          <w:color w:val="000000" w:themeColor="text1"/>
        </w:rPr>
        <w:fldChar w:fldCharType="begin"/>
      </w:r>
      <w:r w:rsidRPr="00E96181">
        <w:rPr>
          <w:caps/>
          <w:color w:val="000000" w:themeColor="text1"/>
        </w:rPr>
        <w:instrText xml:space="preserve"> TOC \o \t "ADV_SectionHeader,1" </w:instrText>
      </w:r>
      <w:r w:rsidRPr="00630C58">
        <w:rPr>
          <w:caps/>
          <w:color w:val="000000" w:themeColor="text1"/>
        </w:rPr>
        <w:fldChar w:fldCharType="separate"/>
      </w:r>
      <w:r w:rsidR="00E04413" w:rsidRPr="00341742">
        <w:rPr>
          <w:noProof/>
          <w:color w:val="000000" w:themeColor="text1"/>
        </w:rPr>
        <w:t>Item 2 – Material Changes</w:t>
      </w:r>
      <w:r w:rsidR="00E04413">
        <w:rPr>
          <w:noProof/>
        </w:rPr>
        <w:tab/>
      </w:r>
      <w:r w:rsidR="00E04413">
        <w:rPr>
          <w:noProof/>
        </w:rPr>
        <w:fldChar w:fldCharType="begin"/>
      </w:r>
      <w:r w:rsidR="00E04413">
        <w:rPr>
          <w:noProof/>
        </w:rPr>
        <w:instrText xml:space="preserve"> PAGEREF _Toc406665820 \h </w:instrText>
      </w:r>
      <w:r w:rsidR="00E04413">
        <w:rPr>
          <w:noProof/>
        </w:rPr>
      </w:r>
      <w:r w:rsidR="00E04413">
        <w:rPr>
          <w:noProof/>
        </w:rPr>
        <w:fldChar w:fldCharType="separate"/>
      </w:r>
      <w:r w:rsidR="008F206A">
        <w:rPr>
          <w:noProof/>
        </w:rPr>
        <w:t>2</w:t>
      </w:r>
      <w:r w:rsidR="00E04413">
        <w:rPr>
          <w:noProof/>
        </w:rPr>
        <w:fldChar w:fldCharType="end"/>
      </w:r>
    </w:p>
    <w:p w14:paraId="3A9DF034" w14:textId="68487D6B"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3 – Table of Contents</w:t>
      </w:r>
      <w:r>
        <w:rPr>
          <w:noProof/>
        </w:rPr>
        <w:tab/>
      </w:r>
      <w:r>
        <w:rPr>
          <w:noProof/>
        </w:rPr>
        <w:fldChar w:fldCharType="begin"/>
      </w:r>
      <w:r>
        <w:rPr>
          <w:noProof/>
        </w:rPr>
        <w:instrText xml:space="preserve"> PAGEREF _Toc406665821 \h </w:instrText>
      </w:r>
      <w:r>
        <w:rPr>
          <w:noProof/>
        </w:rPr>
      </w:r>
      <w:r>
        <w:rPr>
          <w:noProof/>
        </w:rPr>
        <w:fldChar w:fldCharType="separate"/>
      </w:r>
      <w:r w:rsidR="008F206A">
        <w:rPr>
          <w:noProof/>
        </w:rPr>
        <w:t>3</w:t>
      </w:r>
      <w:r>
        <w:rPr>
          <w:noProof/>
        </w:rPr>
        <w:fldChar w:fldCharType="end"/>
      </w:r>
    </w:p>
    <w:p w14:paraId="5814C96A" w14:textId="67316D9B"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4 – Advisory Services</w:t>
      </w:r>
      <w:r>
        <w:rPr>
          <w:noProof/>
        </w:rPr>
        <w:tab/>
      </w:r>
      <w:r>
        <w:rPr>
          <w:noProof/>
        </w:rPr>
        <w:fldChar w:fldCharType="begin"/>
      </w:r>
      <w:r>
        <w:rPr>
          <w:noProof/>
        </w:rPr>
        <w:instrText xml:space="preserve"> PAGEREF _Toc406665822 \h </w:instrText>
      </w:r>
      <w:r>
        <w:rPr>
          <w:noProof/>
        </w:rPr>
      </w:r>
      <w:r>
        <w:rPr>
          <w:noProof/>
        </w:rPr>
        <w:fldChar w:fldCharType="separate"/>
      </w:r>
      <w:r w:rsidR="008F206A">
        <w:rPr>
          <w:noProof/>
        </w:rPr>
        <w:t>4</w:t>
      </w:r>
      <w:r>
        <w:rPr>
          <w:noProof/>
        </w:rPr>
        <w:fldChar w:fldCharType="end"/>
      </w:r>
    </w:p>
    <w:p w14:paraId="307FDCFF" w14:textId="2A81248E"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Firm Information</w:t>
      </w:r>
      <w:r>
        <w:tab/>
      </w:r>
      <w:r>
        <w:fldChar w:fldCharType="begin"/>
      </w:r>
      <w:r>
        <w:instrText xml:space="preserve"> PAGEREF _Toc406665823 \h </w:instrText>
      </w:r>
      <w:r>
        <w:fldChar w:fldCharType="separate"/>
      </w:r>
      <w:r w:rsidR="008F206A">
        <w:t>4</w:t>
      </w:r>
      <w:r>
        <w:fldChar w:fldCharType="end"/>
      </w:r>
    </w:p>
    <w:p w14:paraId="344DF549" w14:textId="154F22BA"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Advisory Services Offered</w:t>
      </w:r>
      <w:r>
        <w:tab/>
      </w:r>
      <w:r>
        <w:fldChar w:fldCharType="begin"/>
      </w:r>
      <w:r>
        <w:instrText xml:space="preserve"> PAGEREF _Toc406665824 \h </w:instrText>
      </w:r>
      <w:r>
        <w:fldChar w:fldCharType="separate"/>
      </w:r>
      <w:r w:rsidR="008F206A">
        <w:t>4</w:t>
      </w:r>
      <w:r>
        <w:fldChar w:fldCharType="end"/>
      </w:r>
    </w:p>
    <w:p w14:paraId="2DC7B269" w14:textId="06F8D315"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C.  Client Account Management</w:t>
      </w:r>
      <w:r>
        <w:tab/>
      </w:r>
      <w:r>
        <w:fldChar w:fldCharType="begin"/>
      </w:r>
      <w:r>
        <w:instrText xml:space="preserve"> PAGEREF _Toc406665825 \h </w:instrText>
      </w:r>
      <w:r>
        <w:fldChar w:fldCharType="separate"/>
      </w:r>
      <w:r w:rsidR="008F206A">
        <w:t>5</w:t>
      </w:r>
      <w:r>
        <w:fldChar w:fldCharType="end"/>
      </w:r>
    </w:p>
    <w:p w14:paraId="61142528" w14:textId="64E55534"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D.  Wrap Fee Programs</w:t>
      </w:r>
      <w:r>
        <w:tab/>
      </w:r>
      <w:r>
        <w:fldChar w:fldCharType="begin"/>
      </w:r>
      <w:r>
        <w:instrText xml:space="preserve"> PAGEREF _Toc406665826 \h </w:instrText>
      </w:r>
      <w:r>
        <w:fldChar w:fldCharType="separate"/>
      </w:r>
      <w:r w:rsidR="008F206A">
        <w:t>5</w:t>
      </w:r>
      <w:r>
        <w:fldChar w:fldCharType="end"/>
      </w:r>
    </w:p>
    <w:p w14:paraId="5CE26684" w14:textId="7577E11A"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E.  Assets Under Management</w:t>
      </w:r>
      <w:r>
        <w:tab/>
      </w:r>
      <w:r>
        <w:fldChar w:fldCharType="begin"/>
      </w:r>
      <w:r>
        <w:instrText xml:space="preserve"> PAGEREF _Toc406665827 \h </w:instrText>
      </w:r>
      <w:r>
        <w:fldChar w:fldCharType="separate"/>
      </w:r>
      <w:r w:rsidR="008F206A">
        <w:t>5</w:t>
      </w:r>
      <w:r>
        <w:fldChar w:fldCharType="end"/>
      </w:r>
    </w:p>
    <w:p w14:paraId="7483C0DF" w14:textId="0C1F1C17"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5 – Fees and Compensation</w:t>
      </w:r>
      <w:r>
        <w:rPr>
          <w:noProof/>
        </w:rPr>
        <w:tab/>
      </w:r>
      <w:r>
        <w:rPr>
          <w:noProof/>
        </w:rPr>
        <w:fldChar w:fldCharType="begin"/>
      </w:r>
      <w:r>
        <w:rPr>
          <w:noProof/>
        </w:rPr>
        <w:instrText xml:space="preserve"> PAGEREF _Toc406665828 \h </w:instrText>
      </w:r>
      <w:r>
        <w:rPr>
          <w:noProof/>
        </w:rPr>
      </w:r>
      <w:r>
        <w:rPr>
          <w:noProof/>
        </w:rPr>
        <w:fldChar w:fldCharType="separate"/>
      </w:r>
      <w:r w:rsidR="008F206A">
        <w:rPr>
          <w:noProof/>
        </w:rPr>
        <w:t>5</w:t>
      </w:r>
      <w:r>
        <w:rPr>
          <w:noProof/>
        </w:rPr>
        <w:fldChar w:fldCharType="end"/>
      </w:r>
    </w:p>
    <w:p w14:paraId="7D8B32EE" w14:textId="3872A997"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Fees for Advisory Services</w:t>
      </w:r>
      <w:r>
        <w:tab/>
      </w:r>
      <w:r>
        <w:fldChar w:fldCharType="begin"/>
      </w:r>
      <w:r>
        <w:instrText xml:space="preserve"> PAGEREF _Toc406665829 \h </w:instrText>
      </w:r>
      <w:r>
        <w:fldChar w:fldCharType="separate"/>
      </w:r>
      <w:r w:rsidR="008F206A">
        <w:t>5</w:t>
      </w:r>
      <w:r>
        <w:fldChar w:fldCharType="end"/>
      </w:r>
    </w:p>
    <w:p w14:paraId="602DC17B" w14:textId="4B17DFA8"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Fee Billing</w:t>
      </w:r>
      <w:r>
        <w:tab/>
      </w:r>
      <w:r>
        <w:fldChar w:fldCharType="begin"/>
      </w:r>
      <w:r>
        <w:instrText xml:space="preserve"> PAGEREF _Toc406665830 \h </w:instrText>
      </w:r>
      <w:r>
        <w:fldChar w:fldCharType="separate"/>
      </w:r>
      <w:r w:rsidR="008F206A">
        <w:t>5</w:t>
      </w:r>
      <w:r>
        <w:fldChar w:fldCharType="end"/>
      </w:r>
    </w:p>
    <w:p w14:paraId="5664709C" w14:textId="10EABCB7"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C.  Other Fees and Expenses</w:t>
      </w:r>
      <w:r>
        <w:tab/>
      </w:r>
      <w:r>
        <w:fldChar w:fldCharType="begin"/>
      </w:r>
      <w:r>
        <w:instrText xml:space="preserve"> PAGEREF _Toc406665831 \h </w:instrText>
      </w:r>
      <w:r>
        <w:fldChar w:fldCharType="separate"/>
      </w:r>
      <w:r w:rsidR="008F206A">
        <w:t>6</w:t>
      </w:r>
      <w:r>
        <w:fldChar w:fldCharType="end"/>
      </w:r>
    </w:p>
    <w:p w14:paraId="66410436" w14:textId="49020A73"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D.  Advance Payment of Fees and Termination</w:t>
      </w:r>
      <w:r>
        <w:tab/>
      </w:r>
      <w:r>
        <w:fldChar w:fldCharType="begin"/>
      </w:r>
      <w:r>
        <w:instrText xml:space="preserve"> PAGEREF _Toc406665832 \h </w:instrText>
      </w:r>
      <w:r>
        <w:fldChar w:fldCharType="separate"/>
      </w:r>
      <w:r w:rsidR="008F206A">
        <w:t>6</w:t>
      </w:r>
      <w:r>
        <w:fldChar w:fldCharType="end"/>
      </w:r>
    </w:p>
    <w:p w14:paraId="674B68E7" w14:textId="34828D36"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E.  Compensation for Sales of Securities</w:t>
      </w:r>
      <w:r>
        <w:tab/>
      </w:r>
      <w:r>
        <w:fldChar w:fldCharType="begin"/>
      </w:r>
      <w:r>
        <w:instrText xml:space="preserve"> PAGEREF _Toc406665833 \h </w:instrText>
      </w:r>
      <w:r>
        <w:fldChar w:fldCharType="separate"/>
      </w:r>
      <w:r w:rsidR="008F206A">
        <w:t>6</w:t>
      </w:r>
      <w:r>
        <w:fldChar w:fldCharType="end"/>
      </w:r>
    </w:p>
    <w:p w14:paraId="5304453A" w14:textId="5C78A36B"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6 – Performance-Based Fees and Side-By-Side Management</w:t>
      </w:r>
      <w:r>
        <w:rPr>
          <w:noProof/>
        </w:rPr>
        <w:tab/>
      </w:r>
      <w:r>
        <w:rPr>
          <w:noProof/>
        </w:rPr>
        <w:fldChar w:fldCharType="begin"/>
      </w:r>
      <w:r>
        <w:rPr>
          <w:noProof/>
        </w:rPr>
        <w:instrText xml:space="preserve"> PAGEREF _Toc406665834 \h </w:instrText>
      </w:r>
      <w:r>
        <w:rPr>
          <w:noProof/>
        </w:rPr>
      </w:r>
      <w:r>
        <w:rPr>
          <w:noProof/>
        </w:rPr>
        <w:fldChar w:fldCharType="separate"/>
      </w:r>
      <w:r w:rsidR="008F206A">
        <w:rPr>
          <w:noProof/>
        </w:rPr>
        <w:t>6</w:t>
      </w:r>
      <w:r>
        <w:rPr>
          <w:noProof/>
        </w:rPr>
        <w:fldChar w:fldCharType="end"/>
      </w:r>
    </w:p>
    <w:p w14:paraId="65E09DB5" w14:textId="0646EC89"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7 – Types of Clients</w:t>
      </w:r>
      <w:r>
        <w:rPr>
          <w:noProof/>
        </w:rPr>
        <w:tab/>
      </w:r>
      <w:r>
        <w:rPr>
          <w:noProof/>
        </w:rPr>
        <w:fldChar w:fldCharType="begin"/>
      </w:r>
      <w:r>
        <w:rPr>
          <w:noProof/>
        </w:rPr>
        <w:instrText xml:space="preserve"> PAGEREF _Toc406665835 \h </w:instrText>
      </w:r>
      <w:r>
        <w:rPr>
          <w:noProof/>
        </w:rPr>
      </w:r>
      <w:r>
        <w:rPr>
          <w:noProof/>
        </w:rPr>
        <w:fldChar w:fldCharType="separate"/>
      </w:r>
      <w:r w:rsidR="008F206A">
        <w:rPr>
          <w:noProof/>
        </w:rPr>
        <w:t>7</w:t>
      </w:r>
      <w:r>
        <w:rPr>
          <w:noProof/>
        </w:rPr>
        <w:fldChar w:fldCharType="end"/>
      </w:r>
    </w:p>
    <w:p w14:paraId="750F0836" w14:textId="41888C90"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8 – Methods of Analysis, Investment Strategies and Risk of Loss</w:t>
      </w:r>
      <w:r>
        <w:rPr>
          <w:noProof/>
        </w:rPr>
        <w:tab/>
      </w:r>
      <w:r>
        <w:rPr>
          <w:noProof/>
        </w:rPr>
        <w:fldChar w:fldCharType="begin"/>
      </w:r>
      <w:r>
        <w:rPr>
          <w:noProof/>
        </w:rPr>
        <w:instrText xml:space="preserve"> PAGEREF _Toc406665836 \h </w:instrText>
      </w:r>
      <w:r>
        <w:rPr>
          <w:noProof/>
        </w:rPr>
      </w:r>
      <w:r>
        <w:rPr>
          <w:noProof/>
        </w:rPr>
        <w:fldChar w:fldCharType="separate"/>
      </w:r>
      <w:r w:rsidR="008F206A">
        <w:rPr>
          <w:noProof/>
        </w:rPr>
        <w:t>7</w:t>
      </w:r>
      <w:r>
        <w:rPr>
          <w:noProof/>
        </w:rPr>
        <w:fldChar w:fldCharType="end"/>
      </w:r>
    </w:p>
    <w:p w14:paraId="5CBAE931" w14:textId="474FF04F"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Methods of Analysis</w:t>
      </w:r>
      <w:r>
        <w:tab/>
      </w:r>
      <w:r>
        <w:fldChar w:fldCharType="begin"/>
      </w:r>
      <w:r>
        <w:instrText xml:space="preserve"> PAGEREF _Toc406665837 \h </w:instrText>
      </w:r>
      <w:r>
        <w:fldChar w:fldCharType="separate"/>
      </w:r>
      <w:r w:rsidR="008F206A">
        <w:t>7</w:t>
      </w:r>
      <w:r>
        <w:fldChar w:fldCharType="end"/>
      </w:r>
    </w:p>
    <w:p w14:paraId="0990D419" w14:textId="30CACD2F"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Risk of Loss</w:t>
      </w:r>
      <w:r>
        <w:tab/>
      </w:r>
      <w:r>
        <w:fldChar w:fldCharType="begin"/>
      </w:r>
      <w:r>
        <w:instrText xml:space="preserve"> PAGEREF _Toc406665838 \h </w:instrText>
      </w:r>
      <w:r>
        <w:fldChar w:fldCharType="separate"/>
      </w:r>
      <w:r w:rsidR="008F206A">
        <w:t>7</w:t>
      </w:r>
      <w:r>
        <w:fldChar w:fldCharType="end"/>
      </w:r>
    </w:p>
    <w:p w14:paraId="142567A6" w14:textId="5E128B7E"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9 – Disciplinary Information</w:t>
      </w:r>
      <w:r>
        <w:rPr>
          <w:noProof/>
        </w:rPr>
        <w:tab/>
      </w:r>
      <w:r>
        <w:rPr>
          <w:noProof/>
        </w:rPr>
        <w:fldChar w:fldCharType="begin"/>
      </w:r>
      <w:r>
        <w:rPr>
          <w:noProof/>
        </w:rPr>
        <w:instrText xml:space="preserve"> PAGEREF _Toc406665839 \h </w:instrText>
      </w:r>
      <w:r>
        <w:rPr>
          <w:noProof/>
        </w:rPr>
      </w:r>
      <w:r>
        <w:rPr>
          <w:noProof/>
        </w:rPr>
        <w:fldChar w:fldCharType="separate"/>
      </w:r>
      <w:r w:rsidR="008F206A">
        <w:rPr>
          <w:noProof/>
        </w:rPr>
        <w:t>9</w:t>
      </w:r>
      <w:r>
        <w:rPr>
          <w:noProof/>
        </w:rPr>
        <w:fldChar w:fldCharType="end"/>
      </w:r>
    </w:p>
    <w:p w14:paraId="7A06175B" w14:textId="6FFCCF4A"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10 – Other Financial Industry Activities and Affiliations</w:t>
      </w:r>
      <w:r>
        <w:rPr>
          <w:noProof/>
        </w:rPr>
        <w:tab/>
      </w:r>
      <w:r>
        <w:rPr>
          <w:noProof/>
        </w:rPr>
        <w:fldChar w:fldCharType="begin"/>
      </w:r>
      <w:r>
        <w:rPr>
          <w:noProof/>
        </w:rPr>
        <w:instrText xml:space="preserve"> PAGEREF _Toc406665840 \h </w:instrText>
      </w:r>
      <w:r>
        <w:rPr>
          <w:noProof/>
        </w:rPr>
      </w:r>
      <w:r>
        <w:rPr>
          <w:noProof/>
        </w:rPr>
        <w:fldChar w:fldCharType="separate"/>
      </w:r>
      <w:r w:rsidR="008F206A">
        <w:rPr>
          <w:noProof/>
        </w:rPr>
        <w:t>9</w:t>
      </w:r>
      <w:r>
        <w:rPr>
          <w:noProof/>
        </w:rPr>
        <w:fldChar w:fldCharType="end"/>
      </w:r>
    </w:p>
    <w:p w14:paraId="56BAE5E8" w14:textId="050873BB"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11 – Code of Ethics, Participation or Interest in Client Transactions and Personal Trading</w:t>
      </w:r>
      <w:r>
        <w:rPr>
          <w:noProof/>
        </w:rPr>
        <w:tab/>
      </w:r>
      <w:r>
        <w:rPr>
          <w:noProof/>
        </w:rPr>
        <w:fldChar w:fldCharType="begin"/>
      </w:r>
      <w:r>
        <w:rPr>
          <w:noProof/>
        </w:rPr>
        <w:instrText xml:space="preserve"> PAGEREF _Toc406665841 \h </w:instrText>
      </w:r>
      <w:r>
        <w:rPr>
          <w:noProof/>
        </w:rPr>
      </w:r>
      <w:r>
        <w:rPr>
          <w:noProof/>
        </w:rPr>
        <w:fldChar w:fldCharType="separate"/>
      </w:r>
      <w:r w:rsidR="008F206A">
        <w:rPr>
          <w:noProof/>
        </w:rPr>
        <w:t>9</w:t>
      </w:r>
      <w:r>
        <w:rPr>
          <w:noProof/>
        </w:rPr>
        <w:fldChar w:fldCharType="end"/>
      </w:r>
    </w:p>
    <w:p w14:paraId="5B12EC31" w14:textId="03EF566A"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Code of Ethics</w:t>
      </w:r>
      <w:r>
        <w:tab/>
      </w:r>
      <w:r>
        <w:fldChar w:fldCharType="begin"/>
      </w:r>
      <w:r>
        <w:instrText xml:space="preserve"> PAGEREF _Toc406665842 \h </w:instrText>
      </w:r>
      <w:r>
        <w:fldChar w:fldCharType="separate"/>
      </w:r>
      <w:r w:rsidR="008F206A">
        <w:t>9</w:t>
      </w:r>
      <w:r>
        <w:fldChar w:fldCharType="end"/>
      </w:r>
    </w:p>
    <w:p w14:paraId="7FFBF7C0" w14:textId="237D7A5B"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Personal Trading with Material Interest</w:t>
      </w:r>
      <w:r>
        <w:tab/>
      </w:r>
      <w:r>
        <w:fldChar w:fldCharType="begin"/>
      </w:r>
      <w:r>
        <w:instrText xml:space="preserve"> PAGEREF _Toc406665843 \h </w:instrText>
      </w:r>
      <w:r>
        <w:fldChar w:fldCharType="separate"/>
      </w:r>
      <w:r w:rsidR="008F206A">
        <w:t>9</w:t>
      </w:r>
      <w:r>
        <w:fldChar w:fldCharType="end"/>
      </w:r>
    </w:p>
    <w:p w14:paraId="005C8CCC" w14:textId="63274047"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C.  Personal Trading in Same Securities as Clients</w:t>
      </w:r>
      <w:r>
        <w:tab/>
      </w:r>
      <w:r>
        <w:fldChar w:fldCharType="begin"/>
      </w:r>
      <w:r>
        <w:instrText xml:space="preserve"> PAGEREF _Toc406665844 \h </w:instrText>
      </w:r>
      <w:r>
        <w:fldChar w:fldCharType="separate"/>
      </w:r>
      <w:r w:rsidR="008F206A">
        <w:t>10</w:t>
      </w:r>
      <w:r>
        <w:fldChar w:fldCharType="end"/>
      </w:r>
    </w:p>
    <w:p w14:paraId="79920DF3" w14:textId="036C601B"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D.  Personal Trading at Same Time as Client</w:t>
      </w:r>
      <w:r>
        <w:tab/>
      </w:r>
      <w:r>
        <w:fldChar w:fldCharType="begin"/>
      </w:r>
      <w:r>
        <w:instrText xml:space="preserve"> PAGEREF _Toc406665845 \h </w:instrText>
      </w:r>
      <w:r>
        <w:fldChar w:fldCharType="separate"/>
      </w:r>
      <w:r w:rsidR="008F206A">
        <w:t>10</w:t>
      </w:r>
      <w:r>
        <w:fldChar w:fldCharType="end"/>
      </w:r>
    </w:p>
    <w:p w14:paraId="732E2B0C" w14:textId="3E64D1DE"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12 – Brokerage Practices</w:t>
      </w:r>
      <w:r>
        <w:rPr>
          <w:noProof/>
        </w:rPr>
        <w:tab/>
      </w:r>
      <w:r>
        <w:rPr>
          <w:noProof/>
        </w:rPr>
        <w:fldChar w:fldCharType="begin"/>
      </w:r>
      <w:r>
        <w:rPr>
          <w:noProof/>
        </w:rPr>
        <w:instrText xml:space="preserve"> PAGEREF _Toc406665846 \h </w:instrText>
      </w:r>
      <w:r>
        <w:rPr>
          <w:noProof/>
        </w:rPr>
      </w:r>
      <w:r>
        <w:rPr>
          <w:noProof/>
        </w:rPr>
        <w:fldChar w:fldCharType="separate"/>
      </w:r>
      <w:r w:rsidR="008F206A">
        <w:rPr>
          <w:noProof/>
        </w:rPr>
        <w:t>10</w:t>
      </w:r>
      <w:r>
        <w:rPr>
          <w:noProof/>
        </w:rPr>
        <w:fldChar w:fldCharType="end"/>
      </w:r>
    </w:p>
    <w:p w14:paraId="4D3658AE" w14:textId="2B00AC28"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Recommendation of Custodian[s]</w:t>
      </w:r>
      <w:r>
        <w:tab/>
      </w:r>
      <w:r>
        <w:fldChar w:fldCharType="begin"/>
      </w:r>
      <w:r>
        <w:instrText xml:space="preserve"> PAGEREF _Toc406665847 \h </w:instrText>
      </w:r>
      <w:r>
        <w:fldChar w:fldCharType="separate"/>
      </w:r>
      <w:r w:rsidR="008F206A">
        <w:t>10</w:t>
      </w:r>
      <w:r>
        <w:fldChar w:fldCharType="end"/>
      </w:r>
    </w:p>
    <w:p w14:paraId="38F4E5A6" w14:textId="51646AC1"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Aggregating and Allocating Trades</w:t>
      </w:r>
      <w:r>
        <w:tab/>
      </w:r>
      <w:r>
        <w:fldChar w:fldCharType="begin"/>
      </w:r>
      <w:r>
        <w:instrText xml:space="preserve"> PAGEREF _Toc406665848 \h </w:instrText>
      </w:r>
      <w:r>
        <w:fldChar w:fldCharType="separate"/>
      </w:r>
      <w:r w:rsidR="008F206A">
        <w:t>11</w:t>
      </w:r>
      <w:r>
        <w:fldChar w:fldCharType="end"/>
      </w:r>
    </w:p>
    <w:p w14:paraId="261AF45D" w14:textId="4EFF92EE"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13 – Review of Accounts</w:t>
      </w:r>
      <w:r>
        <w:rPr>
          <w:noProof/>
        </w:rPr>
        <w:tab/>
      </w:r>
      <w:r>
        <w:rPr>
          <w:noProof/>
        </w:rPr>
        <w:fldChar w:fldCharType="begin"/>
      </w:r>
      <w:r>
        <w:rPr>
          <w:noProof/>
        </w:rPr>
        <w:instrText xml:space="preserve"> PAGEREF _Toc406665849 \h </w:instrText>
      </w:r>
      <w:r>
        <w:rPr>
          <w:noProof/>
        </w:rPr>
      </w:r>
      <w:r>
        <w:rPr>
          <w:noProof/>
        </w:rPr>
        <w:fldChar w:fldCharType="separate"/>
      </w:r>
      <w:r w:rsidR="008F206A">
        <w:rPr>
          <w:noProof/>
        </w:rPr>
        <w:t>11</w:t>
      </w:r>
      <w:r>
        <w:rPr>
          <w:noProof/>
        </w:rPr>
        <w:fldChar w:fldCharType="end"/>
      </w:r>
    </w:p>
    <w:p w14:paraId="731D4C34" w14:textId="53312CBB"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Frequency of Reviews</w:t>
      </w:r>
      <w:r>
        <w:tab/>
      </w:r>
      <w:r>
        <w:fldChar w:fldCharType="begin"/>
      </w:r>
      <w:r>
        <w:instrText xml:space="preserve"> PAGEREF _Toc406665850 \h </w:instrText>
      </w:r>
      <w:r>
        <w:fldChar w:fldCharType="separate"/>
      </w:r>
      <w:r w:rsidR="008F206A">
        <w:t>11</w:t>
      </w:r>
      <w:r>
        <w:fldChar w:fldCharType="end"/>
      </w:r>
    </w:p>
    <w:p w14:paraId="46015E7A" w14:textId="7CAB12CE"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Causes for Reviews</w:t>
      </w:r>
      <w:r>
        <w:tab/>
      </w:r>
      <w:r>
        <w:fldChar w:fldCharType="begin"/>
      </w:r>
      <w:r>
        <w:instrText xml:space="preserve"> PAGEREF _Toc406665851 \h </w:instrText>
      </w:r>
      <w:r>
        <w:fldChar w:fldCharType="separate"/>
      </w:r>
      <w:r w:rsidR="008F206A">
        <w:t>11</w:t>
      </w:r>
      <w:r>
        <w:fldChar w:fldCharType="end"/>
      </w:r>
    </w:p>
    <w:p w14:paraId="3D924443" w14:textId="1A882CD0"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C. Review Reports</w:t>
      </w:r>
      <w:r>
        <w:tab/>
      </w:r>
      <w:r>
        <w:fldChar w:fldCharType="begin"/>
      </w:r>
      <w:r>
        <w:instrText xml:space="preserve"> PAGEREF _Toc406665852 \h </w:instrText>
      </w:r>
      <w:r>
        <w:fldChar w:fldCharType="separate"/>
      </w:r>
      <w:r w:rsidR="008F206A">
        <w:t>11</w:t>
      </w:r>
      <w:r>
        <w:fldChar w:fldCharType="end"/>
      </w:r>
    </w:p>
    <w:p w14:paraId="2F51A54B" w14:textId="2FC3B1B1"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14 – Client Referrals and Other Compensation</w:t>
      </w:r>
      <w:r>
        <w:rPr>
          <w:noProof/>
        </w:rPr>
        <w:tab/>
      </w:r>
      <w:r>
        <w:rPr>
          <w:noProof/>
        </w:rPr>
        <w:fldChar w:fldCharType="begin"/>
      </w:r>
      <w:r>
        <w:rPr>
          <w:noProof/>
        </w:rPr>
        <w:instrText xml:space="preserve"> PAGEREF _Toc406665853 \h </w:instrText>
      </w:r>
      <w:r>
        <w:rPr>
          <w:noProof/>
        </w:rPr>
      </w:r>
      <w:r>
        <w:rPr>
          <w:noProof/>
        </w:rPr>
        <w:fldChar w:fldCharType="separate"/>
      </w:r>
      <w:r w:rsidR="008F206A">
        <w:rPr>
          <w:noProof/>
        </w:rPr>
        <w:t>11</w:t>
      </w:r>
      <w:r>
        <w:rPr>
          <w:noProof/>
        </w:rPr>
        <w:fldChar w:fldCharType="end"/>
      </w:r>
    </w:p>
    <w:p w14:paraId="6A3EF7C0" w14:textId="59189994"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A.  Compensation Received by CFG</w:t>
      </w:r>
      <w:r>
        <w:tab/>
      </w:r>
      <w:r>
        <w:fldChar w:fldCharType="begin"/>
      </w:r>
      <w:r>
        <w:instrText xml:space="preserve"> PAGEREF _Toc406665854 \h </w:instrText>
      </w:r>
      <w:r>
        <w:fldChar w:fldCharType="separate"/>
      </w:r>
      <w:r w:rsidR="008F206A">
        <w:t>11</w:t>
      </w:r>
      <w:r>
        <w:fldChar w:fldCharType="end"/>
      </w:r>
    </w:p>
    <w:p w14:paraId="0CB361DC" w14:textId="6F0CF95B" w:rsidR="00E04413" w:rsidRDefault="00E04413">
      <w:pPr>
        <w:pStyle w:val="TOC2"/>
        <w:rPr>
          <w:rFonts w:asciiTheme="minorHAnsi" w:eastAsiaTheme="minorEastAsia" w:hAnsiTheme="minorHAnsi" w:cstheme="minorBidi"/>
          <w:sz w:val="24"/>
          <w:szCs w:val="24"/>
          <w:lang w:eastAsia="ja-JP"/>
        </w:rPr>
      </w:pPr>
      <w:r w:rsidRPr="00341742">
        <w:rPr>
          <w:color w:val="000000" w:themeColor="text1"/>
        </w:rPr>
        <w:t>B.  Client Referrals from Solicitors</w:t>
      </w:r>
      <w:r>
        <w:tab/>
      </w:r>
      <w:r>
        <w:fldChar w:fldCharType="begin"/>
      </w:r>
      <w:r>
        <w:instrText xml:space="preserve"> PAGEREF _Toc406665855 \h </w:instrText>
      </w:r>
      <w:r>
        <w:fldChar w:fldCharType="separate"/>
      </w:r>
      <w:r w:rsidR="008F206A">
        <w:t>11</w:t>
      </w:r>
      <w:r>
        <w:fldChar w:fldCharType="end"/>
      </w:r>
    </w:p>
    <w:p w14:paraId="58BDF7FB" w14:textId="70881BB6"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15 – Custody</w:t>
      </w:r>
      <w:r>
        <w:rPr>
          <w:noProof/>
        </w:rPr>
        <w:tab/>
      </w:r>
      <w:r>
        <w:rPr>
          <w:noProof/>
        </w:rPr>
        <w:fldChar w:fldCharType="begin"/>
      </w:r>
      <w:r>
        <w:rPr>
          <w:noProof/>
        </w:rPr>
        <w:instrText xml:space="preserve"> PAGEREF _Toc406665856 \h </w:instrText>
      </w:r>
      <w:r>
        <w:rPr>
          <w:noProof/>
        </w:rPr>
      </w:r>
      <w:r>
        <w:rPr>
          <w:noProof/>
        </w:rPr>
        <w:fldChar w:fldCharType="separate"/>
      </w:r>
      <w:r w:rsidR="008F206A">
        <w:rPr>
          <w:noProof/>
        </w:rPr>
        <w:t>11</w:t>
      </w:r>
      <w:r>
        <w:rPr>
          <w:noProof/>
        </w:rPr>
        <w:fldChar w:fldCharType="end"/>
      </w:r>
    </w:p>
    <w:p w14:paraId="0ADF47D5" w14:textId="6EB9DECF"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16 – Investment Discretion</w:t>
      </w:r>
      <w:r>
        <w:rPr>
          <w:noProof/>
        </w:rPr>
        <w:tab/>
      </w:r>
      <w:r>
        <w:rPr>
          <w:noProof/>
        </w:rPr>
        <w:fldChar w:fldCharType="begin"/>
      </w:r>
      <w:r>
        <w:rPr>
          <w:noProof/>
        </w:rPr>
        <w:instrText xml:space="preserve"> PAGEREF _Toc406665857 \h </w:instrText>
      </w:r>
      <w:r>
        <w:rPr>
          <w:noProof/>
        </w:rPr>
      </w:r>
      <w:r>
        <w:rPr>
          <w:noProof/>
        </w:rPr>
        <w:fldChar w:fldCharType="separate"/>
      </w:r>
      <w:r w:rsidR="008F206A">
        <w:rPr>
          <w:noProof/>
        </w:rPr>
        <w:t>12</w:t>
      </w:r>
      <w:r>
        <w:rPr>
          <w:noProof/>
        </w:rPr>
        <w:fldChar w:fldCharType="end"/>
      </w:r>
    </w:p>
    <w:p w14:paraId="32D35C38" w14:textId="48F336B0"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17 – Voting Client Securities</w:t>
      </w:r>
      <w:r>
        <w:rPr>
          <w:noProof/>
        </w:rPr>
        <w:tab/>
      </w:r>
      <w:r>
        <w:rPr>
          <w:noProof/>
        </w:rPr>
        <w:fldChar w:fldCharType="begin"/>
      </w:r>
      <w:r>
        <w:rPr>
          <w:noProof/>
        </w:rPr>
        <w:instrText xml:space="preserve"> PAGEREF _Toc406665858 \h </w:instrText>
      </w:r>
      <w:r>
        <w:rPr>
          <w:noProof/>
        </w:rPr>
      </w:r>
      <w:r>
        <w:rPr>
          <w:noProof/>
        </w:rPr>
        <w:fldChar w:fldCharType="separate"/>
      </w:r>
      <w:r w:rsidR="008F206A">
        <w:rPr>
          <w:noProof/>
        </w:rPr>
        <w:t>12</w:t>
      </w:r>
      <w:r>
        <w:rPr>
          <w:noProof/>
        </w:rPr>
        <w:fldChar w:fldCharType="end"/>
      </w:r>
    </w:p>
    <w:p w14:paraId="71859FC4" w14:textId="6846DAE6" w:rsidR="00E04413" w:rsidRDefault="00E04413">
      <w:pPr>
        <w:pStyle w:val="TOC1"/>
        <w:rPr>
          <w:rFonts w:asciiTheme="minorHAnsi" w:eastAsiaTheme="minorEastAsia" w:hAnsiTheme="minorHAnsi" w:cstheme="minorBidi"/>
          <w:b w:val="0"/>
          <w:noProof/>
          <w:color w:val="auto"/>
          <w:sz w:val="24"/>
          <w:lang w:eastAsia="ja-JP"/>
        </w:rPr>
      </w:pPr>
      <w:r w:rsidRPr="00341742">
        <w:rPr>
          <w:noProof/>
          <w:color w:val="000000" w:themeColor="text1"/>
        </w:rPr>
        <w:t>Item 18 – Financial Information</w:t>
      </w:r>
      <w:r>
        <w:rPr>
          <w:noProof/>
        </w:rPr>
        <w:tab/>
      </w:r>
      <w:r>
        <w:rPr>
          <w:noProof/>
        </w:rPr>
        <w:fldChar w:fldCharType="begin"/>
      </w:r>
      <w:r>
        <w:rPr>
          <w:noProof/>
        </w:rPr>
        <w:instrText xml:space="preserve"> PAGEREF _Toc406665859 \h </w:instrText>
      </w:r>
      <w:r>
        <w:rPr>
          <w:noProof/>
        </w:rPr>
      </w:r>
      <w:r>
        <w:rPr>
          <w:noProof/>
        </w:rPr>
        <w:fldChar w:fldCharType="separate"/>
      </w:r>
      <w:r w:rsidR="008F206A">
        <w:rPr>
          <w:noProof/>
        </w:rPr>
        <w:t>12</w:t>
      </w:r>
      <w:r>
        <w:rPr>
          <w:noProof/>
        </w:rPr>
        <w:fldChar w:fldCharType="end"/>
      </w:r>
    </w:p>
    <w:p w14:paraId="2E4F10B9" w14:textId="56FF3EB0" w:rsidR="00E04413" w:rsidRDefault="00E04413">
      <w:pPr>
        <w:pStyle w:val="TOC1"/>
        <w:rPr>
          <w:rFonts w:asciiTheme="minorHAnsi" w:eastAsiaTheme="minorEastAsia" w:hAnsiTheme="minorHAnsi" w:cstheme="minorBidi"/>
          <w:b w:val="0"/>
          <w:noProof/>
          <w:color w:val="auto"/>
          <w:sz w:val="24"/>
          <w:lang w:eastAsia="ja-JP"/>
        </w:rPr>
      </w:pPr>
      <w:r>
        <w:rPr>
          <w:noProof/>
        </w:rPr>
        <w:t>Privacy Policy</w:t>
      </w:r>
      <w:r>
        <w:rPr>
          <w:noProof/>
        </w:rPr>
        <w:tab/>
      </w:r>
      <w:r>
        <w:rPr>
          <w:noProof/>
        </w:rPr>
        <w:fldChar w:fldCharType="begin"/>
      </w:r>
      <w:r>
        <w:rPr>
          <w:noProof/>
        </w:rPr>
        <w:instrText xml:space="preserve"> PAGEREF _Toc406665860 \h </w:instrText>
      </w:r>
      <w:r>
        <w:rPr>
          <w:noProof/>
        </w:rPr>
      </w:r>
      <w:r>
        <w:rPr>
          <w:noProof/>
        </w:rPr>
        <w:fldChar w:fldCharType="separate"/>
      </w:r>
      <w:r w:rsidR="008F206A">
        <w:rPr>
          <w:noProof/>
        </w:rPr>
        <w:t>13</w:t>
      </w:r>
      <w:r>
        <w:rPr>
          <w:noProof/>
        </w:rPr>
        <w:fldChar w:fldCharType="end"/>
      </w:r>
    </w:p>
    <w:p w14:paraId="2A41600D" w14:textId="4EB473E8" w:rsidR="00E04413" w:rsidRDefault="00E04413">
      <w:pPr>
        <w:pStyle w:val="TOC1"/>
        <w:rPr>
          <w:rFonts w:asciiTheme="minorHAnsi" w:eastAsiaTheme="minorEastAsia" w:hAnsiTheme="minorHAnsi" w:cstheme="minorBidi"/>
          <w:b w:val="0"/>
          <w:noProof/>
          <w:color w:val="auto"/>
          <w:sz w:val="24"/>
          <w:lang w:eastAsia="ja-JP"/>
        </w:rPr>
      </w:pPr>
      <w:r>
        <w:rPr>
          <w:noProof/>
        </w:rPr>
        <w:t>Form ADV Part 2B – Brochure Supplement</w:t>
      </w:r>
      <w:r>
        <w:rPr>
          <w:noProof/>
        </w:rPr>
        <w:tab/>
      </w:r>
      <w:r>
        <w:rPr>
          <w:noProof/>
        </w:rPr>
        <w:fldChar w:fldCharType="begin"/>
      </w:r>
      <w:r>
        <w:rPr>
          <w:noProof/>
        </w:rPr>
        <w:instrText xml:space="preserve"> PAGEREF _Toc406665861 \h </w:instrText>
      </w:r>
      <w:r>
        <w:rPr>
          <w:noProof/>
        </w:rPr>
      </w:r>
      <w:r>
        <w:rPr>
          <w:noProof/>
        </w:rPr>
        <w:fldChar w:fldCharType="separate"/>
      </w:r>
      <w:r w:rsidR="008F206A">
        <w:rPr>
          <w:noProof/>
        </w:rPr>
        <w:t>15</w:t>
      </w:r>
      <w:r>
        <w:rPr>
          <w:noProof/>
        </w:rPr>
        <w:fldChar w:fldCharType="end"/>
      </w:r>
    </w:p>
    <w:p w14:paraId="1DAB61E0" w14:textId="77777777" w:rsidR="009E28D0" w:rsidRPr="00E96181" w:rsidRDefault="002404C2" w:rsidP="002404C2">
      <w:pPr>
        <w:pStyle w:val="Heading1"/>
        <w:rPr>
          <w:rFonts w:eastAsia="Cambria"/>
          <w:caps/>
          <w:sz w:val="20"/>
          <w:szCs w:val="24"/>
        </w:rPr>
      </w:pPr>
      <w:r w:rsidRPr="00630C58">
        <w:rPr>
          <w:rFonts w:eastAsia="Cambria"/>
          <w:caps/>
          <w:sz w:val="20"/>
          <w:szCs w:val="24"/>
        </w:rPr>
        <w:fldChar w:fldCharType="end"/>
      </w:r>
    </w:p>
    <w:p w14:paraId="52D6A07F" w14:textId="77777777" w:rsidR="002404C2" w:rsidRPr="00E96181" w:rsidRDefault="002404C2" w:rsidP="002404C2">
      <w:pPr>
        <w:pStyle w:val="Heading1"/>
      </w:pPr>
    </w:p>
    <w:p w14:paraId="0ED804FA" w14:textId="77777777" w:rsidR="002404C2" w:rsidRPr="00E96181" w:rsidRDefault="002404C2">
      <w:pPr>
        <w:rPr>
          <w:rFonts w:eastAsia="Times New Roman" w:cs="Arial"/>
          <w:b/>
          <w:color w:val="000000" w:themeColor="text1"/>
          <w:sz w:val="22"/>
          <w:szCs w:val="22"/>
        </w:rPr>
      </w:pPr>
      <w:r w:rsidRPr="00E96181">
        <w:rPr>
          <w:color w:val="000000" w:themeColor="text1"/>
        </w:rPr>
        <w:br w:type="page"/>
      </w:r>
    </w:p>
    <w:p w14:paraId="1043A053" w14:textId="77777777" w:rsidR="002404C2" w:rsidRPr="00E96181" w:rsidRDefault="002404C2" w:rsidP="002404C2">
      <w:pPr>
        <w:pStyle w:val="ADVSectionHeader"/>
        <w:rPr>
          <w:color w:val="000000" w:themeColor="text1"/>
        </w:rPr>
      </w:pPr>
      <w:bookmarkStart w:id="12" w:name="_Toc462744537"/>
      <w:bookmarkStart w:id="13" w:name="_Toc406665822"/>
      <w:r w:rsidRPr="00E96181">
        <w:rPr>
          <w:color w:val="000000" w:themeColor="text1"/>
        </w:rPr>
        <w:lastRenderedPageBreak/>
        <w:t>Item 4 – Advisory Services</w:t>
      </w:r>
      <w:bookmarkEnd w:id="10"/>
      <w:bookmarkEnd w:id="11"/>
      <w:bookmarkEnd w:id="12"/>
      <w:bookmarkEnd w:id="13"/>
    </w:p>
    <w:p w14:paraId="0D6A37CB"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3EEB1D98" w14:textId="77777777" w:rsidR="002404C2" w:rsidRPr="00E96181" w:rsidRDefault="002404C2" w:rsidP="002404C2">
      <w:pPr>
        <w:pStyle w:val="ADVSubheading"/>
        <w:rPr>
          <w:color w:val="000000" w:themeColor="text1"/>
        </w:rPr>
      </w:pPr>
      <w:bookmarkStart w:id="14" w:name="_Toc161575102"/>
      <w:bookmarkStart w:id="15" w:name="_Toc241118508"/>
      <w:bookmarkStart w:id="16" w:name="_Toc462744538"/>
      <w:bookmarkStart w:id="17" w:name="_Toc406665823"/>
      <w:r w:rsidRPr="00E96181">
        <w:rPr>
          <w:color w:val="000000" w:themeColor="text1"/>
        </w:rPr>
        <w:t>A.  Firm Information</w:t>
      </w:r>
      <w:bookmarkEnd w:id="14"/>
      <w:bookmarkEnd w:id="15"/>
      <w:bookmarkEnd w:id="16"/>
      <w:bookmarkEnd w:id="17"/>
    </w:p>
    <w:p w14:paraId="5EAFD5B5" w14:textId="3E6FA687" w:rsidR="002404C2" w:rsidRPr="00E96181" w:rsidRDefault="002404C2" w:rsidP="002404C2">
      <w:pPr>
        <w:rPr>
          <w:color w:val="000000" w:themeColor="text1"/>
        </w:rPr>
      </w:pPr>
      <w:r w:rsidRPr="00E96181">
        <w:rPr>
          <w:color w:val="000000" w:themeColor="text1"/>
        </w:rPr>
        <w:t xml:space="preserve">Capstone Financial Group, </w:t>
      </w:r>
      <w:r w:rsidR="00C20F38">
        <w:rPr>
          <w:color w:val="000000" w:themeColor="text1"/>
        </w:rPr>
        <w:t>Inc.</w:t>
      </w:r>
      <w:r w:rsidRPr="00E96181">
        <w:rPr>
          <w:color w:val="000000" w:themeColor="text1"/>
        </w:rPr>
        <w:t xml:space="preserve"> (“CFG” or the “Advisor”) is a registered investment advisor with the </w:t>
      </w:r>
      <w:r w:rsidRPr="00E96181">
        <w:rPr>
          <w:rFonts w:cs="Arial"/>
          <w:noProof/>
          <w:szCs w:val="20"/>
        </w:rPr>
        <w:t xml:space="preserve">U.S. Securities </w:t>
      </w:r>
      <w:r w:rsidRPr="00E96181">
        <w:rPr>
          <w:rFonts w:cs="Arial"/>
          <w:szCs w:val="20"/>
        </w:rPr>
        <w:t>and Exchange Commission (“SEC”)</w:t>
      </w:r>
      <w:r w:rsidRPr="00106B54">
        <w:rPr>
          <w:color w:val="000000" w:themeColor="text1"/>
        </w:rPr>
        <w:t xml:space="preserve">, </w:t>
      </w:r>
      <w:r w:rsidRPr="00E96181">
        <w:rPr>
          <w:color w:val="000000" w:themeColor="text1"/>
        </w:rPr>
        <w:t xml:space="preserve">which is organized as a Corporation under the laws of the </w:t>
      </w:r>
      <w:r w:rsidRPr="00E96181">
        <w:rPr>
          <w:noProof/>
          <w:color w:val="000000" w:themeColor="text1"/>
        </w:rPr>
        <w:t>State of Oklahoma</w:t>
      </w:r>
      <w:r w:rsidRPr="00E96181">
        <w:rPr>
          <w:color w:val="000000" w:themeColor="text1"/>
        </w:rPr>
        <w:t xml:space="preserve">. CFG was founded in September </w:t>
      </w:r>
      <w:r w:rsidR="00DB5092">
        <w:rPr>
          <w:color w:val="000000" w:themeColor="text1"/>
        </w:rPr>
        <w:t>1995</w:t>
      </w:r>
      <w:r w:rsidRPr="00E96181">
        <w:rPr>
          <w:color w:val="000000" w:themeColor="text1"/>
        </w:rPr>
        <w:t xml:space="preserve"> and launched as a registered investment advisor in March 201</w:t>
      </w:r>
      <w:r w:rsidR="00DB5092">
        <w:rPr>
          <w:color w:val="000000" w:themeColor="text1"/>
        </w:rPr>
        <w:t>9</w:t>
      </w:r>
      <w:r w:rsidRPr="00E96181">
        <w:rPr>
          <w:color w:val="000000" w:themeColor="text1"/>
        </w:rPr>
        <w:t xml:space="preserve">. CFG is owned and operated by Michael P. Dunham (President and Chief Compliance Officer). This Disclosure Brochure provides information regarding the qualifications, business practices, and the advisory services provided by CFG. </w:t>
      </w:r>
    </w:p>
    <w:p w14:paraId="7BB781D6" w14:textId="77777777" w:rsidR="002404C2" w:rsidRPr="00E96181" w:rsidRDefault="002404C2" w:rsidP="002404C2">
      <w:pPr>
        <w:rPr>
          <w:color w:val="000000" w:themeColor="text1"/>
        </w:rPr>
      </w:pPr>
    </w:p>
    <w:p w14:paraId="49FCDA90" w14:textId="77777777" w:rsidR="002404C2" w:rsidRPr="00E96181" w:rsidRDefault="002404C2" w:rsidP="002404C2">
      <w:pPr>
        <w:pStyle w:val="ADVSubheading"/>
        <w:rPr>
          <w:color w:val="000000" w:themeColor="text1"/>
        </w:rPr>
      </w:pPr>
      <w:bookmarkStart w:id="18" w:name="_Toc161575103"/>
      <w:bookmarkStart w:id="19" w:name="_Toc241118509"/>
      <w:bookmarkStart w:id="20" w:name="_Toc462744539"/>
      <w:bookmarkStart w:id="21" w:name="_Toc406665824"/>
      <w:r w:rsidRPr="00E96181">
        <w:rPr>
          <w:color w:val="000000" w:themeColor="text1"/>
        </w:rPr>
        <w:t>B.  Advisory Services Offered</w:t>
      </w:r>
      <w:bookmarkEnd w:id="18"/>
      <w:bookmarkEnd w:id="19"/>
      <w:bookmarkEnd w:id="20"/>
      <w:bookmarkEnd w:id="21"/>
    </w:p>
    <w:p w14:paraId="0459AED7" w14:textId="28ACDCA2"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offers investment advisory services to individuals, high net worth individuals, pensions and </w:t>
      </w:r>
      <w:r w:rsidR="00F17CE5">
        <w:rPr>
          <w:color w:val="000000" w:themeColor="text1"/>
        </w:rPr>
        <w:t>profit-sharing</w:t>
      </w:r>
      <w:r w:rsidR="00F17CE5" w:rsidRPr="00E96181">
        <w:rPr>
          <w:color w:val="000000" w:themeColor="text1"/>
        </w:rPr>
        <w:t xml:space="preserve"> </w:t>
      </w:r>
      <w:r w:rsidRPr="00E96181">
        <w:rPr>
          <w:color w:val="000000" w:themeColor="text1"/>
        </w:rPr>
        <w:t xml:space="preserve">plans (each referred to as a “Client”). </w:t>
      </w:r>
    </w:p>
    <w:p w14:paraId="19722911" w14:textId="0A98ED26" w:rsidR="002404C2" w:rsidRPr="00E96181" w:rsidRDefault="002404C2" w:rsidP="002404C2">
      <w:pPr>
        <w:rPr>
          <w:color w:val="000000" w:themeColor="text1"/>
          <w:u w:val="single"/>
        </w:rPr>
      </w:pPr>
    </w:p>
    <w:p w14:paraId="41349637" w14:textId="77777777" w:rsidR="007044CD" w:rsidRPr="00E96181" w:rsidRDefault="007044CD" w:rsidP="007044CD">
      <w:pPr>
        <w:rPr>
          <w:color w:val="000000" w:themeColor="text1"/>
        </w:rPr>
      </w:pPr>
      <w:r w:rsidRPr="00E96181">
        <w:rPr>
          <w:rFonts w:eastAsia="Times New Roman" w:cs="Arial"/>
          <w:color w:val="000000" w:themeColor="text1"/>
          <w:szCs w:val="20"/>
        </w:rPr>
        <w:t xml:space="preserve">The Advisor serves as a fiduciary to Clients, as defined under </w:t>
      </w:r>
      <w:r>
        <w:rPr>
          <w:rFonts w:eastAsia="Times New Roman" w:cs="Arial"/>
          <w:color w:val="000000" w:themeColor="text1"/>
          <w:szCs w:val="20"/>
        </w:rPr>
        <w:t xml:space="preserve">the </w:t>
      </w:r>
      <w:r w:rsidRPr="00E96181">
        <w:rPr>
          <w:rFonts w:eastAsia="Times New Roman" w:cs="Arial"/>
          <w:color w:val="000000" w:themeColor="text1"/>
          <w:szCs w:val="20"/>
        </w:rPr>
        <w:t>applicable laws and regulations. As a fiduciary, the Advisor upholds a duty of loyalty, fairness and good faith towards each Client and seeks to mitigate potential conflicts of interest. Our fiduciary commitment is further described in our Code of Ethics. For more information regarding our Code of Ethics, please see Item 11 – Code of Ethics, Participation or Interest in Client Transactions and Personal Trading.</w:t>
      </w:r>
    </w:p>
    <w:p w14:paraId="03867C9C" w14:textId="77777777" w:rsidR="007044CD" w:rsidRDefault="007044CD" w:rsidP="002404C2">
      <w:pPr>
        <w:rPr>
          <w:noProof/>
          <w:color w:val="000000" w:themeColor="text1"/>
        </w:rPr>
      </w:pPr>
    </w:p>
    <w:p w14:paraId="4B9E3C2E" w14:textId="19739E24"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provides customized investment advisory solutions for its Clients. This is achieved through continuous personal Client contact and interaction while providing discretionary investment management and related advisory services. </w:t>
      </w:r>
      <w:r w:rsidRPr="00E96181">
        <w:rPr>
          <w:noProof/>
          <w:color w:val="000000" w:themeColor="text1"/>
        </w:rPr>
        <w:t>CFG</w:t>
      </w:r>
      <w:r w:rsidRPr="00E96181">
        <w:rPr>
          <w:color w:val="000000" w:themeColor="text1"/>
        </w:rPr>
        <w:t xml:space="preserve"> works closely with each Client to identify their investment goals and objectives, risk tolerance and financial situation in order to create a portfolio strategy. </w:t>
      </w:r>
      <w:r w:rsidRPr="00E96181">
        <w:rPr>
          <w:noProof/>
          <w:color w:val="000000" w:themeColor="text1"/>
        </w:rPr>
        <w:t>CFG</w:t>
      </w:r>
      <w:r w:rsidRPr="00E96181">
        <w:rPr>
          <w:color w:val="000000" w:themeColor="text1"/>
        </w:rPr>
        <w:t xml:space="preserve"> will then construct an investment portfolio, </w:t>
      </w:r>
      <w:r w:rsidR="00E61358" w:rsidRPr="00106B54">
        <w:rPr>
          <w:color w:val="000000" w:themeColor="text1"/>
        </w:rPr>
        <w:t xml:space="preserve">primarily </w:t>
      </w:r>
      <w:r w:rsidRPr="00106B54">
        <w:rPr>
          <w:color w:val="000000" w:themeColor="text1"/>
        </w:rPr>
        <w:t>consisting of individual stocks</w:t>
      </w:r>
      <w:r w:rsidR="00DB5092">
        <w:rPr>
          <w:color w:val="000000" w:themeColor="text1"/>
        </w:rPr>
        <w:t xml:space="preserve">, </w:t>
      </w:r>
      <w:r w:rsidRPr="00106B54">
        <w:rPr>
          <w:color w:val="000000" w:themeColor="text1"/>
        </w:rPr>
        <w:t>bonds</w:t>
      </w:r>
      <w:r w:rsidR="00DB5092">
        <w:rPr>
          <w:color w:val="000000" w:themeColor="text1"/>
        </w:rPr>
        <w:t>, mutual funds, and exchange-trade funds (“ETFs”)</w:t>
      </w:r>
      <w:r w:rsidRPr="00106B54">
        <w:rPr>
          <w:color w:val="000000" w:themeColor="text1"/>
        </w:rPr>
        <w:t xml:space="preserve"> to achieve the Client’s investment goals. </w:t>
      </w:r>
      <w:r w:rsidRPr="00E96181">
        <w:rPr>
          <w:rFonts w:eastAsia="Times New Roman"/>
          <w:color w:val="000000" w:themeColor="text1"/>
        </w:rPr>
        <w:t xml:space="preserve">The Advisor may retain certain types of investments based on a Client’s legacy portfolio construction. </w:t>
      </w:r>
    </w:p>
    <w:p w14:paraId="107783BC" w14:textId="77777777" w:rsidR="002404C2" w:rsidRPr="00E96181" w:rsidRDefault="002404C2" w:rsidP="002404C2">
      <w:pPr>
        <w:rPr>
          <w:color w:val="000000" w:themeColor="text1"/>
        </w:rPr>
      </w:pPr>
    </w:p>
    <w:p w14:paraId="540580AA" w14:textId="54FFECDB"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’s investment strategies is primarily long-term focused, but the Advisor may buy, sell or re-allocate positions that have been held less than one year to meet the objectives of the Client or due to market conditions. </w:t>
      </w:r>
      <w:r w:rsidRPr="00E96181">
        <w:rPr>
          <w:noProof/>
          <w:color w:val="000000" w:themeColor="text1"/>
        </w:rPr>
        <w:t>CFG</w:t>
      </w:r>
      <w:r w:rsidRPr="00E96181">
        <w:rPr>
          <w:color w:val="000000" w:themeColor="text1"/>
        </w:rPr>
        <w:t xml:space="preserve"> will construct, implement and monitor the portfolio to ensure it meets the goals, objectives, circumstances, and risk tolerance agreed to by the Client. Each Client will have the opportunity to place reasonable restrictions on the types of investments to be held in their respective portfolio, subject to acceptance by the Advisor. </w:t>
      </w:r>
    </w:p>
    <w:p w14:paraId="7225CA87" w14:textId="77777777" w:rsidR="002404C2" w:rsidRPr="00E96181" w:rsidRDefault="002404C2" w:rsidP="002404C2">
      <w:pPr>
        <w:rPr>
          <w:color w:val="000000" w:themeColor="text1"/>
        </w:rPr>
      </w:pPr>
    </w:p>
    <w:p w14:paraId="2ED795E7" w14:textId="0B755EEA"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evaluates and selects investments for inclusion in Client portfolios only after applying its internal due diligence process. </w:t>
      </w:r>
      <w:r w:rsidRPr="00E96181">
        <w:rPr>
          <w:noProof/>
          <w:color w:val="000000" w:themeColor="text1"/>
        </w:rPr>
        <w:t>CFG</w:t>
      </w:r>
      <w:r w:rsidRPr="00E96181">
        <w:rPr>
          <w:color w:val="000000" w:themeColor="text1"/>
        </w:rPr>
        <w:t xml:space="preserve"> may recommend, on occasion, redistributing investment allocations to diversify the portfolio. </w:t>
      </w:r>
      <w:r w:rsidRPr="00E96181">
        <w:rPr>
          <w:noProof/>
          <w:color w:val="000000" w:themeColor="text1"/>
        </w:rPr>
        <w:t>CFG</w:t>
      </w:r>
      <w:r w:rsidRPr="00E96181">
        <w:rPr>
          <w:color w:val="000000" w:themeColor="text1"/>
        </w:rPr>
        <w:t xml:space="preserve"> may recommend specific positions to increase sector or asset class weightings. The Advisor may recommend employing cash positions as a possible hedge against market movement. </w:t>
      </w:r>
      <w:r w:rsidRPr="00E96181">
        <w:rPr>
          <w:noProof/>
          <w:color w:val="000000" w:themeColor="text1"/>
        </w:rPr>
        <w:t>CFG</w:t>
      </w:r>
      <w:r w:rsidRPr="00E96181">
        <w:rPr>
          <w:color w:val="000000" w:themeColor="text1"/>
        </w:rPr>
        <w:t xml:space="preserve"> may recommend selling positions for reasons that include, but are not limited to, harvesting capital gains or losses, business or sector risk exposure to a specific security or class of securities, overvaluation or overweighting of the position[s] in the portfolio, change in risk tolerance of </w:t>
      </w:r>
      <w:r w:rsidR="007044CD">
        <w:rPr>
          <w:color w:val="000000" w:themeColor="text1"/>
        </w:rPr>
        <w:t xml:space="preserve">the </w:t>
      </w:r>
      <w:r w:rsidRPr="00E96181">
        <w:rPr>
          <w:color w:val="000000" w:themeColor="text1"/>
        </w:rPr>
        <w:t>Client, generating cash to meet Client needs, or any risk deemed unacceptable for the Client’s risk tolerance.</w:t>
      </w:r>
    </w:p>
    <w:p w14:paraId="1F9E984F" w14:textId="77777777" w:rsidR="002404C2" w:rsidRPr="00E96181" w:rsidRDefault="002404C2" w:rsidP="002404C2">
      <w:pPr>
        <w:rPr>
          <w:rFonts w:ascii="Palatino" w:hAnsi="Palatino"/>
          <w:color w:val="000000" w:themeColor="text1"/>
        </w:rPr>
      </w:pPr>
    </w:p>
    <w:p w14:paraId="2245DCED" w14:textId="7A6687CB" w:rsidR="002404C2" w:rsidRPr="00106B54" w:rsidRDefault="007044CD" w:rsidP="002404C2">
      <w:pPr>
        <w:rPr>
          <w:color w:val="000000" w:themeColor="text1"/>
        </w:rPr>
      </w:pPr>
      <w:r w:rsidRPr="0084028A">
        <w:rPr>
          <w:rFonts w:cs="Arial"/>
          <w:color w:val="000000" w:themeColor="text1"/>
          <w:szCs w:val="20"/>
        </w:rPr>
        <w:t xml:space="preserve">At no time will </w:t>
      </w:r>
      <w:r w:rsidR="006E2661">
        <w:rPr>
          <w:rFonts w:cs="Arial"/>
          <w:color w:val="000000" w:themeColor="text1"/>
          <w:szCs w:val="20"/>
        </w:rPr>
        <w:t>CFG</w:t>
      </w:r>
      <w:r w:rsidRPr="0084028A">
        <w:rPr>
          <w:rFonts w:cs="Arial"/>
          <w:color w:val="000000" w:themeColor="text1"/>
          <w:szCs w:val="20"/>
        </w:rPr>
        <w:t xml:space="preserve"> accept or maintain custody of a Client’s funds or securities, except for </w:t>
      </w:r>
      <w:r>
        <w:rPr>
          <w:rFonts w:cs="Arial"/>
          <w:color w:val="000000" w:themeColor="text1"/>
          <w:szCs w:val="20"/>
        </w:rPr>
        <w:t>the limited authority as outline in Item 15 - Custody</w:t>
      </w:r>
      <w:r w:rsidRPr="0084028A">
        <w:rPr>
          <w:rFonts w:cs="Arial"/>
          <w:color w:val="000000" w:themeColor="text1"/>
          <w:szCs w:val="20"/>
        </w:rPr>
        <w:t>. All Client assets will be managed within their designated account</w:t>
      </w:r>
      <w:r>
        <w:rPr>
          <w:rFonts w:cs="Arial"/>
          <w:color w:val="000000" w:themeColor="text1"/>
          <w:szCs w:val="20"/>
        </w:rPr>
        <w:t>[s] at the Custodian</w:t>
      </w:r>
      <w:r w:rsidRPr="0084028A">
        <w:rPr>
          <w:rFonts w:cs="Arial"/>
          <w:color w:val="000000" w:themeColor="text1"/>
          <w:szCs w:val="20"/>
        </w:rPr>
        <w:t>, pursuant to the Client investment advisory agreement</w:t>
      </w:r>
      <w:r>
        <w:rPr>
          <w:rFonts w:cs="Arial"/>
          <w:color w:val="000000" w:themeColor="text1"/>
          <w:szCs w:val="20"/>
        </w:rPr>
        <w:t>, p</w:t>
      </w:r>
      <w:r w:rsidRPr="0084028A">
        <w:rPr>
          <w:rFonts w:cs="Arial"/>
          <w:color w:val="000000" w:themeColor="text1"/>
          <w:szCs w:val="20"/>
        </w:rPr>
        <w:t>lease see Item 12</w:t>
      </w:r>
      <w:r w:rsidR="002404C2" w:rsidRPr="00106B54">
        <w:rPr>
          <w:color w:val="000000" w:themeColor="text1"/>
        </w:rPr>
        <w:t>.</w:t>
      </w:r>
    </w:p>
    <w:p w14:paraId="654E62C8" w14:textId="77777777" w:rsidR="002404C2" w:rsidRPr="00E96181" w:rsidRDefault="002404C2" w:rsidP="00106B54">
      <w:pPr>
        <w:pStyle w:val="ADVSubheading"/>
        <w:keepNext/>
        <w:keepLines/>
        <w:rPr>
          <w:color w:val="000000" w:themeColor="text1"/>
        </w:rPr>
      </w:pPr>
      <w:bookmarkStart w:id="22" w:name="_Toc161575104"/>
      <w:bookmarkStart w:id="23" w:name="_Toc241118510"/>
      <w:bookmarkStart w:id="24" w:name="_Toc462744540"/>
      <w:bookmarkStart w:id="25" w:name="_Toc406665825"/>
      <w:r w:rsidRPr="00E96181">
        <w:rPr>
          <w:color w:val="000000" w:themeColor="text1"/>
        </w:rPr>
        <w:lastRenderedPageBreak/>
        <w:t>C.  Client Account Management</w:t>
      </w:r>
      <w:bookmarkEnd w:id="22"/>
      <w:bookmarkEnd w:id="23"/>
      <w:bookmarkEnd w:id="24"/>
      <w:bookmarkEnd w:id="25"/>
    </w:p>
    <w:p w14:paraId="0B308F31" w14:textId="7BCB1ECF" w:rsidR="002404C2" w:rsidRPr="00E96181" w:rsidRDefault="002404C2" w:rsidP="00106B54">
      <w:pPr>
        <w:keepNext/>
        <w:keepLines/>
        <w:tabs>
          <w:tab w:val="left" w:pos="-748"/>
          <w:tab w:val="left" w:pos="-273"/>
          <w:tab w:val="left" w:pos="-28"/>
          <w:tab w:val="left" w:pos="692"/>
          <w:tab w:val="left" w:pos="1412"/>
          <w:tab w:val="left" w:pos="2132"/>
          <w:tab w:val="left" w:pos="2852"/>
        </w:tabs>
        <w:suppressAutoHyphens/>
        <w:rPr>
          <w:rFonts w:cs="Arial"/>
          <w:color w:val="000000" w:themeColor="text1"/>
          <w:szCs w:val="20"/>
        </w:rPr>
      </w:pPr>
      <w:r w:rsidRPr="00E96181">
        <w:rPr>
          <w:rFonts w:cs="Arial"/>
          <w:color w:val="000000" w:themeColor="text1"/>
          <w:szCs w:val="20"/>
        </w:rPr>
        <w:t xml:space="preserve">Prior to engaging </w:t>
      </w:r>
      <w:r w:rsidRPr="00E96181">
        <w:rPr>
          <w:rFonts w:cs="Arial"/>
          <w:noProof/>
          <w:color w:val="000000" w:themeColor="text1"/>
          <w:szCs w:val="20"/>
        </w:rPr>
        <w:t>CFG</w:t>
      </w:r>
      <w:r w:rsidRPr="00E96181">
        <w:rPr>
          <w:rFonts w:cs="Arial"/>
          <w:color w:val="000000" w:themeColor="text1"/>
          <w:szCs w:val="20"/>
        </w:rPr>
        <w:t xml:space="preserve"> to provide investment advisory services, each </w:t>
      </w:r>
      <w:r w:rsidRPr="00E96181">
        <w:rPr>
          <w:color w:val="000000" w:themeColor="text1"/>
        </w:rPr>
        <w:t xml:space="preserve">Client is required to enter into </w:t>
      </w:r>
      <w:r w:rsidR="00EE65C1" w:rsidRPr="00E96181">
        <w:rPr>
          <w:color w:val="000000" w:themeColor="text1"/>
        </w:rPr>
        <w:t xml:space="preserve">a written </w:t>
      </w:r>
      <w:r w:rsidRPr="00106B54">
        <w:rPr>
          <w:rFonts w:cs="Arial"/>
          <w:color w:val="000000" w:themeColor="text1"/>
          <w:szCs w:val="20"/>
        </w:rPr>
        <w:t>agreement</w:t>
      </w:r>
      <w:r w:rsidRPr="00E96181">
        <w:rPr>
          <w:rFonts w:cs="Arial"/>
          <w:color w:val="000000" w:themeColor="text1"/>
          <w:szCs w:val="20"/>
        </w:rPr>
        <w:t xml:space="preserve"> with the Advisor that define the terms, conditions, authority and responsibilities of the Advisor and the Client. These services may include:</w:t>
      </w:r>
    </w:p>
    <w:p w14:paraId="60F1F9EE" w14:textId="77777777" w:rsidR="002404C2" w:rsidRPr="00E96181" w:rsidRDefault="002404C2" w:rsidP="00106B54">
      <w:pPr>
        <w:keepNext/>
        <w:keepLines/>
        <w:tabs>
          <w:tab w:val="left" w:pos="-748"/>
          <w:tab w:val="left" w:pos="-273"/>
          <w:tab w:val="left" w:pos="-28"/>
          <w:tab w:val="left" w:pos="692"/>
          <w:tab w:val="left" w:pos="1412"/>
          <w:tab w:val="left" w:pos="2132"/>
          <w:tab w:val="left" w:pos="2852"/>
        </w:tabs>
        <w:suppressAutoHyphens/>
        <w:rPr>
          <w:rFonts w:cs="Arial"/>
          <w:color w:val="000000" w:themeColor="text1"/>
          <w:szCs w:val="20"/>
        </w:rPr>
      </w:pPr>
    </w:p>
    <w:p w14:paraId="3E0E02F7" w14:textId="68FCC639" w:rsidR="002404C2" w:rsidRPr="00E96181" w:rsidRDefault="002404C2" w:rsidP="00106B54">
      <w:pPr>
        <w:keepNext/>
        <w:keepLines/>
        <w:numPr>
          <w:ilvl w:val="0"/>
          <w:numId w:val="3"/>
        </w:numPr>
        <w:tabs>
          <w:tab w:val="left" w:pos="-748"/>
          <w:tab w:val="left" w:pos="-273"/>
          <w:tab w:val="left" w:pos="-28"/>
          <w:tab w:val="left" w:pos="692"/>
          <w:tab w:val="left" w:pos="1412"/>
          <w:tab w:val="left" w:pos="2132"/>
          <w:tab w:val="left" w:pos="2852"/>
        </w:tabs>
        <w:suppressAutoHyphens/>
        <w:spacing w:after="120"/>
        <w:rPr>
          <w:rFonts w:cs="Arial"/>
          <w:color w:val="000000" w:themeColor="text1"/>
          <w:szCs w:val="20"/>
          <w:u w:val="single"/>
        </w:rPr>
      </w:pPr>
      <w:r w:rsidRPr="00E96181">
        <w:rPr>
          <w:rFonts w:cs="Arial"/>
          <w:color w:val="000000" w:themeColor="text1"/>
          <w:szCs w:val="20"/>
          <w:u w:val="single"/>
        </w:rPr>
        <w:t>Establishing an Investment Strategy</w:t>
      </w:r>
      <w:r w:rsidRPr="00E96181">
        <w:rPr>
          <w:rFonts w:cs="Arial"/>
          <w:color w:val="000000" w:themeColor="text1"/>
          <w:szCs w:val="20"/>
        </w:rPr>
        <w:t xml:space="preserve"> – </w:t>
      </w:r>
      <w:r w:rsidRPr="00E96181">
        <w:rPr>
          <w:rFonts w:cs="Arial"/>
          <w:noProof/>
          <w:color w:val="000000" w:themeColor="text1"/>
          <w:szCs w:val="20"/>
        </w:rPr>
        <w:t>CFG</w:t>
      </w:r>
      <w:r w:rsidRPr="00E96181">
        <w:rPr>
          <w:rFonts w:cs="Arial"/>
          <w:color w:val="000000" w:themeColor="text1"/>
          <w:szCs w:val="20"/>
        </w:rPr>
        <w:t>, in connection with the Client, will develop a strategy that seeks to achieve the Client’s goals and objectives.</w:t>
      </w:r>
    </w:p>
    <w:p w14:paraId="3A949FF6" w14:textId="77777777" w:rsidR="002404C2" w:rsidRPr="00E96181" w:rsidRDefault="002404C2" w:rsidP="002404C2">
      <w:pPr>
        <w:numPr>
          <w:ilvl w:val="0"/>
          <w:numId w:val="3"/>
        </w:numPr>
        <w:tabs>
          <w:tab w:val="left" w:pos="-748"/>
          <w:tab w:val="left" w:pos="-273"/>
          <w:tab w:val="left" w:pos="-28"/>
          <w:tab w:val="left" w:pos="692"/>
          <w:tab w:val="left" w:pos="1412"/>
          <w:tab w:val="left" w:pos="2132"/>
          <w:tab w:val="left" w:pos="2852"/>
        </w:tabs>
        <w:suppressAutoHyphens/>
        <w:spacing w:after="120"/>
        <w:rPr>
          <w:rFonts w:cs="Arial"/>
          <w:b/>
          <w:color w:val="000000" w:themeColor="text1"/>
          <w:szCs w:val="20"/>
          <w:u w:val="single"/>
        </w:rPr>
      </w:pPr>
      <w:r w:rsidRPr="00E96181">
        <w:rPr>
          <w:rFonts w:cs="Arial"/>
          <w:color w:val="000000" w:themeColor="text1"/>
          <w:szCs w:val="20"/>
          <w:u w:val="single"/>
        </w:rPr>
        <w:t>Asset Allocation</w:t>
      </w:r>
      <w:r w:rsidRPr="00E96181">
        <w:rPr>
          <w:rFonts w:cs="Arial"/>
          <w:color w:val="000000" w:themeColor="text1"/>
          <w:szCs w:val="20"/>
        </w:rPr>
        <w:t xml:space="preserve"> – </w:t>
      </w:r>
      <w:r w:rsidRPr="00E96181">
        <w:rPr>
          <w:rFonts w:cs="Arial"/>
          <w:noProof/>
          <w:color w:val="000000" w:themeColor="text1"/>
          <w:szCs w:val="20"/>
        </w:rPr>
        <w:t>CFG</w:t>
      </w:r>
      <w:r w:rsidRPr="00E96181">
        <w:rPr>
          <w:rFonts w:cs="Arial"/>
          <w:color w:val="000000" w:themeColor="text1"/>
          <w:szCs w:val="20"/>
        </w:rPr>
        <w:t xml:space="preserve"> will develop a strategic asset allocation that is targeted to meet the investment objectives, time horizon, financial situation and tolerance of risk for each Client. </w:t>
      </w:r>
    </w:p>
    <w:p w14:paraId="72C97F39" w14:textId="77777777" w:rsidR="002404C2" w:rsidRPr="00E96181" w:rsidRDefault="002404C2" w:rsidP="002404C2">
      <w:pPr>
        <w:numPr>
          <w:ilvl w:val="0"/>
          <w:numId w:val="3"/>
        </w:numPr>
        <w:tabs>
          <w:tab w:val="left" w:pos="-748"/>
          <w:tab w:val="left" w:pos="-273"/>
          <w:tab w:val="left" w:pos="-28"/>
          <w:tab w:val="left" w:pos="692"/>
          <w:tab w:val="left" w:pos="1412"/>
          <w:tab w:val="left" w:pos="2132"/>
          <w:tab w:val="left" w:pos="2852"/>
        </w:tabs>
        <w:suppressAutoHyphens/>
        <w:spacing w:after="120"/>
        <w:rPr>
          <w:rFonts w:cs="Arial"/>
          <w:b/>
          <w:color w:val="000000" w:themeColor="text1"/>
          <w:szCs w:val="20"/>
          <w:u w:val="single"/>
        </w:rPr>
      </w:pPr>
      <w:r w:rsidRPr="00E96181">
        <w:rPr>
          <w:rFonts w:cs="Arial"/>
          <w:color w:val="000000" w:themeColor="text1"/>
          <w:szCs w:val="20"/>
          <w:u w:val="single"/>
        </w:rPr>
        <w:t>Portfolio Construction</w:t>
      </w:r>
      <w:r w:rsidRPr="00E96181">
        <w:rPr>
          <w:rFonts w:cs="Arial"/>
          <w:color w:val="000000" w:themeColor="text1"/>
          <w:szCs w:val="20"/>
        </w:rPr>
        <w:t xml:space="preserve"> – </w:t>
      </w:r>
      <w:r w:rsidRPr="00E96181">
        <w:rPr>
          <w:rFonts w:cs="Arial"/>
          <w:noProof/>
          <w:color w:val="000000" w:themeColor="text1"/>
          <w:szCs w:val="20"/>
        </w:rPr>
        <w:t>CFG</w:t>
      </w:r>
      <w:r w:rsidRPr="00E96181">
        <w:rPr>
          <w:rFonts w:cs="Arial"/>
          <w:color w:val="000000" w:themeColor="text1"/>
          <w:szCs w:val="20"/>
        </w:rPr>
        <w:t xml:space="preserve"> will develop a portfolio for the Client that is intended to meet the stated goals and objectives of the Client. </w:t>
      </w:r>
    </w:p>
    <w:p w14:paraId="3722AC43" w14:textId="77777777" w:rsidR="002404C2" w:rsidRPr="00E96181" w:rsidRDefault="002404C2" w:rsidP="002404C2">
      <w:pPr>
        <w:numPr>
          <w:ilvl w:val="0"/>
          <w:numId w:val="3"/>
        </w:numPr>
        <w:tabs>
          <w:tab w:val="left" w:pos="-748"/>
          <w:tab w:val="left" w:pos="-273"/>
          <w:tab w:val="left" w:pos="-28"/>
          <w:tab w:val="left" w:pos="692"/>
          <w:tab w:val="left" w:pos="1412"/>
          <w:tab w:val="left" w:pos="2132"/>
          <w:tab w:val="left" w:pos="2852"/>
        </w:tabs>
        <w:suppressAutoHyphens/>
        <w:rPr>
          <w:rFonts w:cs="Arial"/>
          <w:color w:val="000000" w:themeColor="text1"/>
          <w:szCs w:val="20"/>
        </w:rPr>
      </w:pPr>
      <w:r w:rsidRPr="00E96181">
        <w:rPr>
          <w:rFonts w:cs="Arial"/>
          <w:color w:val="000000" w:themeColor="text1"/>
          <w:szCs w:val="20"/>
          <w:u w:val="single"/>
        </w:rPr>
        <w:t>Investment Management and Supervision</w:t>
      </w:r>
      <w:r w:rsidRPr="00E96181">
        <w:rPr>
          <w:rFonts w:cs="Arial"/>
          <w:color w:val="000000" w:themeColor="text1"/>
          <w:szCs w:val="20"/>
        </w:rPr>
        <w:t xml:space="preserve"> – </w:t>
      </w:r>
      <w:r w:rsidRPr="00E96181">
        <w:rPr>
          <w:rFonts w:cs="Arial"/>
          <w:noProof/>
          <w:color w:val="000000" w:themeColor="text1"/>
          <w:szCs w:val="20"/>
        </w:rPr>
        <w:t>CFG</w:t>
      </w:r>
      <w:r w:rsidRPr="00E96181">
        <w:rPr>
          <w:rFonts w:cs="Arial"/>
          <w:color w:val="000000" w:themeColor="text1"/>
          <w:szCs w:val="20"/>
        </w:rPr>
        <w:t xml:space="preserve"> will provide investment management and ongoing oversight of the Client’s investment portfolio. </w:t>
      </w:r>
      <w:r w:rsidRPr="00E96181">
        <w:rPr>
          <w:rFonts w:cs="Arial"/>
          <w:color w:val="000000" w:themeColor="text1"/>
          <w:szCs w:val="20"/>
        </w:rPr>
        <w:br/>
      </w:r>
    </w:p>
    <w:p w14:paraId="4837583C" w14:textId="77777777" w:rsidR="002404C2" w:rsidRPr="00E96181" w:rsidRDefault="002404C2" w:rsidP="002404C2">
      <w:pPr>
        <w:pStyle w:val="ADVSubheading"/>
        <w:rPr>
          <w:color w:val="000000" w:themeColor="text1"/>
        </w:rPr>
      </w:pPr>
      <w:bookmarkStart w:id="26" w:name="_Toc161575105"/>
      <w:bookmarkStart w:id="27" w:name="_Toc241118511"/>
      <w:bookmarkStart w:id="28" w:name="_Toc462744541"/>
      <w:bookmarkStart w:id="29" w:name="_Toc406665826"/>
      <w:r w:rsidRPr="00E96181">
        <w:rPr>
          <w:color w:val="000000" w:themeColor="text1"/>
        </w:rPr>
        <w:t>D.  Wrap Fee Programs</w:t>
      </w:r>
      <w:bookmarkEnd w:id="26"/>
      <w:bookmarkEnd w:id="27"/>
      <w:bookmarkEnd w:id="28"/>
      <w:bookmarkEnd w:id="29"/>
    </w:p>
    <w:p w14:paraId="0E40E418" w14:textId="77777777"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does not manage or place Client assets into a wrap fee program. Investment management services are provided directly by </w:t>
      </w:r>
      <w:r w:rsidRPr="00E96181">
        <w:rPr>
          <w:noProof/>
          <w:color w:val="000000" w:themeColor="text1"/>
        </w:rPr>
        <w:t>CFG</w:t>
      </w:r>
      <w:r w:rsidRPr="00E96181">
        <w:rPr>
          <w:color w:val="000000" w:themeColor="text1"/>
        </w:rPr>
        <w:t xml:space="preserve">. </w:t>
      </w:r>
    </w:p>
    <w:p w14:paraId="6A7B2E94" w14:textId="77777777" w:rsidR="002404C2" w:rsidRPr="00E96181" w:rsidRDefault="002404C2" w:rsidP="002404C2">
      <w:pPr>
        <w:rPr>
          <w:color w:val="000000" w:themeColor="text1"/>
        </w:rPr>
      </w:pPr>
    </w:p>
    <w:p w14:paraId="12B6D702" w14:textId="77777777" w:rsidR="002404C2" w:rsidRPr="00E96181" w:rsidRDefault="002404C2" w:rsidP="002404C2">
      <w:pPr>
        <w:pStyle w:val="ADVSubheading"/>
        <w:rPr>
          <w:color w:val="000000" w:themeColor="text1"/>
        </w:rPr>
      </w:pPr>
      <w:bookmarkStart w:id="30" w:name="_Toc161575106"/>
      <w:bookmarkStart w:id="31" w:name="_Toc241118512"/>
      <w:bookmarkStart w:id="32" w:name="_Toc462744542"/>
      <w:bookmarkStart w:id="33" w:name="_Toc406665827"/>
      <w:r w:rsidRPr="00E96181">
        <w:rPr>
          <w:color w:val="000000" w:themeColor="text1"/>
        </w:rPr>
        <w:t>E.  Assets Under Management</w:t>
      </w:r>
      <w:bookmarkEnd w:id="30"/>
      <w:bookmarkEnd w:id="31"/>
      <w:bookmarkEnd w:id="32"/>
      <w:bookmarkEnd w:id="33"/>
    </w:p>
    <w:p w14:paraId="0B632924" w14:textId="1EF37BD9" w:rsidR="002404C2" w:rsidRPr="00E96181" w:rsidRDefault="007044CD" w:rsidP="002404C2">
      <w:pPr>
        <w:rPr>
          <w:rFonts w:cs="Arial"/>
          <w:color w:val="000000" w:themeColor="text1"/>
          <w:szCs w:val="20"/>
        </w:rPr>
      </w:pPr>
      <w:r>
        <w:rPr>
          <w:rFonts w:cs="Arial"/>
          <w:noProof/>
          <w:color w:val="000000" w:themeColor="text1"/>
          <w:szCs w:val="20"/>
        </w:rPr>
        <w:t>As of May 15, 2019 CFG</w:t>
      </w:r>
      <w:r w:rsidRPr="00AB07A0">
        <w:rPr>
          <w:rFonts w:cs="Arial"/>
          <w:color w:val="000000" w:themeColor="text1"/>
          <w:szCs w:val="20"/>
        </w:rPr>
        <w:t xml:space="preserve"> </w:t>
      </w:r>
      <w:r w:rsidRPr="009C4191">
        <w:rPr>
          <w:rFonts w:cs="Arial"/>
          <w:color w:val="000000" w:themeColor="text1"/>
          <w:szCs w:val="20"/>
        </w:rPr>
        <w:t>manages approximately $</w:t>
      </w:r>
      <w:r>
        <w:rPr>
          <w:rFonts w:cs="Arial"/>
          <w:color w:val="000000" w:themeColor="text1"/>
          <w:szCs w:val="20"/>
        </w:rPr>
        <w:t>114,365,234</w:t>
      </w:r>
      <w:r w:rsidRPr="009C4191">
        <w:rPr>
          <w:rFonts w:cs="Arial"/>
          <w:color w:val="000000" w:themeColor="text1"/>
          <w:szCs w:val="20"/>
        </w:rPr>
        <w:t xml:space="preserve"> in Client assets, all of which are</w:t>
      </w:r>
      <w:r>
        <w:rPr>
          <w:rFonts w:cs="Arial"/>
          <w:color w:val="000000" w:themeColor="text1"/>
          <w:szCs w:val="20"/>
        </w:rPr>
        <w:t xml:space="preserve"> </w:t>
      </w:r>
      <w:r w:rsidRPr="009C4191">
        <w:rPr>
          <w:rFonts w:cs="Arial"/>
          <w:color w:val="000000" w:themeColor="text1"/>
          <w:szCs w:val="20"/>
        </w:rPr>
        <w:t>managed on a discretionary basis.</w:t>
      </w:r>
      <w:r w:rsidRPr="00AB07A0">
        <w:rPr>
          <w:rFonts w:cs="Arial"/>
          <w:color w:val="000000" w:themeColor="text1"/>
          <w:szCs w:val="20"/>
        </w:rPr>
        <w:t xml:space="preserve"> </w:t>
      </w:r>
      <w:r w:rsidR="002404C2" w:rsidRPr="00E96181">
        <w:rPr>
          <w:rFonts w:cs="Arial"/>
          <w:color w:val="000000" w:themeColor="text1"/>
          <w:szCs w:val="20"/>
        </w:rPr>
        <w:t>Clients may request more current information at any time by contacting the Advisor.</w:t>
      </w:r>
    </w:p>
    <w:p w14:paraId="762E1381" w14:textId="77777777" w:rsidR="002404C2" w:rsidRPr="00E96181" w:rsidRDefault="002404C2" w:rsidP="002404C2">
      <w:pPr>
        <w:tabs>
          <w:tab w:val="left" w:pos="-748"/>
          <w:tab w:val="left" w:pos="-273"/>
          <w:tab w:val="left" w:pos="-28"/>
          <w:tab w:val="left" w:pos="692"/>
          <w:tab w:val="left" w:pos="1412"/>
          <w:tab w:val="left" w:pos="2132"/>
          <w:tab w:val="left" w:pos="2852"/>
        </w:tabs>
        <w:suppressAutoHyphens/>
        <w:rPr>
          <w:rFonts w:ascii="Palatino" w:hAnsi="Palatino"/>
          <w:color w:val="000000" w:themeColor="text1"/>
          <w:szCs w:val="20"/>
        </w:rPr>
      </w:pPr>
    </w:p>
    <w:p w14:paraId="60AF3C5D" w14:textId="77777777" w:rsidR="002404C2" w:rsidRPr="00E96181" w:rsidRDefault="002404C2" w:rsidP="002404C2">
      <w:pPr>
        <w:pStyle w:val="ADVSectionHeader"/>
        <w:rPr>
          <w:color w:val="000000" w:themeColor="text1"/>
        </w:rPr>
      </w:pPr>
      <w:bookmarkStart w:id="34" w:name="_Toc161575107"/>
      <w:bookmarkStart w:id="35" w:name="_Toc241118513"/>
      <w:bookmarkStart w:id="36" w:name="_Toc462744543"/>
      <w:bookmarkStart w:id="37" w:name="_Toc406665828"/>
      <w:r w:rsidRPr="00E96181">
        <w:rPr>
          <w:color w:val="000000" w:themeColor="text1"/>
        </w:rPr>
        <w:t xml:space="preserve">Item 5 </w:t>
      </w:r>
      <w:r w:rsidRPr="00E96181">
        <w:rPr>
          <w:color w:val="000000" w:themeColor="text1"/>
          <w:sz w:val="20"/>
        </w:rPr>
        <w:t xml:space="preserve">– </w:t>
      </w:r>
      <w:r w:rsidRPr="00E96181">
        <w:rPr>
          <w:color w:val="000000" w:themeColor="text1"/>
        </w:rPr>
        <w:t>Fees and Compensation</w:t>
      </w:r>
      <w:bookmarkEnd w:id="34"/>
      <w:bookmarkEnd w:id="35"/>
      <w:bookmarkEnd w:id="36"/>
      <w:bookmarkEnd w:id="37"/>
    </w:p>
    <w:p w14:paraId="3DABA968" w14:textId="77777777" w:rsidR="002404C2" w:rsidRPr="00E96181" w:rsidRDefault="002404C2" w:rsidP="002404C2">
      <w:pPr>
        <w:pBdr>
          <w:top w:val="single" w:sz="6" w:space="1" w:color="244061"/>
        </w:pBdr>
        <w:spacing w:line="120" w:lineRule="exact"/>
        <w:rPr>
          <w:rFonts w:cs="Arial"/>
          <w:color w:val="000000" w:themeColor="text1"/>
          <w:szCs w:val="20"/>
        </w:rPr>
      </w:pPr>
    </w:p>
    <w:p w14:paraId="7D8ECAA7" w14:textId="77777777" w:rsidR="002404C2" w:rsidRPr="00E96181" w:rsidRDefault="002404C2" w:rsidP="002404C2">
      <w:pPr>
        <w:rPr>
          <w:color w:val="000000" w:themeColor="text1"/>
        </w:rPr>
      </w:pPr>
      <w:r w:rsidRPr="00E96181">
        <w:rPr>
          <w:color w:val="000000" w:themeColor="text1"/>
        </w:rPr>
        <w:t>The following paragraphs detail the fee structure and compensation methodology for services provided by the Advisor. Each Client engaging the Advisor for services described herein shall be required to enter into a written agreement with the Advisor.</w:t>
      </w:r>
    </w:p>
    <w:p w14:paraId="6A015AA2" w14:textId="77777777" w:rsidR="002404C2" w:rsidRPr="00E96181" w:rsidRDefault="002404C2" w:rsidP="002404C2">
      <w:pPr>
        <w:tabs>
          <w:tab w:val="left" w:pos="-748"/>
          <w:tab w:val="left" w:pos="-273"/>
          <w:tab w:val="left" w:pos="-28"/>
          <w:tab w:val="left" w:pos="692"/>
          <w:tab w:val="left" w:pos="1412"/>
          <w:tab w:val="left" w:pos="2132"/>
          <w:tab w:val="left" w:pos="2852"/>
        </w:tabs>
        <w:suppressAutoHyphens/>
        <w:rPr>
          <w:rFonts w:cs="Arial"/>
          <w:b/>
          <w:color w:val="000000" w:themeColor="text1"/>
          <w:szCs w:val="20"/>
        </w:rPr>
      </w:pPr>
    </w:p>
    <w:p w14:paraId="50FEDD54" w14:textId="77777777" w:rsidR="002404C2" w:rsidRPr="00E96181" w:rsidRDefault="002404C2" w:rsidP="002404C2">
      <w:pPr>
        <w:pStyle w:val="ADVSubheading"/>
        <w:rPr>
          <w:color w:val="000000" w:themeColor="text1"/>
        </w:rPr>
      </w:pPr>
      <w:bookmarkStart w:id="38" w:name="_Toc161575108"/>
      <w:bookmarkStart w:id="39" w:name="_Toc241118514"/>
      <w:bookmarkStart w:id="40" w:name="_Toc462744544"/>
      <w:bookmarkStart w:id="41" w:name="_Toc406665829"/>
      <w:r w:rsidRPr="00E96181">
        <w:rPr>
          <w:color w:val="000000" w:themeColor="text1"/>
        </w:rPr>
        <w:t>A.  Fees for Advisory Services</w:t>
      </w:r>
      <w:bookmarkEnd w:id="38"/>
      <w:bookmarkEnd w:id="39"/>
      <w:bookmarkEnd w:id="40"/>
      <w:bookmarkEnd w:id="41"/>
    </w:p>
    <w:p w14:paraId="61926352" w14:textId="5E8C1ED4" w:rsidR="002404C2" w:rsidRPr="00E96181" w:rsidRDefault="002404C2" w:rsidP="002404C2">
      <w:pPr>
        <w:rPr>
          <w:rFonts w:cs="Arial"/>
          <w:color w:val="000000" w:themeColor="text1"/>
          <w:spacing w:val="-2"/>
        </w:rPr>
      </w:pPr>
      <w:r w:rsidRPr="00E96181">
        <w:rPr>
          <w:rFonts w:cs="Arial"/>
          <w:color w:val="000000" w:themeColor="text1"/>
          <w:spacing w:val="-2"/>
        </w:rPr>
        <w:t xml:space="preserve">Investment advisory fees are paid </w:t>
      </w:r>
      <w:r w:rsidRPr="00E96181">
        <w:rPr>
          <w:rFonts w:cs="Arial"/>
          <w:noProof/>
          <w:color w:val="000000" w:themeColor="text1"/>
          <w:spacing w:val="-2"/>
        </w:rPr>
        <w:t>monthly,</w:t>
      </w:r>
      <w:r w:rsidRPr="00E96181">
        <w:rPr>
          <w:rFonts w:cs="Arial"/>
          <w:color w:val="000000" w:themeColor="text1"/>
          <w:spacing w:val="-2"/>
        </w:rPr>
        <w:t xml:space="preserve"> in </w:t>
      </w:r>
      <w:r w:rsidRPr="00E96181">
        <w:rPr>
          <w:rFonts w:cs="Arial"/>
          <w:noProof/>
          <w:color w:val="000000" w:themeColor="text1"/>
          <w:spacing w:val="-2"/>
        </w:rPr>
        <w:t>arrears</w:t>
      </w:r>
      <w:r w:rsidRPr="00E96181">
        <w:rPr>
          <w:rFonts w:cs="Arial"/>
          <w:color w:val="000000" w:themeColor="text1"/>
          <w:spacing w:val="-2"/>
        </w:rPr>
        <w:t xml:space="preserve">, pursuant to the terms of the agreement. Investment advisory fees are based on the market value of assets under management at the end of the calendar </w:t>
      </w:r>
      <w:r w:rsidRPr="00E96181">
        <w:rPr>
          <w:rFonts w:cs="Arial"/>
          <w:noProof/>
          <w:color w:val="000000" w:themeColor="text1"/>
          <w:spacing w:val="-2"/>
        </w:rPr>
        <w:t>month</w:t>
      </w:r>
      <w:r w:rsidRPr="00E96181">
        <w:rPr>
          <w:rFonts w:cs="Arial"/>
          <w:color w:val="000000" w:themeColor="text1"/>
          <w:spacing w:val="-2"/>
        </w:rPr>
        <w:t xml:space="preserve">. Investment advisory fees range from </w:t>
      </w:r>
      <w:r w:rsidRPr="00E96181">
        <w:rPr>
          <w:rFonts w:cs="Arial"/>
          <w:noProof/>
          <w:color w:val="000000" w:themeColor="text1"/>
          <w:spacing w:val="-2"/>
        </w:rPr>
        <w:t>0.25%</w:t>
      </w:r>
      <w:r w:rsidRPr="00E96181">
        <w:rPr>
          <w:rFonts w:cs="Arial"/>
          <w:color w:val="000000" w:themeColor="text1"/>
          <w:spacing w:val="-2"/>
        </w:rPr>
        <w:t xml:space="preserve"> to </w:t>
      </w:r>
      <w:r w:rsidRPr="00E96181">
        <w:rPr>
          <w:rFonts w:cs="Arial"/>
          <w:noProof/>
          <w:color w:val="000000" w:themeColor="text1"/>
          <w:spacing w:val="-2"/>
        </w:rPr>
        <w:t>1.00%</w:t>
      </w:r>
      <w:r w:rsidRPr="00E96181">
        <w:rPr>
          <w:rFonts w:cs="Arial"/>
          <w:color w:val="000000" w:themeColor="text1"/>
          <w:spacing w:val="-2"/>
        </w:rPr>
        <w:t xml:space="preserve"> annually based on several factors, including: the complexity of the services to be provided, the level of assets to be managed, and the overall relationship with the Advisor. Relationships with multiple objectives, specific reporting requirements, portfolio restrictions and other complexities may be charged a higher fee. </w:t>
      </w:r>
    </w:p>
    <w:p w14:paraId="47F91DDA" w14:textId="77777777" w:rsidR="002404C2" w:rsidRPr="00E96181" w:rsidRDefault="002404C2" w:rsidP="002404C2">
      <w:pPr>
        <w:rPr>
          <w:rFonts w:cs="Arial"/>
          <w:color w:val="000000" w:themeColor="text1"/>
          <w:spacing w:val="-2"/>
        </w:rPr>
      </w:pPr>
    </w:p>
    <w:p w14:paraId="3AFAFE9A" w14:textId="77777777" w:rsidR="002404C2" w:rsidRPr="00E96181" w:rsidRDefault="002404C2" w:rsidP="002404C2">
      <w:pPr>
        <w:rPr>
          <w:rFonts w:cs="Arial"/>
          <w:color w:val="000000" w:themeColor="text1"/>
          <w:spacing w:val="-2"/>
        </w:rPr>
      </w:pPr>
      <w:r w:rsidRPr="00E96181">
        <w:rPr>
          <w:rFonts w:cs="Arial"/>
          <w:color w:val="000000" w:themeColor="text1"/>
          <w:spacing w:val="-2"/>
        </w:rPr>
        <w:t xml:space="preserve">The investment advisory fee in the first </w:t>
      </w:r>
      <w:r w:rsidRPr="00E96181">
        <w:rPr>
          <w:rFonts w:cs="Arial"/>
          <w:noProof/>
          <w:color w:val="000000" w:themeColor="text1"/>
          <w:spacing w:val="-2"/>
        </w:rPr>
        <w:t>month</w:t>
      </w:r>
      <w:r w:rsidRPr="00E96181">
        <w:rPr>
          <w:rFonts w:cs="Arial"/>
          <w:color w:val="000000" w:themeColor="text1"/>
          <w:spacing w:val="-2"/>
        </w:rPr>
        <w:t xml:space="preserve"> of service is prorated from the inception date of the account[s] to the end of the first </w:t>
      </w:r>
      <w:r w:rsidRPr="00E96181">
        <w:rPr>
          <w:rFonts w:cs="Arial"/>
          <w:noProof/>
          <w:color w:val="000000" w:themeColor="text1"/>
          <w:spacing w:val="-2"/>
        </w:rPr>
        <w:t>month</w:t>
      </w:r>
      <w:r w:rsidRPr="00E96181">
        <w:rPr>
          <w:rFonts w:cs="Arial"/>
          <w:color w:val="000000" w:themeColor="text1"/>
          <w:spacing w:val="-2"/>
        </w:rPr>
        <w:t>. Fees may be negotiable at the</w:t>
      </w:r>
      <w:r w:rsidR="00EE65C1" w:rsidRPr="00E96181">
        <w:rPr>
          <w:rFonts w:cs="Arial"/>
          <w:color w:val="000000" w:themeColor="text1"/>
          <w:spacing w:val="-2"/>
        </w:rPr>
        <w:t xml:space="preserve"> sole</w:t>
      </w:r>
      <w:r w:rsidRPr="00E96181">
        <w:rPr>
          <w:rFonts w:cs="Arial"/>
          <w:color w:val="000000" w:themeColor="text1"/>
          <w:spacing w:val="-2"/>
        </w:rPr>
        <w:t xml:space="preserve"> discretion of the Advisor. The Client’s fees will take into consideration the aggregate assets under management with Advisor. All securities held in accounts managed by </w:t>
      </w:r>
      <w:r w:rsidRPr="00E96181">
        <w:rPr>
          <w:rFonts w:cs="Arial"/>
          <w:noProof/>
          <w:color w:val="000000" w:themeColor="text1"/>
          <w:szCs w:val="20"/>
        </w:rPr>
        <w:t>CFG</w:t>
      </w:r>
      <w:r w:rsidRPr="00E96181">
        <w:rPr>
          <w:rFonts w:cs="Arial"/>
          <w:color w:val="000000" w:themeColor="text1"/>
          <w:spacing w:val="-2"/>
        </w:rPr>
        <w:t xml:space="preserve"> will be independently valued by the designated Custodian. </w:t>
      </w:r>
      <w:r w:rsidRPr="00E96181">
        <w:rPr>
          <w:rFonts w:cs="Arial"/>
          <w:noProof/>
          <w:color w:val="000000" w:themeColor="text1"/>
          <w:szCs w:val="20"/>
        </w:rPr>
        <w:t>CFG</w:t>
      </w:r>
      <w:r w:rsidRPr="00E96181">
        <w:rPr>
          <w:rFonts w:cs="Arial"/>
          <w:color w:val="000000" w:themeColor="text1"/>
          <w:spacing w:val="-2"/>
        </w:rPr>
        <w:t xml:space="preserve"> will not have the authority or responsibility to value portfolio securities. </w:t>
      </w:r>
    </w:p>
    <w:p w14:paraId="4A061B95" w14:textId="77777777" w:rsidR="002404C2" w:rsidRPr="00E96181" w:rsidRDefault="002404C2" w:rsidP="002404C2">
      <w:pPr>
        <w:rPr>
          <w:rFonts w:cs="Arial"/>
          <w:color w:val="000000" w:themeColor="text1"/>
          <w:spacing w:val="-2"/>
        </w:rPr>
      </w:pPr>
    </w:p>
    <w:p w14:paraId="675D0176" w14:textId="77777777" w:rsidR="002404C2" w:rsidRPr="00E96181" w:rsidRDefault="002404C2" w:rsidP="002404C2">
      <w:pPr>
        <w:rPr>
          <w:rFonts w:cs="Arial"/>
          <w:color w:val="000000" w:themeColor="text1"/>
          <w:spacing w:val="-2"/>
        </w:rPr>
      </w:pPr>
      <w:r w:rsidRPr="00E96181">
        <w:rPr>
          <w:rFonts w:cs="Arial"/>
          <w:color w:val="000000" w:themeColor="text1"/>
          <w:spacing w:val="-2"/>
        </w:rPr>
        <w:t>The Advisor’s fee is exclusive of, and in addition to, brokerage fees, transaction fees, and other related costs and expenses, which may be incurred by the Client. However, the Advisor shall not receive any portion of these commissions, fees, and costs.</w:t>
      </w:r>
    </w:p>
    <w:p w14:paraId="760E0001" w14:textId="77777777" w:rsidR="002404C2" w:rsidRPr="00E96181" w:rsidRDefault="002404C2" w:rsidP="002404C2">
      <w:pPr>
        <w:rPr>
          <w:color w:val="000000" w:themeColor="text1"/>
        </w:rPr>
      </w:pPr>
    </w:p>
    <w:p w14:paraId="12231509" w14:textId="77777777" w:rsidR="002404C2" w:rsidRPr="00E96181" w:rsidRDefault="002404C2" w:rsidP="002404C2">
      <w:pPr>
        <w:pStyle w:val="ADVSubheading"/>
        <w:rPr>
          <w:color w:val="000000" w:themeColor="text1"/>
        </w:rPr>
      </w:pPr>
      <w:bookmarkStart w:id="42" w:name="_Toc161575109"/>
      <w:bookmarkStart w:id="43" w:name="_Toc241118515"/>
      <w:bookmarkStart w:id="44" w:name="_Toc462744545"/>
      <w:bookmarkStart w:id="45" w:name="_Toc406665830"/>
      <w:r w:rsidRPr="00E96181">
        <w:rPr>
          <w:color w:val="000000" w:themeColor="text1"/>
        </w:rPr>
        <w:t>B.  Fee Billing</w:t>
      </w:r>
      <w:bookmarkEnd w:id="42"/>
      <w:bookmarkEnd w:id="43"/>
      <w:bookmarkEnd w:id="44"/>
      <w:bookmarkEnd w:id="45"/>
    </w:p>
    <w:p w14:paraId="55BBF72D" w14:textId="77777777" w:rsidR="002404C2" w:rsidRPr="00E96181" w:rsidRDefault="002404C2" w:rsidP="002404C2">
      <w:pPr>
        <w:rPr>
          <w:rFonts w:cs="Arial"/>
          <w:color w:val="000000" w:themeColor="text1"/>
          <w:spacing w:val="-2"/>
        </w:rPr>
      </w:pPr>
      <w:r w:rsidRPr="00E96181">
        <w:rPr>
          <w:rFonts w:cs="Arial"/>
          <w:color w:val="000000" w:themeColor="text1"/>
          <w:spacing w:val="-2"/>
        </w:rPr>
        <w:t xml:space="preserve">Investment advisory fees are calculated by the Advisor or its delegate and deducted from the Client’s account[s] at the Custodian. The Advisor shall send an invoice to the Custodian indicating the amount of the fees to be deducted from the Client’s account[s] at the respective </w:t>
      </w:r>
      <w:r w:rsidRPr="00E96181">
        <w:rPr>
          <w:rFonts w:cs="Arial"/>
          <w:noProof/>
          <w:color w:val="000000" w:themeColor="text1"/>
          <w:spacing w:val="-2"/>
        </w:rPr>
        <w:t>month</w:t>
      </w:r>
      <w:r w:rsidRPr="00E96181">
        <w:rPr>
          <w:rFonts w:cs="Arial"/>
          <w:color w:val="000000" w:themeColor="text1"/>
          <w:spacing w:val="-2"/>
        </w:rPr>
        <w:t xml:space="preserve"> end date. The amount due is calculated by applying the </w:t>
      </w:r>
      <w:r w:rsidRPr="00E96181">
        <w:rPr>
          <w:rFonts w:cs="Arial"/>
          <w:noProof/>
          <w:color w:val="000000" w:themeColor="text1"/>
          <w:spacing w:val="-2"/>
        </w:rPr>
        <w:t>monthly</w:t>
      </w:r>
      <w:r w:rsidR="00EE65C1" w:rsidRPr="00E96181">
        <w:rPr>
          <w:rFonts w:cs="Arial"/>
          <w:color w:val="000000" w:themeColor="text1"/>
          <w:spacing w:val="-2"/>
        </w:rPr>
        <w:t xml:space="preserve"> rate (annual rate divided by </w:t>
      </w:r>
      <w:r w:rsidRPr="00106B54">
        <w:rPr>
          <w:rFonts w:cs="Arial"/>
          <w:color w:val="000000" w:themeColor="text1"/>
          <w:spacing w:val="-2"/>
        </w:rPr>
        <w:t>12</w:t>
      </w:r>
      <w:r w:rsidRPr="00E96181">
        <w:rPr>
          <w:rFonts w:cs="Arial"/>
          <w:color w:val="000000" w:themeColor="text1"/>
          <w:spacing w:val="-2"/>
        </w:rPr>
        <w:t xml:space="preserve">) to the total assets under management with </w:t>
      </w:r>
      <w:r w:rsidRPr="00E96181">
        <w:rPr>
          <w:rFonts w:cs="Arial"/>
          <w:noProof/>
          <w:color w:val="000000" w:themeColor="text1"/>
          <w:szCs w:val="20"/>
        </w:rPr>
        <w:t>CFG</w:t>
      </w:r>
      <w:r w:rsidRPr="00E96181">
        <w:rPr>
          <w:rFonts w:cs="Arial"/>
          <w:color w:val="000000" w:themeColor="text1"/>
          <w:spacing w:val="-2"/>
        </w:rPr>
        <w:t xml:space="preserve"> at the end of </w:t>
      </w:r>
      <w:r w:rsidR="00EE65C1" w:rsidRPr="00106B54">
        <w:rPr>
          <w:rFonts w:cs="Arial"/>
          <w:color w:val="000000" w:themeColor="text1"/>
          <w:spacing w:val="-2"/>
        </w:rPr>
        <w:t>each</w:t>
      </w:r>
      <w:r w:rsidRPr="00E96181">
        <w:rPr>
          <w:rFonts w:cs="Arial"/>
          <w:color w:val="000000" w:themeColor="text1"/>
          <w:spacing w:val="-2"/>
        </w:rPr>
        <w:t xml:space="preserve"> </w:t>
      </w:r>
      <w:r w:rsidRPr="00E96181">
        <w:rPr>
          <w:rFonts w:cs="Arial"/>
          <w:noProof/>
          <w:color w:val="000000" w:themeColor="text1"/>
          <w:spacing w:val="-2"/>
        </w:rPr>
        <w:t>month</w:t>
      </w:r>
      <w:r w:rsidRPr="00E96181">
        <w:rPr>
          <w:rFonts w:cs="Arial"/>
          <w:color w:val="000000" w:themeColor="text1"/>
          <w:spacing w:val="-2"/>
        </w:rPr>
        <w:t xml:space="preserve">. Clients will be provided with a statement, at least quarterly, from the Custodian reflecting deduction of the </w:t>
      </w:r>
      <w:r w:rsidRPr="00E96181">
        <w:rPr>
          <w:rFonts w:cs="Arial"/>
          <w:color w:val="000000" w:themeColor="text1"/>
          <w:spacing w:val="-2"/>
        </w:rPr>
        <w:lastRenderedPageBreak/>
        <w:t xml:space="preserve">investment advisory fee. It is the responsibility of the Client to verify the accuracy of these fees as listed on the Custodian’s brokerage statement as the Custodian does not assume this responsibility. Clients provide written authorization permitting </w:t>
      </w:r>
      <w:r w:rsidRPr="00E96181">
        <w:rPr>
          <w:rFonts w:cs="Arial"/>
          <w:noProof/>
          <w:color w:val="000000" w:themeColor="text1"/>
          <w:szCs w:val="20"/>
        </w:rPr>
        <w:t>CFG</w:t>
      </w:r>
      <w:r w:rsidRPr="00E96181">
        <w:rPr>
          <w:rFonts w:cs="Arial"/>
          <w:color w:val="000000" w:themeColor="text1"/>
          <w:spacing w:val="-2"/>
        </w:rPr>
        <w:t xml:space="preserve"> to be paid directly from their account[s] held by the Custodian as part of the investment advisory agreement and separate account forms provided by the Custodian.</w:t>
      </w:r>
    </w:p>
    <w:p w14:paraId="06AE306D" w14:textId="77777777" w:rsidR="002404C2" w:rsidRPr="00E96181" w:rsidRDefault="002404C2" w:rsidP="002404C2">
      <w:pPr>
        <w:rPr>
          <w:rFonts w:cs="Arial"/>
          <w:color w:val="000000" w:themeColor="text1"/>
          <w:spacing w:val="-2"/>
        </w:rPr>
      </w:pPr>
    </w:p>
    <w:p w14:paraId="63847DF1" w14:textId="77777777" w:rsidR="002404C2" w:rsidRPr="00E96181" w:rsidRDefault="002404C2" w:rsidP="002404C2">
      <w:pPr>
        <w:pStyle w:val="ADVSubheading"/>
        <w:rPr>
          <w:color w:val="000000" w:themeColor="text1"/>
          <w:spacing w:val="-2"/>
        </w:rPr>
      </w:pPr>
      <w:bookmarkStart w:id="46" w:name="_Toc161575110"/>
      <w:bookmarkStart w:id="47" w:name="_Toc241118516"/>
      <w:bookmarkStart w:id="48" w:name="_Toc462744546"/>
      <w:bookmarkStart w:id="49" w:name="_Toc406665831"/>
      <w:r w:rsidRPr="00E96181">
        <w:rPr>
          <w:color w:val="000000" w:themeColor="text1"/>
        </w:rPr>
        <w:t>C.  Other Fees and Expenses</w:t>
      </w:r>
      <w:bookmarkEnd w:id="46"/>
      <w:bookmarkEnd w:id="47"/>
      <w:bookmarkEnd w:id="48"/>
      <w:bookmarkEnd w:id="49"/>
    </w:p>
    <w:p w14:paraId="6CE0772A" w14:textId="24F9F5CC" w:rsidR="002404C2" w:rsidRPr="00E96181" w:rsidRDefault="002404C2" w:rsidP="002404C2">
      <w:pPr>
        <w:rPr>
          <w:color w:val="000000" w:themeColor="text1"/>
        </w:rPr>
      </w:pPr>
      <w:r w:rsidRPr="00E96181">
        <w:rPr>
          <w:color w:val="000000" w:themeColor="text1"/>
        </w:rPr>
        <w:t xml:space="preserve">Clients may incur certain fees or charges imposed by third parties, other than </w:t>
      </w:r>
      <w:r w:rsidRPr="00E96181">
        <w:rPr>
          <w:noProof/>
          <w:color w:val="000000" w:themeColor="text1"/>
          <w:szCs w:val="20"/>
        </w:rPr>
        <w:t>CFG</w:t>
      </w:r>
      <w:r w:rsidRPr="00E96181">
        <w:rPr>
          <w:color w:val="000000" w:themeColor="text1"/>
        </w:rPr>
        <w:t xml:space="preserve">, in connection with investments made on behalf of the Client’s account[s]. The Client is responsible for all custody and securities execution fees charged by the Custodian. The fees charged by </w:t>
      </w:r>
      <w:r w:rsidRPr="00E96181">
        <w:rPr>
          <w:noProof/>
          <w:color w:val="000000" w:themeColor="text1"/>
          <w:szCs w:val="20"/>
        </w:rPr>
        <w:t>CFG</w:t>
      </w:r>
      <w:r w:rsidRPr="00E96181">
        <w:rPr>
          <w:color w:val="000000" w:themeColor="text1"/>
        </w:rPr>
        <w:t xml:space="preserve"> are separate and distinct from these custod</w:t>
      </w:r>
      <w:r w:rsidR="00EE65C1" w:rsidRPr="00E96181">
        <w:rPr>
          <w:color w:val="000000" w:themeColor="text1"/>
        </w:rPr>
        <w:t>y</w:t>
      </w:r>
      <w:r w:rsidRPr="00E96181">
        <w:rPr>
          <w:color w:val="000000" w:themeColor="text1"/>
        </w:rPr>
        <w:t xml:space="preserve"> and execution fees. </w:t>
      </w:r>
    </w:p>
    <w:p w14:paraId="7A4886AF" w14:textId="77777777" w:rsidR="002404C2" w:rsidRPr="00E96181" w:rsidRDefault="002404C2" w:rsidP="002404C2">
      <w:pPr>
        <w:rPr>
          <w:color w:val="000000" w:themeColor="text1"/>
        </w:rPr>
      </w:pPr>
    </w:p>
    <w:p w14:paraId="4B63CE4D" w14:textId="3FBCF3C5" w:rsidR="002404C2" w:rsidRPr="00E96181" w:rsidRDefault="002404C2" w:rsidP="002404C2">
      <w:pPr>
        <w:rPr>
          <w:color w:val="000000" w:themeColor="text1"/>
        </w:rPr>
      </w:pPr>
      <w:r w:rsidRPr="00E96181">
        <w:rPr>
          <w:color w:val="000000" w:themeColor="text1"/>
        </w:rPr>
        <w:t xml:space="preserve">In addition, all fees paid to </w:t>
      </w:r>
      <w:r w:rsidRPr="00E96181">
        <w:rPr>
          <w:noProof/>
          <w:color w:val="000000" w:themeColor="text1"/>
          <w:szCs w:val="20"/>
        </w:rPr>
        <w:t>CFG</w:t>
      </w:r>
      <w:r w:rsidRPr="00E96181">
        <w:rPr>
          <w:color w:val="000000" w:themeColor="text1"/>
        </w:rPr>
        <w:t xml:space="preserve"> for investment advisory services are separate and distinct from the expenses charged by mutual funds and exchange-traded funds to their shareholders, if applicable. These fees and expenses are described in each fund’s prospectus. These fees and expenses will generally be used to pay management fees for the funds, other fund expenses, account administration (e.g., custody, brokerage and account reporting), and a possible distribution fee. A Client could invest in these products directly, without the services of </w:t>
      </w:r>
      <w:r w:rsidRPr="00E96181">
        <w:rPr>
          <w:noProof/>
          <w:color w:val="000000" w:themeColor="text1"/>
          <w:szCs w:val="20"/>
        </w:rPr>
        <w:t>CFG</w:t>
      </w:r>
      <w:r w:rsidRPr="00E96181">
        <w:rPr>
          <w:color w:val="000000" w:themeColor="text1"/>
        </w:rPr>
        <w:t xml:space="preserve">, but would not receive the services provided by </w:t>
      </w:r>
      <w:r w:rsidRPr="00E96181">
        <w:rPr>
          <w:noProof/>
          <w:color w:val="000000" w:themeColor="text1"/>
          <w:szCs w:val="20"/>
        </w:rPr>
        <w:t>CFG</w:t>
      </w:r>
      <w:r w:rsidRPr="00E96181">
        <w:rPr>
          <w:color w:val="000000" w:themeColor="text1"/>
        </w:rPr>
        <w:t xml:space="preserve"> which are designed, among other things, to assist the Client in determining which products or services are most appropriate for each Client’s financial situation and objectives. Accordingly, the Client should review both the fees charged by the fund[s] and the fees charged by </w:t>
      </w:r>
      <w:r w:rsidRPr="00E96181">
        <w:rPr>
          <w:noProof/>
          <w:color w:val="000000" w:themeColor="text1"/>
          <w:szCs w:val="20"/>
        </w:rPr>
        <w:t>CFG</w:t>
      </w:r>
      <w:r w:rsidRPr="00E96181">
        <w:rPr>
          <w:color w:val="000000" w:themeColor="text1"/>
        </w:rPr>
        <w:t xml:space="preserve"> to fully understand the total fees to be paid. Please refer to Item 12 – Brokerage Practices for additional information. </w:t>
      </w:r>
    </w:p>
    <w:p w14:paraId="4EEE3B03" w14:textId="77777777" w:rsidR="002404C2" w:rsidRPr="00E96181" w:rsidRDefault="002404C2" w:rsidP="002404C2">
      <w:pPr>
        <w:rPr>
          <w:color w:val="000000" w:themeColor="text1"/>
          <w:szCs w:val="20"/>
        </w:rPr>
      </w:pPr>
    </w:p>
    <w:p w14:paraId="245AB02B" w14:textId="77777777" w:rsidR="002404C2" w:rsidRPr="00E96181" w:rsidRDefault="002404C2" w:rsidP="002404C2">
      <w:pPr>
        <w:pStyle w:val="ADVSubheading"/>
        <w:rPr>
          <w:color w:val="000000" w:themeColor="text1"/>
        </w:rPr>
      </w:pPr>
      <w:bookmarkStart w:id="50" w:name="_Toc161575111"/>
      <w:bookmarkStart w:id="51" w:name="_Toc241118517"/>
      <w:bookmarkStart w:id="52" w:name="_Toc462744547"/>
      <w:bookmarkStart w:id="53" w:name="_Toc406665832"/>
      <w:r w:rsidRPr="00E96181">
        <w:rPr>
          <w:color w:val="000000" w:themeColor="text1"/>
        </w:rPr>
        <w:t>D.  Advance Payment of Fees and Termination</w:t>
      </w:r>
      <w:bookmarkEnd w:id="50"/>
      <w:bookmarkEnd w:id="51"/>
      <w:bookmarkEnd w:id="52"/>
      <w:bookmarkEnd w:id="53"/>
    </w:p>
    <w:p w14:paraId="1933DFE9" w14:textId="1F30C636" w:rsidR="002404C2" w:rsidRPr="00E96181" w:rsidRDefault="002404C2" w:rsidP="002404C2">
      <w:pPr>
        <w:rPr>
          <w:rFonts w:cs="Arial"/>
          <w:color w:val="000000" w:themeColor="text1"/>
          <w:spacing w:val="-2"/>
        </w:rPr>
      </w:pPr>
      <w:r w:rsidRPr="00E96181">
        <w:rPr>
          <w:rFonts w:cs="Arial"/>
          <w:noProof/>
          <w:color w:val="000000" w:themeColor="text1"/>
          <w:szCs w:val="20"/>
        </w:rPr>
        <w:t>CFG</w:t>
      </w:r>
      <w:r w:rsidRPr="00E96181">
        <w:rPr>
          <w:rFonts w:cs="Arial"/>
          <w:color w:val="000000" w:themeColor="text1"/>
          <w:spacing w:val="-2"/>
        </w:rPr>
        <w:t xml:space="preserve"> is compensated for its services </w:t>
      </w:r>
      <w:r w:rsidRPr="00106B54">
        <w:rPr>
          <w:rFonts w:cs="Arial"/>
          <w:color w:val="000000" w:themeColor="text1"/>
          <w:spacing w:val="-2"/>
        </w:rPr>
        <w:t xml:space="preserve">at the end of the </w:t>
      </w:r>
      <w:r w:rsidRPr="00E96181">
        <w:rPr>
          <w:rFonts w:cs="Arial"/>
          <w:noProof/>
          <w:color w:val="000000" w:themeColor="text1"/>
          <w:spacing w:val="-2"/>
        </w:rPr>
        <w:t>month</w:t>
      </w:r>
      <w:r w:rsidRPr="00E96181">
        <w:rPr>
          <w:rFonts w:cs="Arial"/>
          <w:color w:val="000000" w:themeColor="text1"/>
          <w:spacing w:val="-2"/>
        </w:rPr>
        <w:t xml:space="preserve"> after investment advisory services are rendered. Either party may terminate the investment advisory agreement, at any time, by providing advance written notice to the other party. The Client may</w:t>
      </w:r>
      <w:r w:rsidR="00EE65C1" w:rsidRPr="00E96181">
        <w:rPr>
          <w:rFonts w:cs="Arial"/>
          <w:color w:val="000000" w:themeColor="text1"/>
          <w:spacing w:val="-2"/>
        </w:rPr>
        <w:t xml:space="preserve"> also</w:t>
      </w:r>
      <w:r w:rsidRPr="00E96181">
        <w:rPr>
          <w:rFonts w:cs="Arial"/>
          <w:color w:val="000000" w:themeColor="text1"/>
          <w:spacing w:val="-2"/>
        </w:rPr>
        <w:t xml:space="preserve"> terminate the investment advisory agreement within five (5) business days of signing the Advisor’s agreement at no cost to the Client. After the five-day period, the Client will incur charges for bona fide advisory services rendered to the point of termination and such fees will be due and payable by the Client. The Client’s investment advisory agreement with the Advisor is non-transferable without the Client’s prior </w:t>
      </w:r>
      <w:r w:rsidR="00EE65C1" w:rsidRPr="00E96181">
        <w:rPr>
          <w:rFonts w:cs="Arial"/>
          <w:color w:val="000000" w:themeColor="text1"/>
          <w:spacing w:val="-2"/>
        </w:rPr>
        <w:t>consent</w:t>
      </w:r>
      <w:r w:rsidRPr="00E96181">
        <w:rPr>
          <w:rFonts w:cs="Arial"/>
          <w:color w:val="000000" w:themeColor="text1"/>
          <w:spacing w:val="-2"/>
        </w:rPr>
        <w:t>.</w:t>
      </w:r>
    </w:p>
    <w:p w14:paraId="7621A769" w14:textId="77777777" w:rsidR="002404C2" w:rsidRPr="00E96181" w:rsidRDefault="002404C2" w:rsidP="002404C2">
      <w:pPr>
        <w:rPr>
          <w:rFonts w:cs="Arial"/>
          <w:color w:val="000000" w:themeColor="text1"/>
          <w:spacing w:val="-2"/>
        </w:rPr>
      </w:pPr>
    </w:p>
    <w:p w14:paraId="04206913" w14:textId="77777777" w:rsidR="002404C2" w:rsidRPr="00E96181" w:rsidRDefault="002404C2" w:rsidP="002404C2">
      <w:pPr>
        <w:pStyle w:val="ADVSubheading"/>
        <w:rPr>
          <w:color w:val="000000" w:themeColor="text1"/>
        </w:rPr>
      </w:pPr>
      <w:bookmarkStart w:id="54" w:name="_Toc161575112"/>
      <w:bookmarkStart w:id="55" w:name="_Toc241118518"/>
      <w:bookmarkStart w:id="56" w:name="_Toc462744548"/>
      <w:bookmarkStart w:id="57" w:name="_Toc406665833"/>
      <w:r w:rsidRPr="00E96181">
        <w:rPr>
          <w:color w:val="000000" w:themeColor="text1"/>
        </w:rPr>
        <w:t>E.  Compensation for Sales of Securities</w:t>
      </w:r>
      <w:bookmarkEnd w:id="54"/>
      <w:bookmarkEnd w:id="55"/>
      <w:bookmarkEnd w:id="56"/>
      <w:bookmarkEnd w:id="57"/>
    </w:p>
    <w:p w14:paraId="6A6BB02D" w14:textId="77777777" w:rsidR="002404C2" w:rsidRPr="00E96181" w:rsidRDefault="002404C2" w:rsidP="002404C2">
      <w:pPr>
        <w:rPr>
          <w:color w:val="000000" w:themeColor="text1"/>
        </w:rPr>
      </w:pPr>
      <w:r w:rsidRPr="00E96181">
        <w:rPr>
          <w:noProof/>
          <w:color w:val="000000" w:themeColor="text1"/>
          <w:szCs w:val="20"/>
        </w:rPr>
        <w:t>CFG</w:t>
      </w:r>
      <w:r w:rsidRPr="00E96181">
        <w:rPr>
          <w:color w:val="000000" w:themeColor="text1"/>
        </w:rPr>
        <w:t xml:space="preserve"> does not buy or sell securities to earn commissions and does not receive any compensation for securities transactions in any Client account, other than the investment advisory fees noted above.</w:t>
      </w:r>
    </w:p>
    <w:p w14:paraId="4052A9FB" w14:textId="77777777" w:rsidR="002404C2" w:rsidRPr="00E96181" w:rsidRDefault="002404C2" w:rsidP="002404C2">
      <w:pPr>
        <w:rPr>
          <w:color w:val="000000" w:themeColor="text1"/>
        </w:rPr>
      </w:pPr>
    </w:p>
    <w:p w14:paraId="3E4FD0C9" w14:textId="77777777" w:rsidR="00EE65C1" w:rsidRPr="00E96181" w:rsidRDefault="00EE65C1" w:rsidP="00EE65C1">
      <w:pPr>
        <w:rPr>
          <w:color w:val="000000" w:themeColor="text1"/>
          <w:szCs w:val="20"/>
          <w:u w:val="single"/>
        </w:rPr>
      </w:pPr>
      <w:r w:rsidRPr="00E96181">
        <w:rPr>
          <w:color w:val="000000" w:themeColor="text1"/>
          <w:szCs w:val="20"/>
          <w:u w:val="single"/>
        </w:rPr>
        <w:t xml:space="preserve">Insurance Agency Affiliations </w:t>
      </w:r>
    </w:p>
    <w:p w14:paraId="17097741" w14:textId="29AC3131" w:rsidR="00EE65C1" w:rsidRPr="00E96181" w:rsidRDefault="00EE65C1" w:rsidP="00EE65C1">
      <w:pPr>
        <w:rPr>
          <w:color w:val="000000"/>
          <w:szCs w:val="20"/>
        </w:rPr>
      </w:pPr>
      <w:r w:rsidRPr="00E96181">
        <w:rPr>
          <w:color w:val="000000" w:themeColor="text1"/>
          <w:szCs w:val="20"/>
        </w:rPr>
        <w:t xml:space="preserve">Mr. Michael </w:t>
      </w:r>
      <w:r w:rsidR="00E96181" w:rsidRPr="00E96181">
        <w:rPr>
          <w:color w:val="000000" w:themeColor="text1"/>
          <w:szCs w:val="20"/>
        </w:rPr>
        <w:t xml:space="preserve">P. </w:t>
      </w:r>
      <w:r w:rsidRPr="00E96181">
        <w:rPr>
          <w:color w:val="000000" w:themeColor="text1"/>
          <w:szCs w:val="20"/>
        </w:rPr>
        <w:t>Dunham is</w:t>
      </w:r>
      <w:r w:rsidRPr="00E96181">
        <w:rPr>
          <w:color w:val="000000"/>
          <w:szCs w:val="20"/>
        </w:rPr>
        <w:t xml:space="preserve"> also licensed as an independent insurance professional. As an independent insurance professional, Mr. Dunham may earn commission-based compensation for selling insurance products, including insurance products </w:t>
      </w:r>
      <w:r w:rsidR="00E61358" w:rsidRPr="00E96181">
        <w:rPr>
          <w:color w:val="000000"/>
          <w:szCs w:val="20"/>
        </w:rPr>
        <w:t>sold</w:t>
      </w:r>
      <w:r w:rsidRPr="00E96181">
        <w:rPr>
          <w:color w:val="000000"/>
          <w:szCs w:val="20"/>
        </w:rPr>
        <w:t xml:space="preserve"> to you. Insurance commissions earned by Mr. Dunham are separate and in addition to our advisory fees. This practice presents a conflict of interest because Mr. Dunham is providing investment advice on behalf of the Advisor and also an insurance agent. Mr. Dunham has an incentive to recommend insurance products to you for the purpose of generating commissions rather than solely based on your needs. However, you are under no obligation, contractually or otherwise, to purchase insurance products through any Advisory Person affiliated with the Advisor.</w:t>
      </w:r>
    </w:p>
    <w:p w14:paraId="23DC394E" w14:textId="77777777" w:rsidR="00EE65C1" w:rsidRPr="00E96181" w:rsidRDefault="00EE65C1" w:rsidP="002404C2">
      <w:pPr>
        <w:rPr>
          <w:noProof/>
          <w:color w:val="000000" w:themeColor="text1"/>
        </w:rPr>
      </w:pPr>
    </w:p>
    <w:p w14:paraId="528F283F" w14:textId="77777777" w:rsidR="002404C2" w:rsidRPr="00E96181" w:rsidRDefault="002404C2" w:rsidP="002404C2">
      <w:pPr>
        <w:pStyle w:val="ADVSectionHeader"/>
        <w:rPr>
          <w:color w:val="000000" w:themeColor="text1"/>
        </w:rPr>
      </w:pPr>
      <w:bookmarkStart w:id="58" w:name="_Toc161575113"/>
      <w:bookmarkStart w:id="59" w:name="_Toc241118519"/>
      <w:bookmarkStart w:id="60" w:name="_Toc462744549"/>
      <w:bookmarkStart w:id="61" w:name="_Toc406665834"/>
      <w:r w:rsidRPr="00E96181">
        <w:rPr>
          <w:color w:val="000000" w:themeColor="text1"/>
        </w:rPr>
        <w:t xml:space="preserve">Item 6 </w:t>
      </w:r>
      <w:r w:rsidRPr="00E96181">
        <w:rPr>
          <w:color w:val="000000" w:themeColor="text1"/>
          <w:sz w:val="20"/>
        </w:rPr>
        <w:t xml:space="preserve">– </w:t>
      </w:r>
      <w:r w:rsidRPr="00E96181">
        <w:rPr>
          <w:color w:val="000000" w:themeColor="text1"/>
        </w:rPr>
        <w:t>Performance-Based Fees</w:t>
      </w:r>
      <w:bookmarkEnd w:id="58"/>
      <w:r w:rsidRPr="00E96181">
        <w:rPr>
          <w:color w:val="000000" w:themeColor="text1"/>
        </w:rPr>
        <w:t xml:space="preserve"> and Side-By-Side Management</w:t>
      </w:r>
      <w:bookmarkEnd w:id="59"/>
      <w:bookmarkEnd w:id="60"/>
      <w:bookmarkEnd w:id="61"/>
    </w:p>
    <w:p w14:paraId="5907DA98" w14:textId="77777777" w:rsidR="002404C2" w:rsidRPr="00E96181" w:rsidRDefault="002404C2" w:rsidP="002404C2">
      <w:pPr>
        <w:pBdr>
          <w:top w:val="single" w:sz="6" w:space="1" w:color="244061"/>
        </w:pBdr>
        <w:spacing w:line="120" w:lineRule="exact"/>
        <w:rPr>
          <w:rFonts w:cs="Arial"/>
          <w:color w:val="000000" w:themeColor="text1"/>
          <w:szCs w:val="20"/>
        </w:rPr>
      </w:pPr>
    </w:p>
    <w:p w14:paraId="1D59CDAA" w14:textId="4DE7E683"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does not charge performance-based fees for its investment advisory services. The fees charged by </w:t>
      </w:r>
      <w:r w:rsidRPr="00E96181">
        <w:rPr>
          <w:noProof/>
          <w:color w:val="000000" w:themeColor="text1"/>
        </w:rPr>
        <w:t>CFG</w:t>
      </w:r>
      <w:r w:rsidRPr="00E96181">
        <w:rPr>
          <w:color w:val="000000" w:themeColor="text1"/>
        </w:rPr>
        <w:t xml:space="preserve"> are as described in Item 5 – Fees and Compensation above and </w:t>
      </w:r>
      <w:r w:rsidRPr="00E96181">
        <w:rPr>
          <w:color w:val="000000" w:themeColor="text1"/>
          <w:u w:val="single"/>
        </w:rPr>
        <w:t>are not</w:t>
      </w:r>
      <w:r w:rsidRPr="00E96181">
        <w:rPr>
          <w:color w:val="000000" w:themeColor="text1"/>
        </w:rPr>
        <w:t xml:space="preserve"> based upon the capital appreciation of the funds or securities held by any Client. </w:t>
      </w:r>
    </w:p>
    <w:p w14:paraId="1933C16F" w14:textId="77777777" w:rsidR="002404C2" w:rsidRPr="00E96181" w:rsidRDefault="002404C2" w:rsidP="002404C2">
      <w:pPr>
        <w:rPr>
          <w:color w:val="000000" w:themeColor="text1"/>
        </w:rPr>
      </w:pPr>
    </w:p>
    <w:p w14:paraId="71908E85" w14:textId="77777777"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does not manage any proprietary investment funds or limited partnerships (for example, a mutual fund or a hedge fund) and has no financial incentive to recommend any particular investment options to its Clients. </w:t>
      </w:r>
    </w:p>
    <w:p w14:paraId="51B8844B" w14:textId="77777777" w:rsidR="002404C2" w:rsidRPr="00E96181" w:rsidRDefault="002404C2" w:rsidP="002404C2">
      <w:pPr>
        <w:rPr>
          <w:color w:val="000000" w:themeColor="text1"/>
        </w:rPr>
      </w:pPr>
    </w:p>
    <w:p w14:paraId="2EB81461" w14:textId="77777777" w:rsidR="002404C2" w:rsidRPr="00E96181" w:rsidRDefault="002404C2" w:rsidP="002404C2">
      <w:pPr>
        <w:pStyle w:val="ADVSectionHeader"/>
        <w:rPr>
          <w:color w:val="000000" w:themeColor="text1"/>
        </w:rPr>
      </w:pPr>
      <w:bookmarkStart w:id="62" w:name="_Toc161575114"/>
      <w:bookmarkStart w:id="63" w:name="_Toc241118520"/>
      <w:bookmarkStart w:id="64" w:name="_Toc462744550"/>
      <w:bookmarkStart w:id="65" w:name="_Toc406665835"/>
      <w:r w:rsidRPr="00E96181">
        <w:rPr>
          <w:color w:val="000000" w:themeColor="text1"/>
        </w:rPr>
        <w:lastRenderedPageBreak/>
        <w:t>Item 7 – Types of Clients</w:t>
      </w:r>
      <w:bookmarkEnd w:id="62"/>
      <w:bookmarkEnd w:id="63"/>
      <w:bookmarkEnd w:id="64"/>
      <w:bookmarkEnd w:id="65"/>
    </w:p>
    <w:p w14:paraId="66F28CA0" w14:textId="77777777" w:rsidR="002404C2" w:rsidRPr="00E96181" w:rsidRDefault="002404C2" w:rsidP="002404C2">
      <w:pPr>
        <w:pBdr>
          <w:top w:val="single" w:sz="6" w:space="1" w:color="244061"/>
        </w:pBdr>
        <w:spacing w:line="120" w:lineRule="exact"/>
        <w:rPr>
          <w:rFonts w:cs="Arial"/>
          <w:color w:val="000000" w:themeColor="text1"/>
          <w:szCs w:val="20"/>
        </w:rPr>
      </w:pPr>
    </w:p>
    <w:p w14:paraId="0209C998" w14:textId="717A7486" w:rsidR="002404C2" w:rsidRPr="00106B54" w:rsidRDefault="002404C2" w:rsidP="002404C2">
      <w:pPr>
        <w:rPr>
          <w:color w:val="000000" w:themeColor="text1"/>
        </w:rPr>
      </w:pPr>
      <w:r w:rsidRPr="00E96181">
        <w:rPr>
          <w:noProof/>
          <w:color w:val="000000" w:themeColor="text1"/>
        </w:rPr>
        <w:t>CFG</w:t>
      </w:r>
      <w:r w:rsidRPr="00E96181">
        <w:rPr>
          <w:color w:val="000000" w:themeColor="text1"/>
        </w:rPr>
        <w:t xml:space="preserve"> offers investment advisory services to individuals, high net worth individuals</w:t>
      </w:r>
      <w:r w:rsidR="00EE65C1" w:rsidRPr="00106B54">
        <w:rPr>
          <w:color w:val="000000" w:themeColor="text1"/>
        </w:rPr>
        <w:t>, pen</w:t>
      </w:r>
      <w:r w:rsidR="00E61358" w:rsidRPr="00106B54">
        <w:rPr>
          <w:color w:val="000000" w:themeColor="text1"/>
        </w:rPr>
        <w:t>s</w:t>
      </w:r>
      <w:r w:rsidR="00EE65C1" w:rsidRPr="00106B54">
        <w:rPr>
          <w:color w:val="000000" w:themeColor="text1"/>
        </w:rPr>
        <w:t xml:space="preserve">ions and </w:t>
      </w:r>
      <w:r w:rsidR="00F17CE5">
        <w:rPr>
          <w:color w:val="000000" w:themeColor="text1"/>
        </w:rPr>
        <w:t>profit-sharing</w:t>
      </w:r>
      <w:r w:rsidR="00F17CE5" w:rsidRPr="00106B54">
        <w:rPr>
          <w:color w:val="000000" w:themeColor="text1"/>
        </w:rPr>
        <w:t xml:space="preserve"> </w:t>
      </w:r>
      <w:r w:rsidR="00EE65C1" w:rsidRPr="00106B54">
        <w:rPr>
          <w:color w:val="000000" w:themeColor="text1"/>
        </w:rPr>
        <w:t>plans</w:t>
      </w:r>
      <w:r w:rsidR="00E76690" w:rsidRPr="00106B54">
        <w:rPr>
          <w:color w:val="000000" w:themeColor="text1"/>
        </w:rPr>
        <w:t xml:space="preserve">. </w:t>
      </w:r>
      <w:r w:rsidRPr="00106B54">
        <w:rPr>
          <w:noProof/>
          <w:color w:val="000000" w:themeColor="text1"/>
        </w:rPr>
        <w:t>CFG</w:t>
      </w:r>
      <w:r w:rsidRPr="00106B54">
        <w:rPr>
          <w:color w:val="000000" w:themeColor="text1"/>
        </w:rPr>
        <w:t xml:space="preserve"> generally does not impose a minimum relationship size. </w:t>
      </w:r>
    </w:p>
    <w:p w14:paraId="257D9F1C" w14:textId="5A636DE0" w:rsidR="002404C2" w:rsidRPr="00E96181" w:rsidRDefault="002404C2" w:rsidP="002404C2">
      <w:pPr>
        <w:rPr>
          <w:rFonts w:ascii="Cambria" w:hAnsi="Cambria"/>
          <w:color w:val="000000" w:themeColor="text1"/>
        </w:rPr>
      </w:pPr>
    </w:p>
    <w:p w14:paraId="5F4DCA70" w14:textId="77777777" w:rsidR="002404C2" w:rsidRPr="00E96181" w:rsidRDefault="002404C2" w:rsidP="002404C2">
      <w:pPr>
        <w:pStyle w:val="ADVSectionHeader"/>
        <w:rPr>
          <w:color w:val="000000" w:themeColor="text1"/>
        </w:rPr>
      </w:pPr>
      <w:bookmarkStart w:id="66" w:name="_Toc161575115"/>
      <w:bookmarkStart w:id="67" w:name="_Toc241118521"/>
      <w:bookmarkStart w:id="68" w:name="_Toc462744551"/>
      <w:bookmarkStart w:id="69" w:name="_Toc406665836"/>
      <w:r w:rsidRPr="00E96181">
        <w:rPr>
          <w:color w:val="000000" w:themeColor="text1"/>
        </w:rPr>
        <w:t>Item 8 – Methods of Analysis, Investment Strategies and Risk of Loss</w:t>
      </w:r>
      <w:bookmarkEnd w:id="66"/>
      <w:bookmarkEnd w:id="67"/>
      <w:bookmarkEnd w:id="68"/>
      <w:bookmarkEnd w:id="69"/>
    </w:p>
    <w:p w14:paraId="465C1FA7" w14:textId="77777777" w:rsidR="002404C2" w:rsidRPr="00E96181" w:rsidRDefault="002404C2" w:rsidP="002404C2">
      <w:pPr>
        <w:pBdr>
          <w:top w:val="single" w:sz="6" w:space="1" w:color="244061"/>
        </w:pBdr>
        <w:spacing w:line="120" w:lineRule="exact"/>
        <w:rPr>
          <w:rFonts w:cs="Arial"/>
          <w:color w:val="000000" w:themeColor="text1"/>
          <w:szCs w:val="20"/>
        </w:rPr>
      </w:pPr>
    </w:p>
    <w:p w14:paraId="573711E6" w14:textId="77777777" w:rsidR="002404C2" w:rsidRPr="00E96181" w:rsidRDefault="002404C2" w:rsidP="002404C2">
      <w:pPr>
        <w:pStyle w:val="ADVSubheading"/>
        <w:rPr>
          <w:color w:val="000000" w:themeColor="text1"/>
        </w:rPr>
      </w:pPr>
      <w:bookmarkStart w:id="70" w:name="_Toc161575116"/>
      <w:bookmarkStart w:id="71" w:name="_Toc241118522"/>
      <w:bookmarkStart w:id="72" w:name="_Toc462744552"/>
      <w:bookmarkStart w:id="73" w:name="_Toc406665837"/>
      <w:r w:rsidRPr="00E96181">
        <w:rPr>
          <w:color w:val="000000" w:themeColor="text1"/>
        </w:rPr>
        <w:t>A.  Methods of Analysis</w:t>
      </w:r>
      <w:bookmarkEnd w:id="70"/>
      <w:bookmarkEnd w:id="71"/>
      <w:bookmarkEnd w:id="72"/>
      <w:bookmarkEnd w:id="73"/>
    </w:p>
    <w:p w14:paraId="76B68249" w14:textId="6AF7A0EF"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primarily employs </w:t>
      </w:r>
      <w:r w:rsidRPr="00106B54">
        <w:rPr>
          <w:color w:val="000000" w:themeColor="text1"/>
        </w:rPr>
        <w:t xml:space="preserve">fundamental, technical, </w:t>
      </w:r>
      <w:r w:rsidR="00014C79" w:rsidRPr="00106B54">
        <w:rPr>
          <w:color w:val="000000" w:themeColor="text1"/>
        </w:rPr>
        <w:t xml:space="preserve">and </w:t>
      </w:r>
      <w:r w:rsidRPr="00106B54">
        <w:rPr>
          <w:color w:val="000000" w:themeColor="text1"/>
        </w:rPr>
        <w:t>cyclical</w:t>
      </w:r>
      <w:r w:rsidR="00014C79" w:rsidRPr="00106B54">
        <w:rPr>
          <w:color w:val="000000" w:themeColor="text1"/>
        </w:rPr>
        <w:t xml:space="preserve"> </w:t>
      </w:r>
      <w:r w:rsidRPr="00E96181">
        <w:rPr>
          <w:color w:val="000000" w:themeColor="text1"/>
        </w:rPr>
        <w:t>analysis method</w:t>
      </w:r>
      <w:r w:rsidRPr="00106B54">
        <w:rPr>
          <w:color w:val="000000" w:themeColor="text1"/>
        </w:rPr>
        <w:t>s</w:t>
      </w:r>
      <w:r w:rsidRPr="00E96181">
        <w:rPr>
          <w:color w:val="000000" w:themeColor="text1"/>
        </w:rPr>
        <w:t xml:space="preserve"> in developing investment strategies for its Clients. Research and analysis from </w:t>
      </w:r>
      <w:r w:rsidRPr="00E96181">
        <w:rPr>
          <w:noProof/>
          <w:color w:val="000000" w:themeColor="text1"/>
        </w:rPr>
        <w:t>CFG</w:t>
      </w:r>
      <w:r w:rsidRPr="00E96181">
        <w:rPr>
          <w:color w:val="000000" w:themeColor="text1"/>
        </w:rPr>
        <w:t xml:space="preserve"> is derived from numerous sources, including financial media companies, third-party research materials, Internet</w:t>
      </w:r>
      <w:r w:rsidRPr="00E96181">
        <w:rPr>
          <w:rFonts w:ascii="Palatino" w:hAnsi="Palatino"/>
          <w:color w:val="000000" w:themeColor="text1"/>
        </w:rPr>
        <w:t xml:space="preserve"> </w:t>
      </w:r>
      <w:r w:rsidRPr="00E96181">
        <w:rPr>
          <w:color w:val="000000" w:themeColor="text1"/>
        </w:rPr>
        <w:t xml:space="preserve">sources, and review of company activities, including annual reports, prospectuses, press releases and research prepared by others. </w:t>
      </w:r>
    </w:p>
    <w:p w14:paraId="52B133A3" w14:textId="77777777" w:rsidR="002404C2" w:rsidRPr="00106B54" w:rsidRDefault="002404C2" w:rsidP="002404C2">
      <w:pPr>
        <w:rPr>
          <w:color w:val="000000" w:themeColor="text1"/>
          <w:u w:val="single"/>
        </w:rPr>
      </w:pPr>
    </w:p>
    <w:p w14:paraId="7316DDA3" w14:textId="6403FD43" w:rsidR="002404C2" w:rsidRPr="00E96181" w:rsidRDefault="002404C2" w:rsidP="002404C2">
      <w:pPr>
        <w:rPr>
          <w:color w:val="000000" w:themeColor="text1"/>
        </w:rPr>
      </w:pPr>
      <w:r w:rsidRPr="00106B54">
        <w:rPr>
          <w:color w:val="000000" w:themeColor="text1"/>
          <w:u w:val="single"/>
        </w:rPr>
        <w:t>Fundamental</w:t>
      </w:r>
    </w:p>
    <w:p w14:paraId="4F41A5DB" w14:textId="17602A45" w:rsidR="002404C2" w:rsidRPr="00106B54" w:rsidRDefault="002404C2" w:rsidP="002404C2">
      <w:pPr>
        <w:rPr>
          <w:color w:val="000000" w:themeColor="text1"/>
        </w:rPr>
      </w:pPr>
      <w:r w:rsidRPr="00106B54">
        <w:rPr>
          <w:color w:val="000000" w:themeColor="text1"/>
        </w:rPr>
        <w:t xml:space="preserve">Fundamental analysis utilizes economic and business indicators as investment selection criteria. </w:t>
      </w:r>
      <w:proofErr w:type="gramStart"/>
      <w:r w:rsidRPr="00106B54">
        <w:rPr>
          <w:color w:val="000000" w:themeColor="text1"/>
        </w:rPr>
        <w:t>This criteria</w:t>
      </w:r>
      <w:proofErr w:type="gramEnd"/>
      <w:r w:rsidRPr="00106B54">
        <w:rPr>
          <w:color w:val="000000" w:themeColor="text1"/>
        </w:rPr>
        <w:t xml:space="preserve"> consists generally of ratios and trends that may indicate the overall strength and financial viability of the entity being analyzed. Assets are deemed suitable if they meet certain criteria to indicate that they are a strong investment with a value discounted by the market. While this type of analysis helps the Advisor in evaluating a potential investment, it does not guarantee that the investment will increase in value. Assets meeting the investment criteria utilized in the fundamental analysis may lose value and may have negative investment performance. The Advisor monitors these economic indicators to determine if adjustments to strategic allocations are appropriate. More details on the Advisor’s review process are included below in Item 13 – Review of Accounts.</w:t>
      </w:r>
    </w:p>
    <w:p w14:paraId="2484B547" w14:textId="77777777" w:rsidR="002404C2" w:rsidRPr="00106B54" w:rsidRDefault="002404C2" w:rsidP="002404C2">
      <w:pPr>
        <w:rPr>
          <w:color w:val="000000" w:themeColor="text1"/>
        </w:rPr>
      </w:pPr>
    </w:p>
    <w:p w14:paraId="122B1BCB" w14:textId="0E6817B2" w:rsidR="002404C2" w:rsidRPr="00106B54" w:rsidRDefault="002404C2" w:rsidP="002404C2">
      <w:pPr>
        <w:rPr>
          <w:color w:val="000000" w:themeColor="text1"/>
          <w:u w:val="single"/>
        </w:rPr>
      </w:pPr>
      <w:r w:rsidRPr="00106B54">
        <w:rPr>
          <w:color w:val="000000" w:themeColor="text1"/>
          <w:u w:val="single"/>
        </w:rPr>
        <w:t>Technical</w:t>
      </w:r>
    </w:p>
    <w:p w14:paraId="1AD5FAAA" w14:textId="77777777" w:rsidR="002404C2" w:rsidRPr="00106B54" w:rsidRDefault="002404C2" w:rsidP="002404C2">
      <w:pPr>
        <w:rPr>
          <w:color w:val="000000" w:themeColor="text1"/>
        </w:rPr>
      </w:pPr>
      <w:r w:rsidRPr="00106B54">
        <w:rPr>
          <w:color w:val="000000" w:themeColor="text1"/>
        </w:rPr>
        <w:t xml:space="preserve">Technical analysis involves the analysis of past market data rather than specific company data in determining the recommendations made to clients. Technical analysis may involve the use of charts to identify market patterns and trends, which may be based on investor sentiment rather than the fundamentals of the company. The primary risk in using technical analysis is that spotting historical trends may not help to predict such trends in the future. Even if the trend will eventually reoccur, there is no guarantee that </w:t>
      </w:r>
      <w:r w:rsidRPr="00106B54">
        <w:rPr>
          <w:noProof/>
          <w:color w:val="000000" w:themeColor="text1"/>
        </w:rPr>
        <w:t>CFG</w:t>
      </w:r>
      <w:r w:rsidRPr="00106B54">
        <w:rPr>
          <w:color w:val="000000" w:themeColor="text1"/>
        </w:rPr>
        <w:t xml:space="preserve"> will be able to accurately predict such a reoccurrence.</w:t>
      </w:r>
    </w:p>
    <w:p w14:paraId="1DFDFCEA" w14:textId="77777777" w:rsidR="002404C2" w:rsidRPr="00106B54" w:rsidRDefault="002404C2" w:rsidP="002404C2">
      <w:pPr>
        <w:rPr>
          <w:color w:val="000000" w:themeColor="text1"/>
        </w:rPr>
      </w:pPr>
    </w:p>
    <w:p w14:paraId="33DC567B" w14:textId="23FBB2BE" w:rsidR="002404C2" w:rsidRPr="00106B54" w:rsidRDefault="002404C2" w:rsidP="002404C2">
      <w:pPr>
        <w:rPr>
          <w:color w:val="000000" w:themeColor="text1"/>
          <w:u w:val="single"/>
        </w:rPr>
      </w:pPr>
      <w:r w:rsidRPr="00106B54">
        <w:rPr>
          <w:color w:val="000000" w:themeColor="text1"/>
          <w:u w:val="single"/>
        </w:rPr>
        <w:t>Cyclical</w:t>
      </w:r>
    </w:p>
    <w:p w14:paraId="26EE6C60" w14:textId="77777777" w:rsidR="002404C2" w:rsidRPr="00106B54" w:rsidRDefault="002404C2" w:rsidP="002404C2">
      <w:pPr>
        <w:rPr>
          <w:color w:val="000000" w:themeColor="text1"/>
        </w:rPr>
      </w:pPr>
      <w:r w:rsidRPr="00106B54">
        <w:rPr>
          <w:color w:val="000000" w:themeColor="text1"/>
        </w:rPr>
        <w:t xml:space="preserve">Cyclical analysis is similar to technical analysis in that it involves the analysis of market conditions at a macro (entire market/economy) or micro (company specific) level, rather than the overall fundamental analysis of the health of the particular company that </w:t>
      </w:r>
      <w:r w:rsidRPr="00106B54">
        <w:rPr>
          <w:noProof/>
          <w:color w:val="000000" w:themeColor="text1"/>
        </w:rPr>
        <w:t>CFG</w:t>
      </w:r>
      <w:r w:rsidRPr="00106B54">
        <w:rPr>
          <w:color w:val="000000" w:themeColor="text1"/>
        </w:rPr>
        <w:t xml:space="preserve"> is recommending. The risks with cyclical analysis are similar to those of technical analysis.</w:t>
      </w:r>
    </w:p>
    <w:p w14:paraId="0BA8B21C" w14:textId="77777777" w:rsidR="002404C2" w:rsidRPr="00E96181" w:rsidRDefault="002404C2" w:rsidP="002404C2">
      <w:pPr>
        <w:rPr>
          <w:color w:val="000000" w:themeColor="text1"/>
        </w:rPr>
      </w:pPr>
    </w:p>
    <w:p w14:paraId="61C59125" w14:textId="77777777" w:rsidR="002404C2" w:rsidRPr="00E96181" w:rsidRDefault="002404C2" w:rsidP="002404C2">
      <w:pPr>
        <w:rPr>
          <w:color w:val="000000" w:themeColor="text1"/>
        </w:rPr>
      </w:pPr>
      <w:r w:rsidRPr="00E96181">
        <w:rPr>
          <w:color w:val="000000" w:themeColor="text1"/>
        </w:rPr>
        <w:t xml:space="preserve">As noted above, </w:t>
      </w:r>
      <w:r w:rsidRPr="00E96181">
        <w:rPr>
          <w:noProof/>
          <w:color w:val="000000" w:themeColor="text1"/>
        </w:rPr>
        <w:t>CFG</w:t>
      </w:r>
      <w:r w:rsidRPr="00E96181">
        <w:rPr>
          <w:color w:val="000000" w:themeColor="text1"/>
        </w:rPr>
        <w:t xml:space="preserve"> generally employs a long-term investment strategy for its Clients, as consistent with their financial goals. </w:t>
      </w:r>
      <w:r w:rsidRPr="00E96181">
        <w:rPr>
          <w:noProof/>
          <w:color w:val="000000" w:themeColor="text1"/>
        </w:rPr>
        <w:t>CFG</w:t>
      </w:r>
      <w:r w:rsidRPr="00E96181">
        <w:rPr>
          <w:color w:val="000000" w:themeColor="text1"/>
        </w:rPr>
        <w:t xml:space="preserve"> will typically hold all or a portion of a security for more than a year, but may hold for shorter periods for the purpose of rebalancing a portfolio or meeting the cash needs of Clients. At times, </w:t>
      </w:r>
      <w:r w:rsidRPr="00E96181">
        <w:rPr>
          <w:noProof/>
          <w:color w:val="000000" w:themeColor="text1"/>
        </w:rPr>
        <w:t>CFG</w:t>
      </w:r>
      <w:r w:rsidRPr="00E96181">
        <w:rPr>
          <w:color w:val="000000" w:themeColor="text1"/>
        </w:rPr>
        <w:t xml:space="preserve"> may also buy and sell positions that are more short-term in nature, depending on the goals of the Client and/or the fundamentals of the security, sector or asset class. </w:t>
      </w:r>
    </w:p>
    <w:p w14:paraId="735E2263" w14:textId="77777777" w:rsidR="002404C2" w:rsidRPr="00E96181" w:rsidRDefault="002404C2" w:rsidP="002404C2">
      <w:pPr>
        <w:rPr>
          <w:color w:val="000000" w:themeColor="text1"/>
        </w:rPr>
      </w:pPr>
      <w:bookmarkStart w:id="74" w:name="_Toc161575117"/>
    </w:p>
    <w:p w14:paraId="7D5A2A05" w14:textId="77777777" w:rsidR="002404C2" w:rsidRPr="00E96181" w:rsidRDefault="002404C2" w:rsidP="002404C2">
      <w:pPr>
        <w:pStyle w:val="ADVSubheading"/>
        <w:rPr>
          <w:color w:val="000000" w:themeColor="text1"/>
        </w:rPr>
      </w:pPr>
      <w:bookmarkStart w:id="75" w:name="_Toc241118523"/>
      <w:bookmarkStart w:id="76" w:name="_Toc462744553"/>
      <w:bookmarkStart w:id="77" w:name="_Toc406665838"/>
      <w:r w:rsidRPr="00E96181">
        <w:rPr>
          <w:color w:val="000000" w:themeColor="text1"/>
        </w:rPr>
        <w:t>B.  Risk of Loss</w:t>
      </w:r>
      <w:bookmarkEnd w:id="74"/>
      <w:bookmarkEnd w:id="75"/>
      <w:bookmarkEnd w:id="76"/>
      <w:bookmarkEnd w:id="77"/>
    </w:p>
    <w:p w14:paraId="070AFDFA" w14:textId="77777777" w:rsidR="002404C2" w:rsidRPr="00E96181" w:rsidRDefault="002404C2" w:rsidP="002404C2">
      <w:pPr>
        <w:rPr>
          <w:color w:val="000000" w:themeColor="text1"/>
        </w:rPr>
      </w:pPr>
      <w:r w:rsidRPr="00E96181">
        <w:rPr>
          <w:color w:val="000000" w:themeColor="text1"/>
        </w:rPr>
        <w:t xml:space="preserve">Investing in securities involves certain investment risks. Securities may fluctuate in value or lose value. Clients should be prepared to bear the potential risk of loss. </w:t>
      </w:r>
      <w:r w:rsidRPr="00E96181">
        <w:rPr>
          <w:noProof/>
          <w:color w:val="000000" w:themeColor="text1"/>
        </w:rPr>
        <w:t>CFG</w:t>
      </w:r>
      <w:r w:rsidRPr="00E96181">
        <w:rPr>
          <w:color w:val="000000" w:themeColor="text1"/>
        </w:rPr>
        <w:t xml:space="preserve"> will assist Clients in determining an appropriate strategy based on their tolerance for risk and other factors noted above. However, there is no guarantee that a Client will meet their investment goals.</w:t>
      </w:r>
    </w:p>
    <w:p w14:paraId="4BBE128C" w14:textId="77777777" w:rsidR="002404C2" w:rsidRPr="00E96181" w:rsidRDefault="002404C2" w:rsidP="002404C2">
      <w:pPr>
        <w:rPr>
          <w:color w:val="000000" w:themeColor="text1"/>
        </w:rPr>
      </w:pPr>
    </w:p>
    <w:p w14:paraId="3544ACA4" w14:textId="7DE2E8BA" w:rsidR="002404C2" w:rsidRPr="00E96181" w:rsidRDefault="002404C2" w:rsidP="002404C2">
      <w:pPr>
        <w:rPr>
          <w:color w:val="000000" w:themeColor="text1"/>
        </w:rPr>
      </w:pPr>
      <w:r w:rsidRPr="00E96181">
        <w:rPr>
          <w:color w:val="000000" w:themeColor="text1"/>
        </w:rPr>
        <w:t>While the methods of analysis help the Advisor in evaluating a potential investment, it does not guarantee that the investment will increase in value. Assets meeting the investment criteria utilized in these methods of analysis may lose value and may have negative investment performance. The Advisor monitors these economic indicators to determine if adjustments to strategic allocations are appropriate. More details on the Advisor’s review process are included below in Item 13 – Review of Accounts.</w:t>
      </w:r>
    </w:p>
    <w:p w14:paraId="269FDA0F" w14:textId="0BD84DE5" w:rsidR="002404C2" w:rsidRPr="00E96181" w:rsidRDefault="002404C2" w:rsidP="002404C2">
      <w:pPr>
        <w:rPr>
          <w:color w:val="000000" w:themeColor="text1"/>
        </w:rPr>
      </w:pPr>
      <w:r w:rsidRPr="00E96181">
        <w:rPr>
          <w:color w:val="000000" w:themeColor="text1"/>
        </w:rPr>
        <w:lastRenderedPageBreak/>
        <w:t>Each Client engagement will entail a review of the Client's investment goals, financial situation, time horizon, tolerance for risk and other factors to develop an appropriate strategy for managing a Client's account. Client participation in this process, including full and accurate disclosure of requested information, is essential for the analysis of a Client's account</w:t>
      </w:r>
      <w:r w:rsidR="00014C79" w:rsidRPr="00E96181">
        <w:rPr>
          <w:color w:val="000000" w:themeColor="text1"/>
        </w:rPr>
        <w:t>[s]</w:t>
      </w:r>
      <w:r w:rsidRPr="00E96181">
        <w:rPr>
          <w:color w:val="000000" w:themeColor="text1"/>
        </w:rPr>
        <w:t xml:space="preserve">. The Advisor shall rely on the financial and other information provided by the Client or their designees without the duty or obligation to validate the accuracy and completeness of the provided information. It is the responsibility of the Client to inform the Advisor of any changes in financial condition, goals or other factors that may affect this analysis. </w:t>
      </w:r>
    </w:p>
    <w:p w14:paraId="5D7D3A0E" w14:textId="77777777" w:rsidR="002404C2" w:rsidRPr="00E96181" w:rsidRDefault="002404C2" w:rsidP="002404C2">
      <w:pPr>
        <w:rPr>
          <w:color w:val="000000" w:themeColor="text1"/>
        </w:rPr>
      </w:pPr>
    </w:p>
    <w:p w14:paraId="2829054D" w14:textId="687510BA" w:rsidR="002404C2" w:rsidRPr="00106B54" w:rsidRDefault="002404C2" w:rsidP="002404C2">
      <w:pPr>
        <w:rPr>
          <w:color w:val="000000" w:themeColor="text1"/>
        </w:rPr>
      </w:pPr>
      <w:r w:rsidRPr="00E96181">
        <w:rPr>
          <w:color w:val="000000" w:themeColor="text1"/>
        </w:rPr>
        <w:t xml:space="preserve">The risks associated with a particular strategy are provided to each Client in advance of investing Client accounts. The Advisor will work with each Client to determine their tolerance for risk as part of the portfolio construction process. </w:t>
      </w:r>
      <w:r w:rsidR="00014C79" w:rsidRPr="00106B54">
        <w:rPr>
          <w:color w:val="000000" w:themeColor="text1"/>
        </w:rPr>
        <w:t>The f</w:t>
      </w:r>
      <w:r w:rsidRPr="00106B54">
        <w:rPr>
          <w:color w:val="000000" w:themeColor="text1"/>
        </w:rPr>
        <w:t>ollowing are some of the risks associated with certain components of the Advisor’s</w:t>
      </w:r>
      <w:r w:rsidR="00014C79" w:rsidRPr="00106B54">
        <w:rPr>
          <w:color w:val="000000" w:themeColor="text1"/>
        </w:rPr>
        <w:t xml:space="preserve"> investment approach</w:t>
      </w:r>
      <w:r w:rsidRPr="00106B54">
        <w:rPr>
          <w:color w:val="000000" w:themeColor="text1"/>
        </w:rPr>
        <w:t>:</w:t>
      </w:r>
    </w:p>
    <w:p w14:paraId="47D51F76" w14:textId="77777777" w:rsidR="00014C79" w:rsidRPr="00106B54" w:rsidRDefault="00014C79" w:rsidP="002404C2">
      <w:pPr>
        <w:rPr>
          <w:color w:val="000000" w:themeColor="text1"/>
        </w:rPr>
      </w:pPr>
    </w:p>
    <w:p w14:paraId="1BDF7569" w14:textId="77777777" w:rsidR="002404C2" w:rsidRPr="00106B54" w:rsidRDefault="002404C2" w:rsidP="002404C2">
      <w:pPr>
        <w:rPr>
          <w:color w:val="000000"/>
          <w:u w:val="single"/>
        </w:rPr>
      </w:pPr>
      <w:r w:rsidRPr="00106B54">
        <w:rPr>
          <w:color w:val="000000"/>
          <w:u w:val="single"/>
        </w:rPr>
        <w:t>Market Risks</w:t>
      </w:r>
    </w:p>
    <w:p w14:paraId="66A80D3E" w14:textId="77777777" w:rsidR="002404C2" w:rsidRPr="00106B54" w:rsidRDefault="002404C2" w:rsidP="002404C2">
      <w:pPr>
        <w:rPr>
          <w:color w:val="000000"/>
        </w:rPr>
      </w:pPr>
      <w:r w:rsidRPr="00106B54">
        <w:rPr>
          <w:color w:val="000000"/>
        </w:rPr>
        <w:t>The value of a Client’s holdings may fluctuate in response to events specific to companies or markets, as well as economic, political, or social events in the U.S. and abroad. This risk is linked to the performance of the overall financial markets.</w:t>
      </w:r>
    </w:p>
    <w:p w14:paraId="5810E408" w14:textId="77777777" w:rsidR="002404C2" w:rsidRPr="00106B54" w:rsidRDefault="002404C2" w:rsidP="002404C2">
      <w:pPr>
        <w:rPr>
          <w:color w:val="000000"/>
        </w:rPr>
      </w:pPr>
    </w:p>
    <w:p w14:paraId="1B08DEF3" w14:textId="77777777" w:rsidR="002404C2" w:rsidRPr="00106B54" w:rsidRDefault="002404C2" w:rsidP="002404C2">
      <w:pPr>
        <w:rPr>
          <w:color w:val="000000"/>
          <w:u w:val="single"/>
        </w:rPr>
      </w:pPr>
      <w:r w:rsidRPr="00106B54">
        <w:rPr>
          <w:color w:val="000000"/>
          <w:u w:val="single"/>
        </w:rPr>
        <w:t xml:space="preserve">ETF Risks </w:t>
      </w:r>
    </w:p>
    <w:p w14:paraId="3E5DD42A" w14:textId="77777777" w:rsidR="002404C2" w:rsidRPr="00106B54" w:rsidRDefault="002404C2" w:rsidP="002404C2">
      <w:pPr>
        <w:rPr>
          <w:color w:val="000000"/>
        </w:rPr>
      </w:pPr>
      <w:r w:rsidRPr="00106B54">
        <w:rPr>
          <w:color w:val="000000"/>
        </w:rPr>
        <w:t xml:space="preserve">The performance of ETFs </w:t>
      </w:r>
      <w:proofErr w:type="gramStart"/>
      <w:r w:rsidRPr="00106B54">
        <w:rPr>
          <w:color w:val="000000"/>
        </w:rPr>
        <w:t>are</w:t>
      </w:r>
      <w:proofErr w:type="gramEnd"/>
      <w:r w:rsidRPr="00106B54">
        <w:rPr>
          <w:color w:val="000000"/>
        </w:rPr>
        <w:t xml:space="preserve"> subject to market risk, including the possible loss of principal. The price of the ETFs will fluctuate with the price of the underlying securities that make up the funds. In addition, ETFs have a trading risk based on the loss of cost efficiency if the ETFs are traded actively and a liquidity risk if the ETFs has a large bid-ask spread and low trading volume. The price of an ETF fluctuates based upon the market movements and may dissociate from the index being tracked by the ETF or the price of the underlying investments. An ETF purchased or sold at one point in the day may have a different price than the same ETF purchased or sold a short time later. </w:t>
      </w:r>
    </w:p>
    <w:p w14:paraId="30A11877" w14:textId="77777777" w:rsidR="002404C2" w:rsidRPr="00106B54" w:rsidRDefault="002404C2" w:rsidP="002404C2">
      <w:pPr>
        <w:rPr>
          <w:color w:val="000000"/>
          <w:u w:val="single"/>
        </w:rPr>
      </w:pPr>
    </w:p>
    <w:p w14:paraId="2F345277" w14:textId="6941C2D6" w:rsidR="002404C2" w:rsidRPr="00106B54" w:rsidRDefault="002404C2" w:rsidP="002404C2">
      <w:pPr>
        <w:tabs>
          <w:tab w:val="left" w:pos="5785"/>
        </w:tabs>
        <w:spacing w:before="2" w:after="2"/>
        <w:rPr>
          <w:color w:val="000000"/>
          <w:u w:val="single"/>
        </w:rPr>
      </w:pPr>
      <w:r w:rsidRPr="00106B54">
        <w:rPr>
          <w:color w:val="000000"/>
          <w:u w:val="single"/>
        </w:rPr>
        <w:t>Bond</w:t>
      </w:r>
      <w:r w:rsidR="00A6477C" w:rsidRPr="00106B54">
        <w:rPr>
          <w:color w:val="000000"/>
          <w:u w:val="single"/>
        </w:rPr>
        <w:t xml:space="preserve"> Risks</w:t>
      </w:r>
    </w:p>
    <w:p w14:paraId="054C72C8" w14:textId="1ADC6AD4" w:rsidR="002404C2" w:rsidRPr="00E96181" w:rsidRDefault="002404C2" w:rsidP="002404C2">
      <w:pPr>
        <w:rPr>
          <w:rFonts w:cs="Arial"/>
          <w:szCs w:val="20"/>
        </w:rPr>
      </w:pPr>
      <w:r w:rsidRPr="00106B54">
        <w:rPr>
          <w:color w:val="000000"/>
        </w:rPr>
        <w:t>Bonds are subject to specific risks, including the following: (1) interest rate risks, i.e. the risk that bond prices will fall if interest rates rise, and vice versa,</w:t>
      </w:r>
      <w:r w:rsidRPr="00106B54">
        <w:t xml:space="preserve"> </w:t>
      </w:r>
      <w:r w:rsidRPr="00106B54">
        <w:rPr>
          <w:color w:val="000000"/>
        </w:rPr>
        <w:t xml:space="preserve">the risk depends on two things, the bond's time to maturity, and the coupon rate of the bond. (2) </w:t>
      </w:r>
      <w:r w:rsidRPr="00106B54">
        <w:rPr>
          <w:rFonts w:cs="Arial"/>
          <w:szCs w:val="20"/>
        </w:rPr>
        <w:t>re</w:t>
      </w:r>
      <w:r w:rsidR="00756BF8" w:rsidRPr="00106B54">
        <w:rPr>
          <w:rFonts w:cs="Arial"/>
          <w:szCs w:val="20"/>
        </w:rPr>
        <w:t>-</w:t>
      </w:r>
      <w:r w:rsidRPr="00106B54">
        <w:rPr>
          <w:rFonts w:cs="Arial"/>
          <w:szCs w:val="20"/>
        </w:rPr>
        <w:t>investment risk, i.e. the risk that any profit gained must be reinvested at a lower rate than was previously being earned, (3) inflation risk, i.e. the risk that the cost of living and inflation increase at a rate that exceeds the income investment thereby decreasing the investor’s rate of return, (4) credit default risk, i.e. the risk associated with purchasing a debt instrument which includes the possibility of the company defaulting on its repayment obligation, (5) rating downgrades, i.e. the risk associated with a rating agency’s downgrade of the company’s rating which impacts the investor’s confidence in the company’s ability to repay its debt and (6) Liquidity Risks, i.e. the risk that a bond may not be sold as quickly as there is no readily available market for the bond.</w:t>
      </w:r>
    </w:p>
    <w:p w14:paraId="60DC0413" w14:textId="77777777" w:rsidR="002404C2" w:rsidRPr="00E96181" w:rsidRDefault="002404C2" w:rsidP="002404C2">
      <w:pPr>
        <w:rPr>
          <w:rFonts w:cs="Arial"/>
          <w:szCs w:val="20"/>
        </w:rPr>
      </w:pPr>
    </w:p>
    <w:p w14:paraId="73952730" w14:textId="77777777" w:rsidR="002404C2" w:rsidRPr="00106B54" w:rsidRDefault="002404C2" w:rsidP="002404C2">
      <w:pPr>
        <w:rPr>
          <w:color w:val="000000"/>
          <w:u w:val="single"/>
        </w:rPr>
      </w:pPr>
      <w:r w:rsidRPr="00106B54">
        <w:rPr>
          <w:color w:val="000000"/>
          <w:u w:val="single"/>
        </w:rPr>
        <w:t>Mutual Fund Risks</w:t>
      </w:r>
    </w:p>
    <w:p w14:paraId="3C0D57EB" w14:textId="77777777" w:rsidR="002404C2" w:rsidRPr="00106B54" w:rsidRDefault="002404C2" w:rsidP="002404C2">
      <w:pPr>
        <w:rPr>
          <w:color w:val="000000"/>
        </w:rPr>
      </w:pPr>
      <w:r w:rsidRPr="00106B54">
        <w:rPr>
          <w:color w:val="000000"/>
        </w:rPr>
        <w:t xml:space="preserve">The performance of mutual funds </w:t>
      </w:r>
      <w:proofErr w:type="gramStart"/>
      <w:r w:rsidRPr="00106B54">
        <w:rPr>
          <w:color w:val="000000"/>
        </w:rPr>
        <w:t>are</w:t>
      </w:r>
      <w:proofErr w:type="gramEnd"/>
      <w:r w:rsidRPr="00106B54">
        <w:rPr>
          <w:color w:val="000000"/>
        </w:rPr>
        <w:t xml:space="preserve"> subject to market risk, including the possible loss of principal. The price of the mutual funds will fluctuate with the value of the underlying securities that make up the funds. The price of a mutual fund is typically set daily therefore a mutual fund purchased at one point in the day will typically have the same price as a mutual fund purchased later that same day. </w:t>
      </w:r>
    </w:p>
    <w:p w14:paraId="5913185D" w14:textId="77777777" w:rsidR="002404C2" w:rsidRPr="00106B54" w:rsidRDefault="002404C2" w:rsidP="002404C2">
      <w:pPr>
        <w:rPr>
          <w:color w:val="000000" w:themeColor="text1"/>
        </w:rPr>
      </w:pPr>
    </w:p>
    <w:p w14:paraId="4C9A84B2" w14:textId="77777777" w:rsidR="002404C2" w:rsidRPr="00106B54" w:rsidRDefault="002404C2" w:rsidP="002404C2">
      <w:pPr>
        <w:rPr>
          <w:color w:val="000000" w:themeColor="text1"/>
          <w:u w:val="single"/>
        </w:rPr>
      </w:pPr>
      <w:r w:rsidRPr="00106B54">
        <w:rPr>
          <w:color w:val="000000" w:themeColor="text1"/>
          <w:u w:val="single"/>
        </w:rPr>
        <w:t>Margin Borrowings</w:t>
      </w:r>
    </w:p>
    <w:p w14:paraId="5EE1837E" w14:textId="77777777" w:rsidR="002404C2" w:rsidRPr="00106B54" w:rsidRDefault="002404C2" w:rsidP="002404C2">
      <w:pPr>
        <w:rPr>
          <w:color w:val="000000" w:themeColor="text1"/>
        </w:rPr>
      </w:pPr>
      <w:r w:rsidRPr="00106B54">
        <w:rPr>
          <w:color w:val="000000" w:themeColor="text1"/>
        </w:rPr>
        <w:t xml:space="preserve">The use of short-term margin borrowings may result in certain additional risks to a Client. For example, if securities pledged to brokers to secure a Client's margin accounts decline in value, the Client could be subject to a "margin call", pursuant to which it must either deposit additional funds with the broker or be the subject of mandatory liquidation of the pledged securities to compensate for the decline in value. </w:t>
      </w:r>
    </w:p>
    <w:p w14:paraId="057EBA2D" w14:textId="77777777" w:rsidR="00F17CE5" w:rsidRPr="00106B54" w:rsidRDefault="00F17CE5" w:rsidP="002404C2">
      <w:pPr>
        <w:rPr>
          <w:color w:val="000000" w:themeColor="text1"/>
        </w:rPr>
      </w:pPr>
    </w:p>
    <w:p w14:paraId="3EAE7734" w14:textId="77777777" w:rsidR="002404C2" w:rsidRPr="00106B54" w:rsidRDefault="002404C2" w:rsidP="002404C2">
      <w:pPr>
        <w:rPr>
          <w:color w:val="000000" w:themeColor="text1"/>
          <w:u w:val="single"/>
        </w:rPr>
      </w:pPr>
      <w:r w:rsidRPr="00106B54">
        <w:rPr>
          <w:color w:val="000000" w:themeColor="text1"/>
          <w:u w:val="single"/>
        </w:rPr>
        <w:t>Alternative Investments (Limited Partnerships)</w:t>
      </w:r>
    </w:p>
    <w:p w14:paraId="461FE161" w14:textId="77777777" w:rsidR="002404C2" w:rsidRPr="00106B54" w:rsidRDefault="002404C2" w:rsidP="002404C2">
      <w:pPr>
        <w:rPr>
          <w:color w:val="000000" w:themeColor="text1"/>
        </w:rPr>
      </w:pPr>
      <w:r w:rsidRPr="00106B54">
        <w:rPr>
          <w:color w:val="000000" w:themeColor="text1"/>
        </w:rPr>
        <w:t xml:space="preserve">The performance of alternative investments (limited partnerships) can be volatile and may have limited liquidity. An investor could lose all or a portion of their investment. Such investments often have concentrated positions </w:t>
      </w:r>
      <w:r w:rsidRPr="00106B54">
        <w:rPr>
          <w:color w:val="000000" w:themeColor="text1"/>
        </w:rPr>
        <w:lastRenderedPageBreak/>
        <w:t>and investments that may carry higher risks. Client should only have a portion of their assets in these investments.</w:t>
      </w:r>
    </w:p>
    <w:p w14:paraId="2C43CDC9" w14:textId="77777777" w:rsidR="002404C2" w:rsidRPr="00E96181" w:rsidRDefault="002404C2" w:rsidP="002404C2">
      <w:pPr>
        <w:rPr>
          <w:color w:val="000000" w:themeColor="text1"/>
        </w:rPr>
      </w:pPr>
    </w:p>
    <w:p w14:paraId="403A55C3" w14:textId="77777777" w:rsidR="002404C2" w:rsidRPr="00E96181" w:rsidRDefault="002404C2" w:rsidP="002404C2">
      <w:pPr>
        <w:rPr>
          <w:b/>
          <w:color w:val="000000" w:themeColor="text1"/>
        </w:rPr>
      </w:pPr>
      <w:r w:rsidRPr="00E96181">
        <w:rPr>
          <w:b/>
          <w:color w:val="000000" w:themeColor="text1"/>
        </w:rPr>
        <w:t xml:space="preserve">Past performance is not a guarantee of future returns. Investing in securities and other investments involve a risk of loss that each Client should understand and be willing to bear. Clients are reminded to discuss these risks with the Advisor. </w:t>
      </w:r>
      <w:r w:rsidRPr="00E96181">
        <w:rPr>
          <w:b/>
          <w:color w:val="000000" w:themeColor="text1"/>
        </w:rPr>
        <w:br/>
      </w:r>
    </w:p>
    <w:p w14:paraId="18F8E718" w14:textId="77777777" w:rsidR="002404C2" w:rsidRPr="00E96181" w:rsidRDefault="002404C2" w:rsidP="002404C2">
      <w:pPr>
        <w:pStyle w:val="ADVSectionHeader"/>
        <w:rPr>
          <w:color w:val="000000" w:themeColor="text1"/>
        </w:rPr>
      </w:pPr>
      <w:bookmarkStart w:id="78" w:name="_Toc462744554"/>
      <w:bookmarkStart w:id="79" w:name="_Toc406665839"/>
      <w:bookmarkStart w:id="80" w:name="_Toc161575118"/>
      <w:bookmarkStart w:id="81" w:name="_Toc241118524"/>
      <w:r w:rsidRPr="00E96181">
        <w:rPr>
          <w:color w:val="000000" w:themeColor="text1"/>
        </w:rPr>
        <w:t>Item 9 – Disciplinary Information</w:t>
      </w:r>
      <w:bookmarkEnd w:id="78"/>
      <w:bookmarkEnd w:id="79"/>
    </w:p>
    <w:p w14:paraId="1FC6419D" w14:textId="77777777" w:rsidR="002404C2" w:rsidRPr="00E96181" w:rsidRDefault="002404C2" w:rsidP="002404C2">
      <w:pPr>
        <w:pBdr>
          <w:top w:val="single" w:sz="6" w:space="1" w:color="244061"/>
        </w:pBdr>
        <w:spacing w:line="120" w:lineRule="exact"/>
        <w:rPr>
          <w:rFonts w:cs="Arial"/>
          <w:color w:val="000000" w:themeColor="text1"/>
          <w:szCs w:val="20"/>
        </w:rPr>
      </w:pPr>
    </w:p>
    <w:bookmarkEnd w:id="80"/>
    <w:bookmarkEnd w:id="81"/>
    <w:p w14:paraId="3350FBB0" w14:textId="77777777" w:rsidR="00F40BD7" w:rsidRPr="00106B54" w:rsidRDefault="002404C2" w:rsidP="002404C2">
      <w:pPr>
        <w:rPr>
          <w:color w:val="000000" w:themeColor="text1"/>
        </w:rPr>
      </w:pPr>
      <w:r w:rsidRPr="00106B54">
        <w:rPr>
          <w:color w:val="000000" w:themeColor="text1"/>
        </w:rPr>
        <w:t xml:space="preserve">Securities laws require an advisor to disclose any instances where the Advisor or its Advisory Persons have been found liable in a legal, regulatory, civil or arbitration matter that alleges violation of securities and other statutes; fraud; false statements or omissions; theft, embezzlement or wrongful taking of property; bribery, forgery, counterfeiting, or extortion; and/or dishonest, </w:t>
      </w:r>
      <w:r w:rsidR="00F40BD7" w:rsidRPr="00106B54">
        <w:rPr>
          <w:color w:val="000000" w:themeColor="text1"/>
        </w:rPr>
        <w:t>unfair or unethical practices.</w:t>
      </w:r>
    </w:p>
    <w:p w14:paraId="21156AE0" w14:textId="77777777" w:rsidR="00F40BD7" w:rsidRPr="00106B54" w:rsidRDefault="00F40BD7" w:rsidP="002404C2">
      <w:pPr>
        <w:rPr>
          <w:color w:val="000000" w:themeColor="text1"/>
        </w:rPr>
      </w:pPr>
    </w:p>
    <w:p w14:paraId="3DC70AC3" w14:textId="3F8A2060" w:rsidR="00F40BD7" w:rsidRPr="008F206A" w:rsidRDefault="003C7318" w:rsidP="00F40BD7">
      <w:pPr>
        <w:rPr>
          <w:color w:val="000000" w:themeColor="text1"/>
        </w:rPr>
      </w:pPr>
      <w:r w:rsidRPr="008F206A">
        <w:rPr>
          <w:color w:val="000000" w:themeColor="text1"/>
        </w:rPr>
        <w:t xml:space="preserve">In 2010, Mr. Dunham entered into an Acceptance, Waiver and Consent (AWC) with FINRA. Without admitting or denying findings, Mr. Dunham consented to a $10,000 fine and a 20-day suspension from associating with any Member firm from to May 3, 2010 through May 28, 2010. Additional details may be found on the IAPD </w:t>
      </w:r>
      <w:r w:rsidR="002404C2" w:rsidRPr="007044CD">
        <w:rPr>
          <w:color w:val="000000" w:themeColor="text1"/>
        </w:rPr>
        <w:t xml:space="preserve">by searching with </w:t>
      </w:r>
      <w:r w:rsidR="00F40BD7" w:rsidRPr="007044CD">
        <w:rPr>
          <w:color w:val="000000" w:themeColor="text1"/>
        </w:rPr>
        <w:t>Michael P. Dunham or using his i</w:t>
      </w:r>
      <w:r w:rsidR="002404C2" w:rsidRPr="007044CD">
        <w:rPr>
          <w:color w:val="000000" w:themeColor="text1"/>
        </w:rPr>
        <w:t>ndividual CRD#</w:t>
      </w:r>
      <w:r w:rsidR="00F40BD7" w:rsidRPr="008F206A">
        <w:rPr>
          <w:color w:val="000000" w:themeColor="text1"/>
        </w:rPr>
        <w:t>1214230</w:t>
      </w:r>
      <w:r w:rsidRPr="008F206A">
        <w:rPr>
          <w:color w:val="000000" w:themeColor="text1"/>
        </w:rPr>
        <w:t>.</w:t>
      </w:r>
    </w:p>
    <w:p w14:paraId="1901CAFD" w14:textId="4AA848CB" w:rsidR="002404C2" w:rsidRPr="00106B54" w:rsidRDefault="00F40BD7" w:rsidP="00F40BD7">
      <w:pPr>
        <w:rPr>
          <w:color w:val="000000" w:themeColor="text1"/>
        </w:rPr>
      </w:pPr>
      <w:r w:rsidRPr="00106B54">
        <w:rPr>
          <w:color w:val="000000" w:themeColor="text1"/>
        </w:rPr>
        <w:t>.</w:t>
      </w:r>
    </w:p>
    <w:p w14:paraId="74D513D7" w14:textId="77777777" w:rsidR="002404C2" w:rsidRPr="00E96181" w:rsidRDefault="002404C2" w:rsidP="002404C2">
      <w:pPr>
        <w:pStyle w:val="ADVSectionHeader"/>
        <w:rPr>
          <w:color w:val="000000" w:themeColor="text1"/>
        </w:rPr>
      </w:pPr>
      <w:bookmarkStart w:id="82" w:name="_Toc462744555"/>
      <w:bookmarkStart w:id="83" w:name="_Toc406665840"/>
      <w:bookmarkStart w:id="84" w:name="_Toc161575119"/>
      <w:bookmarkStart w:id="85" w:name="_Toc241118525"/>
      <w:r w:rsidRPr="00E96181">
        <w:rPr>
          <w:color w:val="000000" w:themeColor="text1"/>
        </w:rPr>
        <w:t>Item 10 – Other Financial Industry Activities and Affiliations</w:t>
      </w:r>
      <w:bookmarkEnd w:id="82"/>
      <w:bookmarkEnd w:id="83"/>
    </w:p>
    <w:p w14:paraId="2D670755" w14:textId="77777777" w:rsidR="002404C2" w:rsidRPr="00E96181" w:rsidRDefault="002404C2" w:rsidP="002404C2">
      <w:pPr>
        <w:pBdr>
          <w:top w:val="single" w:sz="6" w:space="1" w:color="244061"/>
        </w:pBdr>
        <w:spacing w:line="120" w:lineRule="exact"/>
        <w:rPr>
          <w:rFonts w:cs="Arial"/>
          <w:color w:val="000000" w:themeColor="text1"/>
          <w:szCs w:val="20"/>
        </w:rPr>
      </w:pPr>
    </w:p>
    <w:bookmarkEnd w:id="84"/>
    <w:bookmarkEnd w:id="85"/>
    <w:p w14:paraId="19D7B471" w14:textId="77777777" w:rsidR="00F40BD7" w:rsidRPr="00E96181" w:rsidRDefault="00F40BD7" w:rsidP="00F40BD7">
      <w:pPr>
        <w:rPr>
          <w:color w:val="000000" w:themeColor="text1"/>
          <w:szCs w:val="20"/>
          <w:u w:val="single"/>
        </w:rPr>
      </w:pPr>
      <w:r w:rsidRPr="00E96181">
        <w:rPr>
          <w:color w:val="000000" w:themeColor="text1"/>
          <w:szCs w:val="20"/>
          <w:u w:val="single"/>
        </w:rPr>
        <w:t xml:space="preserve">Insurance Agency Affiliations </w:t>
      </w:r>
    </w:p>
    <w:p w14:paraId="03321837" w14:textId="2B64DF9C" w:rsidR="00F40BD7" w:rsidRPr="00E96181" w:rsidRDefault="00F40BD7" w:rsidP="00F40BD7">
      <w:pPr>
        <w:rPr>
          <w:color w:val="000000" w:themeColor="text1"/>
          <w:szCs w:val="20"/>
        </w:rPr>
      </w:pPr>
      <w:r w:rsidRPr="00E96181">
        <w:rPr>
          <w:color w:val="000000" w:themeColor="text1"/>
          <w:szCs w:val="20"/>
        </w:rPr>
        <w:t xml:space="preserve">As noted in Item 5, Mr. Dunham is also a licensed insurance professional. Implementations of insurance recommendations are separate and apart from Mr. Dunham’s role with </w:t>
      </w:r>
      <w:r w:rsidRPr="00E96181">
        <w:rPr>
          <w:noProof/>
          <w:color w:val="000000" w:themeColor="text1"/>
          <w:szCs w:val="20"/>
        </w:rPr>
        <w:t>CFG</w:t>
      </w:r>
      <w:r w:rsidRPr="00E96181">
        <w:rPr>
          <w:color w:val="000000" w:themeColor="text1"/>
          <w:szCs w:val="20"/>
        </w:rPr>
        <w:t xml:space="preserve">. As an insurance professional, Mr. Dunham may receive customary commissions and other related revenues from the various insurance companies whose products are sold. </w:t>
      </w:r>
      <w:r w:rsidRPr="00E96181">
        <w:rPr>
          <w:noProof/>
          <w:color w:val="000000" w:themeColor="text1"/>
          <w:szCs w:val="20"/>
        </w:rPr>
        <w:t>Mr. Dunham</w:t>
      </w:r>
      <w:r w:rsidRPr="00E96181">
        <w:rPr>
          <w:color w:val="000000" w:themeColor="text1"/>
          <w:szCs w:val="20"/>
        </w:rPr>
        <w:t xml:space="preserve"> is not required to offer the products of any particular insurance company. Commissions generated by insurance sales do not offset regular advisory fees. This may cause a conflict of interest in recommending certain products of the insurance companies. Clients are under no obligation to implement any recommendations made by Mr. Dunham or the Advisor. </w:t>
      </w:r>
    </w:p>
    <w:p w14:paraId="57E329A7" w14:textId="77777777" w:rsidR="00F40BD7" w:rsidRPr="00E96181" w:rsidRDefault="00F40BD7" w:rsidP="00F40BD7">
      <w:pPr>
        <w:rPr>
          <w:color w:val="000000" w:themeColor="text1"/>
          <w:szCs w:val="20"/>
        </w:rPr>
      </w:pPr>
    </w:p>
    <w:p w14:paraId="40C1DE89" w14:textId="7BBD7737" w:rsidR="00F40BD7" w:rsidRPr="00106B54" w:rsidRDefault="00F40BD7" w:rsidP="00F40BD7">
      <w:pPr>
        <w:rPr>
          <w:color w:val="000000" w:themeColor="text1"/>
          <w:szCs w:val="20"/>
          <w:u w:val="single"/>
        </w:rPr>
      </w:pPr>
      <w:r w:rsidRPr="00106B54">
        <w:rPr>
          <w:color w:val="000000" w:themeColor="text1"/>
          <w:szCs w:val="20"/>
          <w:u w:val="single"/>
        </w:rPr>
        <w:t>Capstone Retirement Services, LLC</w:t>
      </w:r>
    </w:p>
    <w:p w14:paraId="2E9379B5" w14:textId="5D2D9DCD" w:rsidR="00756BF8" w:rsidRPr="00E96181" w:rsidRDefault="00756BF8" w:rsidP="00F40BD7">
      <w:pPr>
        <w:rPr>
          <w:color w:val="000000" w:themeColor="text1"/>
          <w:szCs w:val="20"/>
        </w:rPr>
      </w:pPr>
      <w:r w:rsidRPr="00E96181">
        <w:rPr>
          <w:color w:val="000000" w:themeColor="text1"/>
          <w:szCs w:val="20"/>
        </w:rPr>
        <w:t>Mr. Dunham is a 50% owner of Capstone Retirement Services, LLC (“CRS”). CRS offers third party administrator</w:t>
      </w:r>
      <w:r w:rsidR="004012CC" w:rsidRPr="00E96181">
        <w:rPr>
          <w:color w:val="000000" w:themeColor="text1"/>
          <w:szCs w:val="20"/>
        </w:rPr>
        <w:t xml:space="preserve"> (“TPA”)</w:t>
      </w:r>
      <w:r w:rsidRPr="00E96181">
        <w:rPr>
          <w:color w:val="000000" w:themeColor="text1"/>
          <w:szCs w:val="20"/>
        </w:rPr>
        <w:t xml:space="preserve"> services</w:t>
      </w:r>
      <w:r w:rsidR="004012CC" w:rsidRPr="00E96181">
        <w:rPr>
          <w:color w:val="000000" w:themeColor="text1"/>
          <w:szCs w:val="20"/>
        </w:rPr>
        <w:t xml:space="preserve">. This presents a conflict as Mr. Dunham may benefit from additional revenues generated from CRS. Clients of </w:t>
      </w:r>
      <w:r w:rsidR="00F17CE5">
        <w:rPr>
          <w:color w:val="000000" w:themeColor="text1"/>
          <w:szCs w:val="20"/>
        </w:rPr>
        <w:t>CFG</w:t>
      </w:r>
      <w:r w:rsidR="004012CC" w:rsidRPr="00E96181">
        <w:rPr>
          <w:color w:val="000000" w:themeColor="text1"/>
          <w:szCs w:val="20"/>
        </w:rPr>
        <w:t xml:space="preserve"> are not obligated to engage CRS for TPA or related services. </w:t>
      </w:r>
    </w:p>
    <w:p w14:paraId="1AA5B927" w14:textId="77777777" w:rsidR="002404C2" w:rsidRPr="00E96181" w:rsidRDefault="002404C2" w:rsidP="002404C2">
      <w:pPr>
        <w:rPr>
          <w:color w:val="000000" w:themeColor="text1"/>
        </w:rPr>
      </w:pPr>
    </w:p>
    <w:p w14:paraId="62BCC151" w14:textId="77777777" w:rsidR="002404C2" w:rsidRPr="00E96181" w:rsidRDefault="002404C2" w:rsidP="002404C2">
      <w:pPr>
        <w:pStyle w:val="ADVSectionHeader"/>
        <w:rPr>
          <w:color w:val="000000" w:themeColor="text1"/>
        </w:rPr>
      </w:pPr>
      <w:bookmarkStart w:id="86" w:name="_Toc161575120"/>
      <w:bookmarkStart w:id="87" w:name="_Toc241118526"/>
      <w:bookmarkStart w:id="88" w:name="_Toc462744556"/>
      <w:bookmarkStart w:id="89" w:name="_Toc406665841"/>
      <w:r w:rsidRPr="00E96181">
        <w:rPr>
          <w:color w:val="000000" w:themeColor="text1"/>
        </w:rPr>
        <w:t>Item 11 – Code of Ethics, Participation or Interest in Client Transactions and Personal Trading</w:t>
      </w:r>
      <w:bookmarkEnd w:id="86"/>
      <w:bookmarkEnd w:id="87"/>
      <w:bookmarkEnd w:id="88"/>
      <w:bookmarkEnd w:id="89"/>
    </w:p>
    <w:p w14:paraId="7E512A72"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0AD65872" w14:textId="77777777" w:rsidR="002404C2" w:rsidRPr="00E96181" w:rsidRDefault="002404C2" w:rsidP="002404C2">
      <w:pPr>
        <w:pStyle w:val="ADVSubheading"/>
        <w:rPr>
          <w:color w:val="000000" w:themeColor="text1"/>
        </w:rPr>
      </w:pPr>
      <w:bookmarkStart w:id="90" w:name="_Toc161575121"/>
      <w:bookmarkStart w:id="91" w:name="_Toc241118527"/>
      <w:bookmarkStart w:id="92" w:name="_Toc462744557"/>
      <w:bookmarkStart w:id="93" w:name="_Toc406665842"/>
      <w:r w:rsidRPr="00E96181">
        <w:rPr>
          <w:color w:val="000000" w:themeColor="text1"/>
        </w:rPr>
        <w:t>A.  Code of Ethics</w:t>
      </w:r>
      <w:bookmarkEnd w:id="90"/>
      <w:bookmarkEnd w:id="91"/>
      <w:bookmarkEnd w:id="92"/>
      <w:bookmarkEnd w:id="93"/>
      <w:r w:rsidRPr="00E96181">
        <w:rPr>
          <w:color w:val="000000" w:themeColor="text1"/>
        </w:rPr>
        <w:t xml:space="preserve"> </w:t>
      </w:r>
    </w:p>
    <w:p w14:paraId="5C0BB8CC" w14:textId="49810C51" w:rsidR="002404C2" w:rsidRPr="00E96181" w:rsidRDefault="002404C2" w:rsidP="002404C2">
      <w:pPr>
        <w:rPr>
          <w:color w:val="000000" w:themeColor="text1"/>
        </w:rPr>
      </w:pPr>
      <w:r w:rsidRPr="00E96181">
        <w:rPr>
          <w:noProof/>
          <w:color w:val="000000" w:themeColor="text1"/>
          <w:szCs w:val="20"/>
        </w:rPr>
        <w:t>CFG</w:t>
      </w:r>
      <w:r w:rsidRPr="00E96181">
        <w:rPr>
          <w:color w:val="000000" w:themeColor="text1"/>
        </w:rPr>
        <w:t xml:space="preserve"> has implemented a Code of Ethics (the “Code”) that defines our fiduciary commitment to each Client. This Code applies to all persons associated with </w:t>
      </w:r>
      <w:r w:rsidRPr="00E96181">
        <w:rPr>
          <w:noProof/>
          <w:color w:val="000000" w:themeColor="text1"/>
          <w:szCs w:val="20"/>
        </w:rPr>
        <w:t>CFG</w:t>
      </w:r>
      <w:r w:rsidRPr="00E96181">
        <w:rPr>
          <w:color w:val="000000" w:themeColor="text1"/>
          <w:szCs w:val="20"/>
        </w:rPr>
        <w:t xml:space="preserve"> (our “Supervised Persons”)</w:t>
      </w:r>
      <w:r w:rsidRPr="00E96181">
        <w:rPr>
          <w:color w:val="000000" w:themeColor="text1"/>
        </w:rPr>
        <w:t xml:space="preserve">. The Code was developed to provide general ethical guidelines and specific instructions regarding our duties to you, our Client. </w:t>
      </w:r>
      <w:r w:rsidRPr="00E96181">
        <w:rPr>
          <w:noProof/>
          <w:color w:val="000000" w:themeColor="text1"/>
          <w:szCs w:val="20"/>
        </w:rPr>
        <w:t>CFG</w:t>
      </w:r>
      <w:r w:rsidRPr="00E96181">
        <w:rPr>
          <w:color w:val="000000" w:themeColor="text1"/>
        </w:rPr>
        <w:t xml:space="preserve"> and its Supervised Persons owe a duty of loyalty, fairness and good faith towards each Client. It is the obligation of </w:t>
      </w:r>
      <w:r w:rsidRPr="00E96181">
        <w:rPr>
          <w:noProof/>
          <w:color w:val="000000" w:themeColor="text1"/>
          <w:szCs w:val="20"/>
        </w:rPr>
        <w:t>CFG</w:t>
      </w:r>
      <w:r w:rsidRPr="00E96181">
        <w:rPr>
          <w:color w:val="000000" w:themeColor="text1"/>
        </w:rPr>
        <w:t xml:space="preserve">’s Supervised Persons to adhere not only to the specific provisions of the Code, but also to the general principles that guide the Code. The Code covers a range of topics that address employee ethics and conflicts of interest. To request a copy of our Code, please contact us at </w:t>
      </w:r>
      <w:r w:rsidRPr="00E96181">
        <w:rPr>
          <w:noProof/>
          <w:color w:val="000000" w:themeColor="text1"/>
        </w:rPr>
        <w:t>(405) 848-4646</w:t>
      </w:r>
      <w:r w:rsidR="00F17CE5">
        <w:rPr>
          <w:noProof/>
          <w:color w:val="000000" w:themeColor="text1"/>
        </w:rPr>
        <w:t>.</w:t>
      </w:r>
    </w:p>
    <w:p w14:paraId="48BD4A78" w14:textId="77777777" w:rsidR="002404C2" w:rsidRPr="00E96181" w:rsidRDefault="002404C2" w:rsidP="002404C2">
      <w:pPr>
        <w:rPr>
          <w:color w:val="000000" w:themeColor="text1"/>
        </w:rPr>
      </w:pPr>
    </w:p>
    <w:p w14:paraId="20DEA7B3" w14:textId="77777777" w:rsidR="002404C2" w:rsidRPr="00E96181" w:rsidRDefault="002404C2" w:rsidP="002404C2">
      <w:pPr>
        <w:pStyle w:val="ADVSubheading"/>
        <w:rPr>
          <w:color w:val="000000" w:themeColor="text1"/>
        </w:rPr>
      </w:pPr>
      <w:bookmarkStart w:id="94" w:name="_Toc241118528"/>
      <w:bookmarkStart w:id="95" w:name="_Toc462744558"/>
      <w:bookmarkStart w:id="96" w:name="_Toc406665843"/>
      <w:r w:rsidRPr="00E96181">
        <w:rPr>
          <w:color w:val="000000" w:themeColor="text1"/>
        </w:rPr>
        <w:t>B.  Personal Trading with Material Interest</w:t>
      </w:r>
      <w:bookmarkEnd w:id="94"/>
      <w:bookmarkEnd w:id="95"/>
      <w:bookmarkEnd w:id="96"/>
    </w:p>
    <w:p w14:paraId="18D44A28" w14:textId="77777777"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allows our Supervised Persons to purchase or sell the same securities that may be recommended to and purchased on behalf of Clients. </w:t>
      </w:r>
      <w:r w:rsidRPr="00E96181">
        <w:rPr>
          <w:noProof/>
          <w:color w:val="000000" w:themeColor="text1"/>
        </w:rPr>
        <w:t>CFG</w:t>
      </w:r>
      <w:r w:rsidRPr="00E96181">
        <w:rPr>
          <w:color w:val="000000" w:themeColor="text1"/>
        </w:rPr>
        <w:t xml:space="preserve"> does not act as principal in any transactions. In addition, the Advisor does not act as the general partner of a fund, or advise an investment company. </w:t>
      </w:r>
      <w:r w:rsidRPr="00E96181">
        <w:rPr>
          <w:noProof/>
          <w:color w:val="000000" w:themeColor="text1"/>
        </w:rPr>
        <w:t>CFG</w:t>
      </w:r>
      <w:r w:rsidRPr="00E96181">
        <w:rPr>
          <w:color w:val="000000" w:themeColor="text1"/>
        </w:rPr>
        <w:t xml:space="preserve"> does not have a material interest in any securities traded in Client accounts.</w:t>
      </w:r>
      <w:bookmarkStart w:id="97" w:name="_Toc161575122"/>
    </w:p>
    <w:p w14:paraId="232DA8FD" w14:textId="77777777" w:rsidR="002404C2" w:rsidRPr="00E96181" w:rsidRDefault="002404C2" w:rsidP="002404C2">
      <w:pPr>
        <w:rPr>
          <w:color w:val="000000" w:themeColor="text1"/>
        </w:rPr>
      </w:pPr>
    </w:p>
    <w:p w14:paraId="5CAC6661" w14:textId="77777777" w:rsidR="007044CD" w:rsidRDefault="007044CD" w:rsidP="002404C2">
      <w:pPr>
        <w:pStyle w:val="ADVSubheading"/>
        <w:rPr>
          <w:color w:val="000000" w:themeColor="text1"/>
        </w:rPr>
      </w:pPr>
      <w:bookmarkStart w:id="98" w:name="_Toc241118529"/>
      <w:bookmarkStart w:id="99" w:name="_Toc462744559"/>
      <w:bookmarkStart w:id="100" w:name="_Toc406665844"/>
    </w:p>
    <w:p w14:paraId="29985B5A" w14:textId="77777777" w:rsidR="007044CD" w:rsidRDefault="007044CD" w:rsidP="002404C2">
      <w:pPr>
        <w:pStyle w:val="ADVSubheading"/>
        <w:rPr>
          <w:color w:val="000000" w:themeColor="text1"/>
        </w:rPr>
      </w:pPr>
    </w:p>
    <w:p w14:paraId="29B8BE30" w14:textId="5CE07293" w:rsidR="002404C2" w:rsidRPr="00E96181" w:rsidRDefault="002404C2" w:rsidP="002404C2">
      <w:pPr>
        <w:pStyle w:val="ADVSubheading"/>
        <w:rPr>
          <w:color w:val="000000" w:themeColor="text1"/>
        </w:rPr>
      </w:pPr>
      <w:r w:rsidRPr="00E96181">
        <w:rPr>
          <w:color w:val="000000" w:themeColor="text1"/>
        </w:rPr>
        <w:lastRenderedPageBreak/>
        <w:t xml:space="preserve">C.  Personal Trading </w:t>
      </w:r>
      <w:bookmarkEnd w:id="97"/>
      <w:r w:rsidRPr="00E96181">
        <w:rPr>
          <w:color w:val="000000" w:themeColor="text1"/>
        </w:rPr>
        <w:t>in Same Securities as Clients</w:t>
      </w:r>
      <w:bookmarkEnd w:id="98"/>
      <w:bookmarkEnd w:id="99"/>
      <w:bookmarkEnd w:id="100"/>
    </w:p>
    <w:p w14:paraId="2F650DD5" w14:textId="71EBD03D" w:rsidR="002404C2" w:rsidRPr="00E96181" w:rsidRDefault="002404C2" w:rsidP="002404C2">
      <w:pPr>
        <w:rPr>
          <w:bCs/>
          <w:color w:val="000000" w:themeColor="text1"/>
        </w:rPr>
      </w:pPr>
      <w:r w:rsidRPr="00E96181">
        <w:rPr>
          <w:noProof/>
          <w:color w:val="000000" w:themeColor="text1"/>
          <w:szCs w:val="20"/>
        </w:rPr>
        <w:t>CFG</w:t>
      </w:r>
      <w:r w:rsidRPr="00E96181">
        <w:rPr>
          <w:bCs/>
          <w:color w:val="000000" w:themeColor="text1"/>
        </w:rPr>
        <w:t xml:space="preserve"> </w:t>
      </w:r>
      <w:r w:rsidRPr="00E96181">
        <w:rPr>
          <w:color w:val="000000" w:themeColor="text1"/>
        </w:rPr>
        <w:t xml:space="preserve">allows our Supervised Persons to purchase or sell the same securities </w:t>
      </w:r>
      <w:r w:rsidRPr="00E96181">
        <w:rPr>
          <w:bCs/>
          <w:color w:val="000000" w:themeColor="text1"/>
        </w:rPr>
        <w:t xml:space="preserve">that may be recommended to and purchased on behalf of Clients. Owning the same securities we recommend (purchase or sell) to you presents a conflict of interest that, as fiduciaries, we must disclose to you and mitigate through policies and procedures. As noted above, we have adopted the Code to address insider trading (material non-public information controls); gifts and entertainment; outside business activities and personal securities reporting. When trading for personal accounts, Supervised Persons may have a conflict of interest if trading in the same securities. The fiduciary duty to act in the best interest of its Clients can potentially be violated if personal trades are made with more advantageous terms than Client trades, or by trading based on material non-public information. This risk is mitigated by </w:t>
      </w:r>
      <w:r w:rsidRPr="00E96181">
        <w:rPr>
          <w:noProof/>
          <w:color w:val="000000" w:themeColor="text1"/>
          <w:szCs w:val="20"/>
        </w:rPr>
        <w:t>CFG</w:t>
      </w:r>
      <w:r w:rsidRPr="00E96181">
        <w:rPr>
          <w:color w:val="000000" w:themeColor="text1"/>
          <w:szCs w:val="20"/>
        </w:rPr>
        <w:t xml:space="preserve"> </w:t>
      </w:r>
      <w:r w:rsidRPr="00106B54">
        <w:rPr>
          <w:bCs/>
          <w:color w:val="000000" w:themeColor="text1"/>
        </w:rPr>
        <w:t xml:space="preserve">requiring reporting of personal securities trades by its Supervised Persons for review by the </w:t>
      </w:r>
      <w:r w:rsidRPr="00106B54">
        <w:rPr>
          <w:bCs/>
          <w:color w:val="000000"/>
        </w:rPr>
        <w:t>Chief Compliance Officer (“</w:t>
      </w:r>
      <w:r w:rsidRPr="00106B54">
        <w:rPr>
          <w:bCs/>
          <w:color w:val="000000" w:themeColor="text1"/>
        </w:rPr>
        <w:t>CCO”) or delegate</w:t>
      </w:r>
      <w:r w:rsidR="003C7318" w:rsidRPr="00106B54">
        <w:rPr>
          <w:bCs/>
          <w:color w:val="000000" w:themeColor="text1"/>
        </w:rPr>
        <w:t>. CFG</w:t>
      </w:r>
      <w:r w:rsidRPr="00E96181">
        <w:rPr>
          <w:bCs/>
          <w:color w:val="000000" w:themeColor="text1"/>
        </w:rPr>
        <w:t xml:space="preserve"> ha</w:t>
      </w:r>
      <w:r w:rsidR="003C7318" w:rsidRPr="00E96181">
        <w:rPr>
          <w:bCs/>
          <w:color w:val="000000" w:themeColor="text1"/>
        </w:rPr>
        <w:t>s</w:t>
      </w:r>
      <w:r w:rsidRPr="00E96181">
        <w:rPr>
          <w:bCs/>
          <w:color w:val="000000" w:themeColor="text1"/>
        </w:rPr>
        <w:t xml:space="preserve"> also adopted written policies and procedures to detect the misuse of material, non-public information. </w:t>
      </w:r>
    </w:p>
    <w:p w14:paraId="52D0686A" w14:textId="77777777" w:rsidR="002404C2" w:rsidRPr="00E96181" w:rsidRDefault="002404C2" w:rsidP="002404C2">
      <w:pPr>
        <w:rPr>
          <w:bCs/>
          <w:color w:val="000000" w:themeColor="text1"/>
        </w:rPr>
      </w:pPr>
    </w:p>
    <w:p w14:paraId="204281A7" w14:textId="77777777" w:rsidR="002404C2" w:rsidRPr="00E96181" w:rsidRDefault="002404C2" w:rsidP="002404C2">
      <w:pPr>
        <w:pStyle w:val="ADVSubheading"/>
        <w:rPr>
          <w:color w:val="000000" w:themeColor="text1"/>
        </w:rPr>
      </w:pPr>
      <w:bookmarkStart w:id="101" w:name="_Toc241118530"/>
      <w:bookmarkStart w:id="102" w:name="_Toc462744560"/>
      <w:bookmarkStart w:id="103" w:name="_Toc406665845"/>
      <w:r w:rsidRPr="00E96181">
        <w:rPr>
          <w:color w:val="000000" w:themeColor="text1"/>
        </w:rPr>
        <w:t>D.  Personal Trading at Same Time as Client</w:t>
      </w:r>
      <w:bookmarkEnd w:id="101"/>
      <w:bookmarkEnd w:id="102"/>
      <w:bookmarkEnd w:id="103"/>
    </w:p>
    <w:p w14:paraId="3274A0A9" w14:textId="77777777" w:rsidR="002404C2" w:rsidRPr="00E96181" w:rsidRDefault="002404C2" w:rsidP="002404C2">
      <w:pPr>
        <w:rPr>
          <w:rFonts w:ascii="Times" w:eastAsia="Times New Roman" w:hAnsi="Times"/>
          <w:color w:val="000000" w:themeColor="text1"/>
          <w:szCs w:val="20"/>
        </w:rPr>
      </w:pPr>
      <w:r w:rsidRPr="00E96181">
        <w:rPr>
          <w:bCs/>
          <w:color w:val="000000" w:themeColor="text1"/>
        </w:rPr>
        <w:t xml:space="preserve">While </w:t>
      </w:r>
      <w:r w:rsidRPr="00E96181">
        <w:rPr>
          <w:noProof/>
          <w:color w:val="000000" w:themeColor="text1"/>
          <w:szCs w:val="20"/>
        </w:rPr>
        <w:t>CFG</w:t>
      </w:r>
      <w:r w:rsidRPr="00E96181">
        <w:rPr>
          <w:bCs/>
          <w:color w:val="000000" w:themeColor="text1"/>
        </w:rPr>
        <w:t xml:space="preserve"> </w:t>
      </w:r>
      <w:r w:rsidRPr="00E96181">
        <w:rPr>
          <w:color w:val="000000" w:themeColor="text1"/>
        </w:rPr>
        <w:t xml:space="preserve">allows our Supervised Persons to purchase or sell the same securities </w:t>
      </w:r>
      <w:r w:rsidRPr="00E96181">
        <w:rPr>
          <w:bCs/>
          <w:color w:val="000000" w:themeColor="text1"/>
        </w:rPr>
        <w:t xml:space="preserve">that may be recommended to and purchased on behalf of Clients, </w:t>
      </w:r>
      <w:r w:rsidRPr="00E96181">
        <w:rPr>
          <w:rFonts w:eastAsia="Times New Roman"/>
          <w:color w:val="000000" w:themeColor="text1"/>
          <w:sz w:val="19"/>
          <w:szCs w:val="19"/>
          <w:shd w:val="clear" w:color="auto" w:fill="FFFFFF"/>
        </w:rPr>
        <w:t>such trades are typically aggregated with Client orders or traded afterwards.</w:t>
      </w:r>
      <w:r w:rsidRPr="00E96181">
        <w:rPr>
          <w:rFonts w:ascii="Times" w:eastAsia="Times New Roman" w:hAnsi="Times"/>
          <w:color w:val="000000" w:themeColor="text1"/>
          <w:szCs w:val="20"/>
        </w:rPr>
        <w:t xml:space="preserve"> </w:t>
      </w:r>
      <w:r w:rsidRPr="00E96181">
        <w:rPr>
          <w:b/>
          <w:bCs/>
          <w:color w:val="000000" w:themeColor="text1"/>
        </w:rPr>
        <w:t xml:space="preserve">At no time will </w:t>
      </w:r>
      <w:r w:rsidRPr="00E96181">
        <w:rPr>
          <w:b/>
          <w:bCs/>
          <w:noProof/>
          <w:color w:val="000000" w:themeColor="text1"/>
        </w:rPr>
        <w:t>CFG</w:t>
      </w:r>
      <w:r w:rsidRPr="00E96181">
        <w:rPr>
          <w:b/>
          <w:bCs/>
          <w:color w:val="000000" w:themeColor="text1"/>
        </w:rPr>
        <w:t xml:space="preserve">, or any Supervised Person of </w:t>
      </w:r>
      <w:r w:rsidRPr="00E96181">
        <w:rPr>
          <w:b/>
          <w:bCs/>
          <w:noProof/>
          <w:color w:val="000000" w:themeColor="text1"/>
        </w:rPr>
        <w:t>CFG</w:t>
      </w:r>
      <w:r w:rsidRPr="00E96181">
        <w:rPr>
          <w:b/>
          <w:bCs/>
          <w:color w:val="000000" w:themeColor="text1"/>
        </w:rPr>
        <w:t xml:space="preserve">, transact in any security to the detriment of any Client. </w:t>
      </w:r>
    </w:p>
    <w:p w14:paraId="3F4447B0" w14:textId="77777777" w:rsidR="002404C2" w:rsidRPr="00E96181" w:rsidRDefault="002404C2" w:rsidP="002404C2">
      <w:pPr>
        <w:rPr>
          <w:b/>
          <w:bCs/>
          <w:color w:val="000000" w:themeColor="text1"/>
        </w:rPr>
      </w:pPr>
    </w:p>
    <w:p w14:paraId="397F120A" w14:textId="77777777" w:rsidR="002404C2" w:rsidRPr="00E96181" w:rsidRDefault="002404C2" w:rsidP="002404C2">
      <w:pPr>
        <w:pStyle w:val="ADVSectionHeader"/>
        <w:rPr>
          <w:color w:val="000000" w:themeColor="text1"/>
        </w:rPr>
      </w:pPr>
      <w:bookmarkStart w:id="104" w:name="_Toc161575123"/>
      <w:bookmarkStart w:id="105" w:name="_Toc241118531"/>
      <w:bookmarkStart w:id="106" w:name="_Toc462744561"/>
      <w:bookmarkStart w:id="107" w:name="_Toc406665846"/>
      <w:r w:rsidRPr="00E96181">
        <w:rPr>
          <w:color w:val="000000" w:themeColor="text1"/>
        </w:rPr>
        <w:t xml:space="preserve">Item 12 </w:t>
      </w:r>
      <w:r w:rsidRPr="00E96181">
        <w:rPr>
          <w:color w:val="000000" w:themeColor="text1"/>
          <w:sz w:val="20"/>
        </w:rPr>
        <w:t>–</w:t>
      </w:r>
      <w:r w:rsidRPr="00E96181">
        <w:rPr>
          <w:color w:val="000000" w:themeColor="text1"/>
        </w:rPr>
        <w:t xml:space="preserve"> Brokerage Practices</w:t>
      </w:r>
      <w:bookmarkEnd w:id="104"/>
      <w:bookmarkEnd w:id="105"/>
      <w:bookmarkEnd w:id="106"/>
      <w:bookmarkEnd w:id="107"/>
    </w:p>
    <w:p w14:paraId="5AE3E113"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733E6EC4" w14:textId="77777777" w:rsidR="002404C2" w:rsidRPr="00E96181" w:rsidRDefault="002404C2" w:rsidP="002404C2">
      <w:pPr>
        <w:pStyle w:val="ADVSubheading"/>
        <w:rPr>
          <w:color w:val="000000" w:themeColor="text1"/>
        </w:rPr>
      </w:pPr>
      <w:bookmarkStart w:id="108" w:name="_Toc161575124"/>
      <w:bookmarkStart w:id="109" w:name="_Toc241118532"/>
      <w:bookmarkStart w:id="110" w:name="_Toc462744562"/>
      <w:bookmarkStart w:id="111" w:name="_Toc406665847"/>
      <w:r w:rsidRPr="00E96181">
        <w:rPr>
          <w:color w:val="000000" w:themeColor="text1"/>
        </w:rPr>
        <w:t>A.  Recommendation of Custodian[s]</w:t>
      </w:r>
      <w:bookmarkEnd w:id="108"/>
      <w:bookmarkEnd w:id="109"/>
      <w:bookmarkEnd w:id="110"/>
      <w:bookmarkEnd w:id="111"/>
    </w:p>
    <w:p w14:paraId="3D2C3F61" w14:textId="77777777" w:rsidR="002404C2" w:rsidRPr="00E96181" w:rsidRDefault="002404C2" w:rsidP="002404C2">
      <w:pPr>
        <w:rPr>
          <w:color w:val="000000" w:themeColor="text1"/>
        </w:rPr>
      </w:pPr>
      <w:r w:rsidRPr="00E96181">
        <w:rPr>
          <w:noProof/>
          <w:color w:val="000000" w:themeColor="text1"/>
          <w:szCs w:val="20"/>
        </w:rPr>
        <w:t>CFG</w:t>
      </w:r>
      <w:r w:rsidRPr="00E96181">
        <w:rPr>
          <w:color w:val="000000" w:themeColor="text1"/>
          <w:szCs w:val="20"/>
        </w:rPr>
        <w:t xml:space="preserve"> </w:t>
      </w:r>
      <w:r w:rsidRPr="00E96181">
        <w:rPr>
          <w:color w:val="000000" w:themeColor="text1"/>
        </w:rPr>
        <w:t xml:space="preserve">does not have discretionary authority to select the broker-dealer/custodian for </w:t>
      </w:r>
      <w:r w:rsidRPr="00E96181">
        <w:t>custody and execution services. The Client will engage the broker-dealer/custodian</w:t>
      </w:r>
      <w:r w:rsidRPr="00E96181">
        <w:rPr>
          <w:color w:val="000000" w:themeColor="text1"/>
        </w:rPr>
        <w:t xml:space="preserve"> (herein the "Custodian") to safeguard Client assets and authorize </w:t>
      </w:r>
      <w:r w:rsidRPr="00E96181">
        <w:rPr>
          <w:noProof/>
          <w:color w:val="000000" w:themeColor="text1"/>
          <w:szCs w:val="20"/>
        </w:rPr>
        <w:t>CFG</w:t>
      </w:r>
      <w:r w:rsidRPr="00E96181">
        <w:rPr>
          <w:color w:val="000000" w:themeColor="text1"/>
          <w:szCs w:val="20"/>
        </w:rPr>
        <w:t xml:space="preserve"> </w:t>
      </w:r>
      <w:r w:rsidRPr="00E96181">
        <w:rPr>
          <w:color w:val="000000" w:themeColor="text1"/>
        </w:rPr>
        <w:t xml:space="preserve">to direct trades to this Custodian as agreed in the investment advisory agreement. Further, </w:t>
      </w:r>
      <w:r w:rsidRPr="00E96181">
        <w:rPr>
          <w:noProof/>
          <w:color w:val="000000" w:themeColor="text1"/>
          <w:szCs w:val="20"/>
        </w:rPr>
        <w:t>CFG</w:t>
      </w:r>
      <w:r w:rsidRPr="00E96181">
        <w:rPr>
          <w:color w:val="000000" w:themeColor="text1"/>
          <w:szCs w:val="20"/>
        </w:rPr>
        <w:t xml:space="preserve"> </w:t>
      </w:r>
      <w:r w:rsidRPr="00E96181">
        <w:rPr>
          <w:color w:val="000000" w:themeColor="text1"/>
        </w:rPr>
        <w:t xml:space="preserve">does not have the discretionary authority to negotiate commissions on behalf of our Clients on a trade-by-trade basis. </w:t>
      </w:r>
    </w:p>
    <w:p w14:paraId="65882E8C" w14:textId="77777777" w:rsidR="002404C2" w:rsidRPr="00E96181" w:rsidRDefault="002404C2" w:rsidP="002404C2">
      <w:pPr>
        <w:rPr>
          <w:rFonts w:cs="Arial"/>
          <w:color w:val="000000" w:themeColor="text1"/>
        </w:rPr>
      </w:pPr>
    </w:p>
    <w:p w14:paraId="346EA78C" w14:textId="77777777" w:rsidR="002404C2" w:rsidRPr="00E96181" w:rsidRDefault="002404C2" w:rsidP="002404C2">
      <w:pPr>
        <w:rPr>
          <w:rFonts w:cs="Arial"/>
          <w:color w:val="000000" w:themeColor="text1"/>
        </w:rPr>
      </w:pPr>
      <w:r w:rsidRPr="00E96181">
        <w:rPr>
          <w:rFonts w:cs="Arial"/>
          <w:color w:val="000000" w:themeColor="text1"/>
        </w:rPr>
        <w:t xml:space="preserve">Where </w:t>
      </w:r>
      <w:r w:rsidRPr="00E96181">
        <w:rPr>
          <w:rFonts w:cs="Arial"/>
          <w:noProof/>
          <w:color w:val="000000" w:themeColor="text1"/>
          <w:szCs w:val="20"/>
        </w:rPr>
        <w:t>CFG</w:t>
      </w:r>
      <w:r w:rsidRPr="00E96181">
        <w:rPr>
          <w:rFonts w:cs="Arial"/>
          <w:color w:val="000000" w:themeColor="text1"/>
        </w:rPr>
        <w:t xml:space="preserve"> does not exercise discretion over the selection of the Custodian, it may recommend the Custodian[s] to Clients for </w:t>
      </w:r>
      <w:r w:rsidRPr="00E96181">
        <w:t>custody and execution</w:t>
      </w:r>
      <w:r w:rsidRPr="00E96181">
        <w:rPr>
          <w:rFonts w:cs="Arial"/>
          <w:color w:val="000000" w:themeColor="text1"/>
        </w:rPr>
        <w:t xml:space="preserve"> services. Clients are not obligated to use the recommended Custodian and will not incur any extra fee or cost associated with using a broker not recommended by </w:t>
      </w:r>
      <w:r w:rsidRPr="00E96181">
        <w:rPr>
          <w:rFonts w:cs="Arial"/>
          <w:noProof/>
          <w:color w:val="000000" w:themeColor="text1"/>
          <w:szCs w:val="20"/>
        </w:rPr>
        <w:t>CFG</w:t>
      </w:r>
      <w:r w:rsidRPr="00E96181">
        <w:rPr>
          <w:rFonts w:cs="Arial"/>
          <w:color w:val="000000" w:themeColor="text1"/>
        </w:rPr>
        <w:t xml:space="preserve">. However, the Advisor may be limited in the services it can provide if the recommended Custodian is not engaged. </w:t>
      </w:r>
      <w:r w:rsidRPr="00E96181">
        <w:rPr>
          <w:rFonts w:cs="Arial"/>
          <w:noProof/>
          <w:color w:val="000000" w:themeColor="text1"/>
          <w:szCs w:val="20"/>
        </w:rPr>
        <w:t>CFG</w:t>
      </w:r>
      <w:r w:rsidRPr="00E96181">
        <w:rPr>
          <w:rFonts w:cs="Arial"/>
          <w:color w:val="000000" w:themeColor="text1"/>
        </w:rPr>
        <w:t xml:space="preserve"> may recommend the Custodian based on criteria such as, but not limited to, reasonableness of commissions charged to the Client, services made available to the Client, and location of the Custodian’s offices.</w:t>
      </w:r>
    </w:p>
    <w:p w14:paraId="141E74E9" w14:textId="77777777" w:rsidR="002404C2" w:rsidRPr="00E96181" w:rsidRDefault="002404C2" w:rsidP="002404C2">
      <w:pPr>
        <w:rPr>
          <w:rFonts w:cs="Arial"/>
          <w:color w:val="000000" w:themeColor="text1"/>
        </w:rPr>
      </w:pPr>
    </w:p>
    <w:p w14:paraId="6F77DA52" w14:textId="5259B36C" w:rsidR="002404C2" w:rsidRPr="00E96181" w:rsidRDefault="002404C2" w:rsidP="002404C2">
      <w:pPr>
        <w:rPr>
          <w:rFonts w:eastAsia="Times New Roman" w:cs="Arial"/>
          <w:color w:val="000000"/>
          <w:szCs w:val="20"/>
        </w:rPr>
      </w:pPr>
      <w:r w:rsidRPr="00106B54">
        <w:rPr>
          <w:rFonts w:cs="Arial"/>
          <w:noProof/>
          <w:color w:val="000000" w:themeColor="text1"/>
          <w:szCs w:val="20"/>
        </w:rPr>
        <w:t>CFG</w:t>
      </w:r>
      <w:r w:rsidRPr="00106B54">
        <w:rPr>
          <w:rFonts w:eastAsia="Times New Roman" w:cs="Arial"/>
          <w:color w:val="000000"/>
          <w:szCs w:val="20"/>
        </w:rPr>
        <w:t xml:space="preserve"> will generally recommend that Clients establish their account[s] at </w:t>
      </w:r>
      <w:r w:rsidR="006E2661">
        <w:rPr>
          <w:noProof/>
          <w:color w:val="000000" w:themeColor="text1"/>
        </w:rPr>
        <w:t>Charles Schwab &amp; Co., Inc</w:t>
      </w:r>
      <w:r w:rsidR="004012CC" w:rsidRPr="00106B54">
        <w:rPr>
          <w:rFonts w:eastAsia="Times New Roman" w:cs="Arial"/>
          <w:color w:val="000000"/>
          <w:szCs w:val="20"/>
        </w:rPr>
        <w:t xml:space="preserve"> </w:t>
      </w:r>
      <w:r w:rsidRPr="00106B54">
        <w:rPr>
          <w:rFonts w:eastAsia="Times New Roman" w:cs="Arial"/>
          <w:color w:val="000000"/>
          <w:szCs w:val="20"/>
        </w:rPr>
        <w:t>(“</w:t>
      </w:r>
      <w:r w:rsidR="006E2661">
        <w:rPr>
          <w:noProof/>
          <w:color w:val="000000" w:themeColor="text1"/>
        </w:rPr>
        <w:t>Schwab</w:t>
      </w:r>
      <w:r w:rsidRPr="00106B54">
        <w:rPr>
          <w:rFonts w:eastAsia="Times New Roman" w:cs="Arial"/>
          <w:color w:val="000000"/>
          <w:szCs w:val="20"/>
        </w:rPr>
        <w:t xml:space="preserve">”), a FINRA-registered broker-dealer and member SIPC. </w:t>
      </w:r>
      <w:r w:rsidR="006E2661">
        <w:rPr>
          <w:noProof/>
          <w:color w:val="000000" w:themeColor="text1"/>
        </w:rPr>
        <w:t>Schwab</w:t>
      </w:r>
      <w:r w:rsidR="004012CC" w:rsidRPr="00106B54">
        <w:rPr>
          <w:rFonts w:eastAsia="Times New Roman" w:cs="Arial"/>
          <w:color w:val="000000"/>
          <w:szCs w:val="20"/>
        </w:rPr>
        <w:t xml:space="preserve"> </w:t>
      </w:r>
      <w:r w:rsidRPr="00106B54">
        <w:rPr>
          <w:rFonts w:eastAsia="Times New Roman" w:cs="Arial"/>
          <w:color w:val="000000"/>
          <w:szCs w:val="20"/>
        </w:rPr>
        <w:t xml:space="preserve">will serve as the Client’s “qualified custodian”. </w:t>
      </w:r>
      <w:r w:rsidRPr="00106B54">
        <w:rPr>
          <w:rFonts w:cs="Arial"/>
          <w:noProof/>
          <w:color w:val="000000" w:themeColor="text1"/>
          <w:szCs w:val="20"/>
        </w:rPr>
        <w:t>CFG</w:t>
      </w:r>
      <w:r w:rsidRPr="00106B54">
        <w:rPr>
          <w:rFonts w:eastAsia="Times New Roman" w:cs="Arial"/>
          <w:color w:val="000000"/>
          <w:szCs w:val="20"/>
        </w:rPr>
        <w:t xml:space="preserve"> maintains an institutional relationship with </w:t>
      </w:r>
      <w:r w:rsidR="006E2661">
        <w:rPr>
          <w:noProof/>
          <w:color w:val="000000" w:themeColor="text1"/>
        </w:rPr>
        <w:t>Schwab</w:t>
      </w:r>
      <w:r w:rsidR="004012CC" w:rsidRPr="00106B54">
        <w:rPr>
          <w:noProof/>
          <w:color w:val="000000" w:themeColor="text1"/>
        </w:rPr>
        <w:t>,</w:t>
      </w:r>
      <w:r w:rsidR="004012CC" w:rsidRPr="00106B54">
        <w:rPr>
          <w:rFonts w:eastAsia="Times New Roman" w:cs="Arial"/>
          <w:color w:val="000000"/>
          <w:szCs w:val="20"/>
        </w:rPr>
        <w:t xml:space="preserve"> </w:t>
      </w:r>
      <w:r w:rsidRPr="00106B54">
        <w:rPr>
          <w:rFonts w:eastAsia="Times New Roman" w:cs="Arial"/>
          <w:color w:val="000000"/>
          <w:szCs w:val="20"/>
        </w:rPr>
        <w:t xml:space="preserve">whereby the Advisor receives economic benefits from </w:t>
      </w:r>
      <w:r w:rsidR="006E2661">
        <w:rPr>
          <w:noProof/>
          <w:color w:val="000000" w:themeColor="text1"/>
        </w:rPr>
        <w:t>Schwab.</w:t>
      </w:r>
      <w:r w:rsidR="004012CC" w:rsidRPr="00106B54">
        <w:rPr>
          <w:rFonts w:eastAsia="Times New Roman" w:cs="Arial"/>
          <w:color w:val="000000"/>
          <w:szCs w:val="20"/>
        </w:rPr>
        <w:t xml:space="preserve"> </w:t>
      </w:r>
      <w:r w:rsidRPr="00106B54">
        <w:rPr>
          <w:rFonts w:eastAsia="Times New Roman" w:cs="Arial"/>
          <w:color w:val="000000"/>
          <w:szCs w:val="20"/>
        </w:rPr>
        <w:t>Please see Item 14 – Client Referrals and Other Compensation below.</w:t>
      </w:r>
      <w:r w:rsidRPr="00E96181">
        <w:rPr>
          <w:rFonts w:eastAsia="Times New Roman" w:cs="Arial"/>
          <w:color w:val="000000"/>
          <w:szCs w:val="20"/>
        </w:rPr>
        <w:t xml:space="preserve"> </w:t>
      </w:r>
    </w:p>
    <w:p w14:paraId="3C287688" w14:textId="77777777" w:rsidR="002404C2" w:rsidRPr="00E96181" w:rsidRDefault="002404C2" w:rsidP="002404C2">
      <w:pPr>
        <w:rPr>
          <w:rFonts w:cs="Arial"/>
          <w:color w:val="000000" w:themeColor="text1"/>
        </w:rPr>
      </w:pPr>
    </w:p>
    <w:p w14:paraId="77581C04" w14:textId="77777777" w:rsidR="002404C2" w:rsidRPr="00E96181" w:rsidRDefault="002404C2" w:rsidP="002404C2">
      <w:pPr>
        <w:rPr>
          <w:color w:val="000000" w:themeColor="text1"/>
        </w:rPr>
      </w:pPr>
      <w:r w:rsidRPr="00E96181">
        <w:rPr>
          <w:color w:val="000000" w:themeColor="text1"/>
        </w:rPr>
        <w:t>Following are additional details regarding the brokerage practices of the Advisor:</w:t>
      </w:r>
    </w:p>
    <w:p w14:paraId="0A37B2C7" w14:textId="77777777" w:rsidR="002404C2" w:rsidRPr="00E96181" w:rsidRDefault="002404C2" w:rsidP="002404C2">
      <w:pPr>
        <w:rPr>
          <w:color w:val="000000" w:themeColor="text1"/>
        </w:rPr>
      </w:pPr>
    </w:p>
    <w:p w14:paraId="15D2305F" w14:textId="2F4005BB" w:rsidR="002404C2" w:rsidRPr="00106B54" w:rsidRDefault="002404C2" w:rsidP="002404C2">
      <w:pPr>
        <w:rPr>
          <w:b/>
          <w:color w:val="000000" w:themeColor="text1"/>
        </w:rPr>
      </w:pPr>
      <w:r w:rsidRPr="00E96181">
        <w:rPr>
          <w:b/>
          <w:i/>
          <w:color w:val="000000" w:themeColor="text1"/>
          <w:szCs w:val="20"/>
        </w:rPr>
        <w:t xml:space="preserve">1.  Soft Dollars - </w:t>
      </w:r>
      <w:r w:rsidRPr="00E96181">
        <w:rPr>
          <w:color w:val="000000" w:themeColor="text1"/>
        </w:rPr>
        <w:t xml:space="preserve">Soft dollars are revenue programs offered by broker-dealers/custodians whereby an advisor enters into an agreement to place security trades with the broker/dealers/custodians in exchange for research and other services. </w:t>
      </w:r>
      <w:r w:rsidRPr="00106B54">
        <w:rPr>
          <w:b/>
          <w:noProof/>
          <w:color w:val="000000" w:themeColor="text1"/>
        </w:rPr>
        <w:t>CFG</w:t>
      </w:r>
      <w:r w:rsidRPr="00106B54">
        <w:rPr>
          <w:b/>
          <w:color w:val="000000" w:themeColor="text1"/>
        </w:rPr>
        <w:t xml:space="preserve"> does not participate in soft dollar programs sponsored or offered by any broker-dealer/custodian. However, the Advisor receives certain economic benefits from the Custodian. Please see Item 14 – Client Referrals and Other Compensation.</w:t>
      </w:r>
    </w:p>
    <w:p w14:paraId="2C1EF1A3" w14:textId="77777777" w:rsidR="002404C2" w:rsidRPr="00E96181" w:rsidRDefault="002404C2" w:rsidP="002404C2">
      <w:pPr>
        <w:rPr>
          <w:b/>
          <w:color w:val="000000" w:themeColor="text1"/>
          <w:szCs w:val="20"/>
        </w:rPr>
      </w:pPr>
    </w:p>
    <w:p w14:paraId="3A28C3B8" w14:textId="77777777" w:rsidR="002404C2" w:rsidRPr="00E96181" w:rsidRDefault="002404C2" w:rsidP="002404C2">
      <w:pPr>
        <w:rPr>
          <w:b/>
          <w:i/>
          <w:color w:val="000000" w:themeColor="text1"/>
          <w:szCs w:val="20"/>
        </w:rPr>
      </w:pPr>
      <w:r w:rsidRPr="00E96181">
        <w:rPr>
          <w:b/>
          <w:i/>
          <w:color w:val="000000" w:themeColor="text1"/>
          <w:szCs w:val="20"/>
        </w:rPr>
        <w:t xml:space="preserve">2.  Brokerage Referrals - </w:t>
      </w:r>
      <w:r w:rsidRPr="00E96181">
        <w:rPr>
          <w:noProof/>
          <w:color w:val="000000" w:themeColor="text1"/>
          <w:szCs w:val="20"/>
        </w:rPr>
        <w:t>CFG</w:t>
      </w:r>
      <w:r w:rsidRPr="00E96181">
        <w:rPr>
          <w:color w:val="000000" w:themeColor="text1"/>
        </w:rPr>
        <w:t xml:space="preserve"> does not receive any compensation from any third party in connection with the recommendation for establishing an account.</w:t>
      </w:r>
      <w:r w:rsidRPr="00E96181">
        <w:rPr>
          <w:color w:val="000000" w:themeColor="text1"/>
        </w:rPr>
        <w:br/>
      </w:r>
    </w:p>
    <w:p w14:paraId="48E94AF3" w14:textId="77777777" w:rsidR="002404C2" w:rsidRPr="00E96181" w:rsidRDefault="002404C2" w:rsidP="002404C2">
      <w:pPr>
        <w:rPr>
          <w:color w:val="000000" w:themeColor="text1"/>
        </w:rPr>
      </w:pPr>
      <w:r w:rsidRPr="00E96181">
        <w:rPr>
          <w:b/>
          <w:i/>
          <w:color w:val="000000" w:themeColor="text1"/>
          <w:szCs w:val="20"/>
        </w:rPr>
        <w:t xml:space="preserve">3.  Directed Brokerage - </w:t>
      </w:r>
      <w:r w:rsidRPr="00E96181">
        <w:rPr>
          <w:color w:val="000000" w:themeColor="text1"/>
        </w:rPr>
        <w:t xml:space="preserve">All Clients are serviced on a “directed brokerage basis”, where </w:t>
      </w:r>
      <w:r w:rsidRPr="00E96181">
        <w:rPr>
          <w:noProof/>
          <w:color w:val="000000" w:themeColor="text1"/>
          <w:szCs w:val="20"/>
        </w:rPr>
        <w:t>CFG</w:t>
      </w:r>
      <w:r w:rsidRPr="00E96181">
        <w:rPr>
          <w:color w:val="000000" w:themeColor="text1"/>
          <w:szCs w:val="20"/>
        </w:rPr>
        <w:t xml:space="preserve"> </w:t>
      </w:r>
      <w:r w:rsidRPr="00E96181">
        <w:rPr>
          <w:color w:val="000000" w:themeColor="text1"/>
        </w:rPr>
        <w:t xml:space="preserve">will place trades within the established account[s] at the custodian designated by the Client. Further, all Client accounts are traded within their respective brokerage account[s]. The Advisor will not engage in any principal transactions (i.e., trade </w:t>
      </w:r>
      <w:r w:rsidRPr="00E96181">
        <w:rPr>
          <w:color w:val="000000" w:themeColor="text1"/>
        </w:rPr>
        <w:lastRenderedPageBreak/>
        <w:t xml:space="preserve">of any security from or to the Advisor’s own account) or cross transactions with other Client accounts (i.e., purchase of a security into one Client account from another Client’s account[s]). </w:t>
      </w:r>
      <w:r w:rsidRPr="00E96181">
        <w:rPr>
          <w:noProof/>
          <w:color w:val="000000" w:themeColor="text1"/>
          <w:szCs w:val="20"/>
        </w:rPr>
        <w:t>CFG</w:t>
      </w:r>
      <w:r w:rsidRPr="00E96181">
        <w:rPr>
          <w:color w:val="000000" w:themeColor="text1"/>
          <w:szCs w:val="20"/>
        </w:rPr>
        <w:t xml:space="preserve"> </w:t>
      </w:r>
      <w:r w:rsidRPr="00E96181">
        <w:rPr>
          <w:color w:val="000000" w:themeColor="text1"/>
        </w:rPr>
        <w:t xml:space="preserve">will not be obligated to select competitive bids on securities transactions and does not have an obligation to seek the lowest available transaction costs. These costs are determined by the designated Custodian. </w:t>
      </w:r>
      <w:r w:rsidRPr="00E96181">
        <w:rPr>
          <w:color w:val="000000"/>
        </w:rPr>
        <w:t>The Advisor may not be able to aggregate orders to reduce transaction costs in a Client directed brokerage account.</w:t>
      </w:r>
    </w:p>
    <w:p w14:paraId="38ED35B4" w14:textId="77777777" w:rsidR="002404C2" w:rsidRPr="00E96181" w:rsidRDefault="002404C2" w:rsidP="002404C2">
      <w:pPr>
        <w:rPr>
          <w:color w:val="000000" w:themeColor="text1"/>
        </w:rPr>
      </w:pPr>
      <w:bookmarkStart w:id="112" w:name="_Toc161575125"/>
    </w:p>
    <w:p w14:paraId="7F3203AB" w14:textId="77777777" w:rsidR="002404C2" w:rsidRPr="00E96181" w:rsidRDefault="002404C2" w:rsidP="002404C2">
      <w:pPr>
        <w:pStyle w:val="ADVSubheading"/>
        <w:rPr>
          <w:i/>
          <w:color w:val="000000" w:themeColor="text1"/>
        </w:rPr>
      </w:pPr>
      <w:bookmarkStart w:id="113" w:name="_Toc241118533"/>
      <w:bookmarkStart w:id="114" w:name="_Toc462744563"/>
      <w:bookmarkStart w:id="115" w:name="_Toc406665848"/>
      <w:r w:rsidRPr="00E96181">
        <w:rPr>
          <w:color w:val="000000" w:themeColor="text1"/>
        </w:rPr>
        <w:t>B.  Aggregating and Allocating Trades</w:t>
      </w:r>
      <w:bookmarkEnd w:id="112"/>
      <w:bookmarkEnd w:id="113"/>
      <w:bookmarkEnd w:id="114"/>
      <w:bookmarkEnd w:id="115"/>
      <w:r w:rsidRPr="00E96181">
        <w:rPr>
          <w:color w:val="000000" w:themeColor="text1"/>
        </w:rPr>
        <w:t xml:space="preserve"> </w:t>
      </w:r>
    </w:p>
    <w:p w14:paraId="3CC3A9B0" w14:textId="77777777" w:rsidR="002404C2" w:rsidRPr="00E96181" w:rsidRDefault="002404C2" w:rsidP="002404C2">
      <w:pPr>
        <w:rPr>
          <w:rFonts w:cs="Arial"/>
          <w:color w:val="000000" w:themeColor="text1"/>
        </w:rPr>
      </w:pPr>
      <w:r w:rsidRPr="00E96181">
        <w:rPr>
          <w:color w:val="000000" w:themeColor="text1"/>
        </w:rPr>
        <w:t xml:space="preserve">The primary objective in placing orders for the purchase and sale of securities for Client accounts is to obtain the most favorable net results taking into account such factors as 1) price, 2) size of order, 3) difficulty of execution, 4) confidentiality and 5) skill required of the broker-dealer/custodian. </w:t>
      </w:r>
      <w:r w:rsidRPr="00E96181">
        <w:rPr>
          <w:noProof/>
          <w:color w:val="000000" w:themeColor="text1"/>
          <w:szCs w:val="20"/>
        </w:rPr>
        <w:t>CFG</w:t>
      </w:r>
      <w:r w:rsidRPr="00E96181">
        <w:rPr>
          <w:color w:val="000000" w:themeColor="text1"/>
        </w:rPr>
        <w:t xml:space="preserve"> will execute its transactions through the Custodian as authorized by the Client. </w:t>
      </w:r>
      <w:r w:rsidRPr="00E96181">
        <w:rPr>
          <w:noProof/>
          <w:color w:val="000000" w:themeColor="text1"/>
          <w:szCs w:val="20"/>
        </w:rPr>
        <w:t>CFG</w:t>
      </w:r>
      <w:r w:rsidRPr="00E96181">
        <w:rPr>
          <w:color w:val="000000" w:themeColor="text1"/>
        </w:rPr>
        <w:t xml:space="preserve"> may aggregate orders in a block trade or trades when securities are purchased or sold through the same broker-dealer for multiple (discretionary) accounts in the same trading day. If a block trade cannot be executed in full at the same price or time, the securities actually purchased or sold by the close of each business day must be allocated in a manner that is consistent with the initial pre-allocation or other written statement. This must be done in a way that does not consistently advantage or disadvantage any particular Client accounts. </w:t>
      </w:r>
      <w:r w:rsidRPr="00E96181">
        <w:rPr>
          <w:rFonts w:cs="Arial"/>
          <w:color w:val="000000" w:themeColor="text1"/>
        </w:rPr>
        <w:br/>
      </w:r>
    </w:p>
    <w:p w14:paraId="39519470" w14:textId="77777777" w:rsidR="002404C2" w:rsidRPr="00E96181" w:rsidRDefault="002404C2" w:rsidP="002404C2">
      <w:pPr>
        <w:pStyle w:val="ADVSectionHeader"/>
        <w:rPr>
          <w:color w:val="000000" w:themeColor="text1"/>
        </w:rPr>
      </w:pPr>
      <w:bookmarkStart w:id="116" w:name="_Toc161575126"/>
      <w:bookmarkStart w:id="117" w:name="_Toc241118534"/>
      <w:bookmarkStart w:id="118" w:name="_Toc462744564"/>
      <w:bookmarkStart w:id="119" w:name="_Toc406665849"/>
      <w:r w:rsidRPr="00E96181">
        <w:rPr>
          <w:color w:val="000000" w:themeColor="text1"/>
        </w:rPr>
        <w:t xml:space="preserve">Item 13 </w:t>
      </w:r>
      <w:r w:rsidRPr="00E96181">
        <w:rPr>
          <w:color w:val="000000" w:themeColor="text1"/>
          <w:sz w:val="20"/>
        </w:rPr>
        <w:t xml:space="preserve">– </w:t>
      </w:r>
      <w:r w:rsidRPr="00E96181">
        <w:rPr>
          <w:color w:val="000000" w:themeColor="text1"/>
        </w:rPr>
        <w:t>Review of Accounts</w:t>
      </w:r>
      <w:bookmarkEnd w:id="116"/>
      <w:bookmarkEnd w:id="117"/>
      <w:bookmarkEnd w:id="118"/>
      <w:bookmarkEnd w:id="119"/>
    </w:p>
    <w:p w14:paraId="09B85BD1"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00A70D36" w14:textId="77777777" w:rsidR="002404C2" w:rsidRPr="00E96181" w:rsidRDefault="002404C2" w:rsidP="002404C2">
      <w:pPr>
        <w:pStyle w:val="ADVSubheading"/>
        <w:rPr>
          <w:color w:val="000000" w:themeColor="text1"/>
        </w:rPr>
      </w:pPr>
      <w:bookmarkStart w:id="120" w:name="_Toc161575127"/>
      <w:bookmarkStart w:id="121" w:name="_Toc241118535"/>
      <w:bookmarkStart w:id="122" w:name="_Toc462744565"/>
      <w:bookmarkStart w:id="123" w:name="_Toc406665850"/>
      <w:r w:rsidRPr="00E96181">
        <w:rPr>
          <w:color w:val="000000" w:themeColor="text1"/>
        </w:rPr>
        <w:t>A.  Frequency of Reviews</w:t>
      </w:r>
      <w:bookmarkEnd w:id="120"/>
      <w:bookmarkEnd w:id="121"/>
      <w:bookmarkEnd w:id="122"/>
      <w:bookmarkEnd w:id="123"/>
    </w:p>
    <w:p w14:paraId="23B29182" w14:textId="56B6CF83" w:rsidR="002404C2" w:rsidRPr="00E96181" w:rsidRDefault="002404C2" w:rsidP="002404C2">
      <w:pPr>
        <w:rPr>
          <w:color w:val="000000" w:themeColor="text1"/>
        </w:rPr>
      </w:pPr>
      <w:r w:rsidRPr="00E96181">
        <w:rPr>
          <w:color w:val="000000" w:themeColor="text1"/>
        </w:rPr>
        <w:t xml:space="preserve">Securities in Client accounts are monitored on a regular and continuous basis by </w:t>
      </w:r>
      <w:r w:rsidR="003C7318" w:rsidRPr="00E96181">
        <w:rPr>
          <w:noProof/>
          <w:color w:val="000000" w:themeColor="text1"/>
        </w:rPr>
        <w:t>Michael P. Dunham,</w:t>
      </w:r>
      <w:r w:rsidR="003C7318" w:rsidRPr="00E96181">
        <w:rPr>
          <w:color w:val="000000" w:themeColor="text1"/>
        </w:rPr>
        <w:t xml:space="preserve"> President and </w:t>
      </w:r>
      <w:r w:rsidRPr="00E96181">
        <w:rPr>
          <w:color w:val="000000" w:themeColor="text1"/>
        </w:rPr>
        <w:t xml:space="preserve">Chief Compliance Officer of </w:t>
      </w:r>
      <w:r w:rsidRPr="00E96181">
        <w:rPr>
          <w:noProof/>
          <w:color w:val="000000" w:themeColor="text1"/>
          <w:szCs w:val="20"/>
        </w:rPr>
        <w:t>CFG</w:t>
      </w:r>
      <w:r w:rsidRPr="00E96181">
        <w:rPr>
          <w:color w:val="000000" w:themeColor="text1"/>
        </w:rPr>
        <w:t>. Formal reviews are generally conducted at least annually or more or less frequently depending on the needs of the Client.</w:t>
      </w:r>
    </w:p>
    <w:p w14:paraId="1484E73F" w14:textId="77777777" w:rsidR="002404C2" w:rsidRPr="00E96181" w:rsidRDefault="002404C2" w:rsidP="002404C2">
      <w:pPr>
        <w:rPr>
          <w:color w:val="000000" w:themeColor="text1"/>
        </w:rPr>
      </w:pPr>
    </w:p>
    <w:p w14:paraId="49A811A6" w14:textId="77777777" w:rsidR="002404C2" w:rsidRPr="00E96181" w:rsidRDefault="002404C2" w:rsidP="002404C2">
      <w:pPr>
        <w:pStyle w:val="ADVSubheading"/>
        <w:rPr>
          <w:color w:val="000000" w:themeColor="text1"/>
        </w:rPr>
      </w:pPr>
      <w:bookmarkStart w:id="124" w:name="_Toc161575128"/>
      <w:bookmarkStart w:id="125" w:name="_Toc241118536"/>
      <w:bookmarkStart w:id="126" w:name="_Toc462744566"/>
      <w:bookmarkStart w:id="127" w:name="_Toc406665851"/>
      <w:r w:rsidRPr="00E96181">
        <w:rPr>
          <w:color w:val="000000" w:themeColor="text1"/>
        </w:rPr>
        <w:t>B.  Causes for Reviews</w:t>
      </w:r>
      <w:bookmarkEnd w:id="124"/>
      <w:bookmarkEnd w:id="125"/>
      <w:bookmarkEnd w:id="126"/>
      <w:bookmarkEnd w:id="127"/>
    </w:p>
    <w:p w14:paraId="4FB9E083" w14:textId="77777777" w:rsidR="002404C2" w:rsidRPr="00E96181" w:rsidRDefault="002404C2" w:rsidP="002404C2">
      <w:pPr>
        <w:rPr>
          <w:color w:val="000000" w:themeColor="text1"/>
        </w:rPr>
      </w:pPr>
      <w:r w:rsidRPr="00E96181">
        <w:rPr>
          <w:color w:val="000000" w:themeColor="text1"/>
        </w:rPr>
        <w:t xml:space="preserve">In addition to the investment monitoring noted in Item 13.A., each Client account shall be reviewed at least annually. Reviews may be conducted more or less frequently at the Client’s request. Accounts may be reviewed as a result of major changes in economic conditions, known changes in the Client’s financial situation, and/or large deposits or withdrawals in the Client’s account. The Client is encouraged to notify </w:t>
      </w:r>
      <w:r w:rsidRPr="00E96181">
        <w:rPr>
          <w:noProof/>
          <w:color w:val="000000" w:themeColor="text1"/>
          <w:szCs w:val="20"/>
        </w:rPr>
        <w:t>CFG</w:t>
      </w:r>
      <w:r w:rsidRPr="00E96181">
        <w:rPr>
          <w:color w:val="000000" w:themeColor="text1"/>
        </w:rPr>
        <w:t xml:space="preserve"> if changes occur in </w:t>
      </w:r>
      <w:r w:rsidRPr="00E96181">
        <w:rPr>
          <w:color w:val="000000" w:themeColor="text1"/>
          <w:szCs w:val="20"/>
        </w:rPr>
        <w:t>the Client’s</w:t>
      </w:r>
      <w:r w:rsidRPr="00E96181">
        <w:rPr>
          <w:noProof/>
          <w:color w:val="000000" w:themeColor="text1"/>
          <w:szCs w:val="20"/>
        </w:rPr>
        <w:t xml:space="preserve"> </w:t>
      </w:r>
      <w:r w:rsidRPr="00E96181">
        <w:rPr>
          <w:color w:val="000000" w:themeColor="text1"/>
        </w:rPr>
        <w:t xml:space="preserve">personal financial situation that might adversely affect </w:t>
      </w:r>
      <w:r w:rsidRPr="00E96181">
        <w:rPr>
          <w:color w:val="000000" w:themeColor="text1"/>
          <w:szCs w:val="20"/>
        </w:rPr>
        <w:t>the Client’s</w:t>
      </w:r>
      <w:r w:rsidRPr="00E96181">
        <w:rPr>
          <w:noProof/>
          <w:color w:val="000000" w:themeColor="text1"/>
          <w:szCs w:val="20"/>
        </w:rPr>
        <w:t xml:space="preserve"> </w:t>
      </w:r>
      <w:r w:rsidRPr="00E96181">
        <w:rPr>
          <w:color w:val="000000" w:themeColor="text1"/>
        </w:rPr>
        <w:t>investment plan. Additional reviews may be triggered by material market, economic or political events.</w:t>
      </w:r>
    </w:p>
    <w:p w14:paraId="28E6E399" w14:textId="77777777" w:rsidR="002404C2" w:rsidRPr="00E96181" w:rsidRDefault="002404C2" w:rsidP="002404C2">
      <w:pPr>
        <w:rPr>
          <w:color w:val="000000" w:themeColor="text1"/>
        </w:rPr>
      </w:pPr>
    </w:p>
    <w:p w14:paraId="3CB62E89" w14:textId="77777777" w:rsidR="002404C2" w:rsidRPr="00E96181" w:rsidRDefault="002404C2" w:rsidP="002404C2">
      <w:pPr>
        <w:pStyle w:val="ADVSubheading"/>
        <w:rPr>
          <w:color w:val="000000" w:themeColor="text1"/>
        </w:rPr>
      </w:pPr>
      <w:bookmarkStart w:id="128" w:name="_Toc161575129"/>
      <w:bookmarkStart w:id="129" w:name="_Toc241118537"/>
      <w:bookmarkStart w:id="130" w:name="_Toc462744567"/>
      <w:bookmarkStart w:id="131" w:name="_Toc406665852"/>
      <w:r w:rsidRPr="00E96181">
        <w:rPr>
          <w:color w:val="000000" w:themeColor="text1"/>
        </w:rPr>
        <w:t>C. Review Reports</w:t>
      </w:r>
      <w:bookmarkEnd w:id="128"/>
      <w:bookmarkEnd w:id="129"/>
      <w:bookmarkEnd w:id="130"/>
      <w:bookmarkEnd w:id="131"/>
    </w:p>
    <w:p w14:paraId="34242253" w14:textId="77777777" w:rsidR="002404C2" w:rsidRPr="00E96181" w:rsidRDefault="002404C2" w:rsidP="002404C2">
      <w:pPr>
        <w:rPr>
          <w:rFonts w:cs="Arial"/>
          <w:color w:val="000000" w:themeColor="text1"/>
        </w:rPr>
      </w:pPr>
      <w:r w:rsidRPr="00E96181">
        <w:rPr>
          <w:color w:val="000000" w:themeColor="text1"/>
        </w:rPr>
        <w:t>The Client will receive brokerage statements no less than quarterly from the trustee or Custodian. These brokerage statements are sent directly from the Custodian to the Client. The Client may also establish electronic access to the Custodian’s website so that the Client may view these reports and their account activity. Client brokerage statements will include all positions, transactions and fees relating to the Client’s account[s]. The Advisor may also provide Clients with periodic reports regarding their holdings, allocations, and performance.</w:t>
      </w:r>
      <w:r w:rsidRPr="00E96181">
        <w:rPr>
          <w:rFonts w:cs="Arial"/>
          <w:color w:val="000000" w:themeColor="text1"/>
        </w:rPr>
        <w:br/>
      </w:r>
    </w:p>
    <w:p w14:paraId="69459AD9" w14:textId="77777777" w:rsidR="002404C2" w:rsidRPr="00E96181" w:rsidRDefault="002404C2" w:rsidP="002404C2">
      <w:pPr>
        <w:pStyle w:val="ADVSectionHeader"/>
        <w:rPr>
          <w:color w:val="000000" w:themeColor="text1"/>
        </w:rPr>
      </w:pPr>
      <w:bookmarkStart w:id="132" w:name="_Toc161575130"/>
      <w:bookmarkStart w:id="133" w:name="_Toc241118538"/>
      <w:bookmarkStart w:id="134" w:name="_Toc462744568"/>
      <w:bookmarkStart w:id="135" w:name="_Toc406665853"/>
      <w:r w:rsidRPr="00E96181">
        <w:rPr>
          <w:color w:val="000000" w:themeColor="text1"/>
        </w:rPr>
        <w:t>Item 14 – Client Referrals and Other Compensation</w:t>
      </w:r>
      <w:bookmarkEnd w:id="132"/>
      <w:bookmarkEnd w:id="133"/>
      <w:bookmarkEnd w:id="134"/>
      <w:bookmarkEnd w:id="135"/>
    </w:p>
    <w:p w14:paraId="2E5268B9" w14:textId="77777777" w:rsidR="002404C2" w:rsidRPr="00E96181" w:rsidRDefault="002404C2" w:rsidP="002404C2">
      <w:pPr>
        <w:pBdr>
          <w:top w:val="single" w:sz="6" w:space="1" w:color="244061"/>
        </w:pBdr>
        <w:spacing w:line="120" w:lineRule="exact"/>
        <w:rPr>
          <w:rFonts w:cs="Arial"/>
          <w:color w:val="000000" w:themeColor="text1"/>
          <w:szCs w:val="20"/>
        </w:rPr>
      </w:pPr>
    </w:p>
    <w:p w14:paraId="2A885EA5" w14:textId="77777777" w:rsidR="002404C2" w:rsidRPr="00E96181" w:rsidRDefault="002404C2" w:rsidP="002404C2">
      <w:pPr>
        <w:pStyle w:val="ADVSubheading"/>
        <w:rPr>
          <w:color w:val="000000" w:themeColor="text1"/>
        </w:rPr>
      </w:pPr>
      <w:bookmarkStart w:id="136" w:name="_Toc241118539"/>
      <w:bookmarkStart w:id="137" w:name="_Toc462744569"/>
      <w:bookmarkStart w:id="138" w:name="_Toc161575131"/>
      <w:bookmarkStart w:id="139" w:name="_Toc406665854"/>
      <w:r w:rsidRPr="00E96181">
        <w:rPr>
          <w:color w:val="000000" w:themeColor="text1"/>
        </w:rPr>
        <w:t xml:space="preserve">A.  Compensation Received by </w:t>
      </w:r>
      <w:r w:rsidRPr="00E96181">
        <w:rPr>
          <w:noProof/>
          <w:color w:val="000000" w:themeColor="text1"/>
        </w:rPr>
        <w:t>CFG</w:t>
      </w:r>
      <w:bookmarkEnd w:id="136"/>
      <w:bookmarkEnd w:id="137"/>
      <w:bookmarkEnd w:id="138"/>
      <w:bookmarkEnd w:id="139"/>
    </w:p>
    <w:p w14:paraId="4CA3A6D3" w14:textId="3E43B2ED" w:rsidR="002404C2" w:rsidRPr="00E96181" w:rsidRDefault="002404C2" w:rsidP="002404C2">
      <w:pPr>
        <w:rPr>
          <w:color w:val="000000" w:themeColor="text1"/>
          <w:spacing w:val="-2"/>
        </w:rPr>
      </w:pPr>
      <w:r w:rsidRPr="00E96181">
        <w:rPr>
          <w:noProof/>
          <w:color w:val="000000" w:themeColor="text1"/>
        </w:rPr>
        <w:t>CFG</w:t>
      </w:r>
      <w:r w:rsidRPr="00E96181">
        <w:rPr>
          <w:color w:val="000000" w:themeColor="text1"/>
          <w:spacing w:val="-2"/>
        </w:rPr>
        <w:t xml:space="preserve"> is a fee-based advisory firm</w:t>
      </w:r>
      <w:r w:rsidR="00A6477C" w:rsidRPr="00E96181">
        <w:rPr>
          <w:color w:val="000000" w:themeColor="text1"/>
          <w:spacing w:val="-2"/>
        </w:rPr>
        <w:t xml:space="preserve"> </w:t>
      </w:r>
      <w:r w:rsidRPr="00E96181">
        <w:rPr>
          <w:color w:val="000000" w:themeColor="text1"/>
          <w:spacing w:val="-2"/>
        </w:rPr>
        <w:t xml:space="preserve">that is compensated solely by its Clients and not from any investment product. </w:t>
      </w:r>
      <w:r w:rsidRPr="00E96181">
        <w:rPr>
          <w:noProof/>
          <w:color w:val="000000" w:themeColor="text1"/>
        </w:rPr>
        <w:t>CFG</w:t>
      </w:r>
      <w:r w:rsidRPr="00E96181">
        <w:rPr>
          <w:color w:val="000000" w:themeColor="text1"/>
          <w:spacing w:val="-2"/>
        </w:rPr>
        <w:t xml:space="preserve"> does not receive commissions or other compensation from product sponsors, broker-dealers or any un-related third party. </w:t>
      </w:r>
      <w:r w:rsidRPr="00E96181">
        <w:rPr>
          <w:noProof/>
          <w:color w:val="000000" w:themeColor="text1"/>
        </w:rPr>
        <w:t>CFG</w:t>
      </w:r>
      <w:r w:rsidRPr="00E96181">
        <w:rPr>
          <w:color w:val="000000" w:themeColor="text1"/>
          <w:spacing w:val="-2"/>
        </w:rPr>
        <w:t xml:space="preserve"> may refer Clients to various unaffiliated, non-advisory professionals (e.g. attorneys, accountants, estate planners) to provide certain financial services necessary to meet the goals of its Clients. Likewise, </w:t>
      </w:r>
      <w:r w:rsidRPr="00E96181">
        <w:rPr>
          <w:noProof/>
          <w:color w:val="000000" w:themeColor="text1"/>
        </w:rPr>
        <w:t>CFG</w:t>
      </w:r>
      <w:r w:rsidRPr="00E96181">
        <w:rPr>
          <w:color w:val="000000" w:themeColor="text1"/>
          <w:spacing w:val="-2"/>
        </w:rPr>
        <w:t xml:space="preserve"> may receive non-compensated referrals of new Clients from various third-parties. </w:t>
      </w:r>
    </w:p>
    <w:p w14:paraId="0A6967EE" w14:textId="77777777" w:rsidR="002404C2" w:rsidRPr="00E96181" w:rsidRDefault="002404C2" w:rsidP="002404C2">
      <w:pPr>
        <w:rPr>
          <w:color w:val="000000" w:themeColor="text1"/>
        </w:rPr>
      </w:pPr>
      <w:bookmarkStart w:id="140" w:name="_Toc161575132"/>
    </w:p>
    <w:p w14:paraId="08C4D155" w14:textId="77777777" w:rsidR="002404C2" w:rsidRPr="00E96181" w:rsidRDefault="002404C2" w:rsidP="002404C2">
      <w:pPr>
        <w:pStyle w:val="ADVSubheading"/>
        <w:rPr>
          <w:color w:val="000000" w:themeColor="text1"/>
        </w:rPr>
      </w:pPr>
      <w:bookmarkStart w:id="141" w:name="_Toc241118540"/>
      <w:bookmarkStart w:id="142" w:name="_Toc462744570"/>
      <w:bookmarkStart w:id="143" w:name="_Toc406665855"/>
      <w:r w:rsidRPr="00E96181">
        <w:rPr>
          <w:color w:val="000000" w:themeColor="text1"/>
        </w:rPr>
        <w:t>B.  Client Referrals from Solicitors</w:t>
      </w:r>
      <w:bookmarkEnd w:id="140"/>
      <w:bookmarkEnd w:id="141"/>
      <w:bookmarkEnd w:id="142"/>
      <w:bookmarkEnd w:id="143"/>
    </w:p>
    <w:p w14:paraId="5A8DD510" w14:textId="0CB844E2" w:rsidR="002404C2" w:rsidRPr="00E96181" w:rsidRDefault="002404C2" w:rsidP="002404C2">
      <w:pPr>
        <w:rPr>
          <w:color w:val="000000" w:themeColor="text1"/>
          <w:spacing w:val="-2"/>
        </w:rPr>
      </w:pPr>
      <w:r w:rsidRPr="00E96181">
        <w:rPr>
          <w:noProof/>
          <w:color w:val="000000" w:themeColor="text1"/>
        </w:rPr>
        <w:t>CFG</w:t>
      </w:r>
      <w:r w:rsidRPr="00E96181">
        <w:rPr>
          <w:color w:val="000000" w:themeColor="text1"/>
        </w:rPr>
        <w:t xml:space="preserve"> </w:t>
      </w:r>
      <w:r w:rsidRPr="00E96181">
        <w:rPr>
          <w:color w:val="000000" w:themeColor="text1"/>
          <w:spacing w:val="-2"/>
        </w:rPr>
        <w:t>does not engage paid solicitors for Client referrals.</w:t>
      </w:r>
    </w:p>
    <w:p w14:paraId="5B1424F6" w14:textId="77777777" w:rsidR="002404C2" w:rsidRPr="00E96181" w:rsidRDefault="002404C2" w:rsidP="002404C2">
      <w:pPr>
        <w:rPr>
          <w:color w:val="000000" w:themeColor="text1"/>
          <w:spacing w:val="-2"/>
        </w:rPr>
      </w:pPr>
    </w:p>
    <w:p w14:paraId="2EDADDB7" w14:textId="77777777" w:rsidR="002404C2" w:rsidRPr="00E96181" w:rsidRDefault="002404C2" w:rsidP="002404C2">
      <w:pPr>
        <w:pStyle w:val="ADVSectionHeader"/>
        <w:rPr>
          <w:color w:val="000000" w:themeColor="text1"/>
        </w:rPr>
      </w:pPr>
      <w:bookmarkStart w:id="144" w:name="_Toc161575133"/>
      <w:bookmarkStart w:id="145" w:name="_Toc241118541"/>
      <w:bookmarkStart w:id="146" w:name="_Toc462744571"/>
      <w:bookmarkStart w:id="147" w:name="_Toc406665856"/>
      <w:r w:rsidRPr="00E96181">
        <w:rPr>
          <w:color w:val="000000" w:themeColor="text1"/>
        </w:rPr>
        <w:t xml:space="preserve">Item 15 </w:t>
      </w:r>
      <w:r w:rsidRPr="00E96181">
        <w:rPr>
          <w:color w:val="000000" w:themeColor="text1"/>
          <w:sz w:val="20"/>
        </w:rPr>
        <w:t>–</w:t>
      </w:r>
      <w:r w:rsidRPr="00E96181">
        <w:rPr>
          <w:color w:val="000000" w:themeColor="text1"/>
        </w:rPr>
        <w:t xml:space="preserve"> Custody</w:t>
      </w:r>
      <w:bookmarkEnd w:id="144"/>
      <w:bookmarkEnd w:id="145"/>
      <w:bookmarkEnd w:id="146"/>
      <w:bookmarkEnd w:id="147"/>
    </w:p>
    <w:p w14:paraId="1D7881FC" w14:textId="77777777" w:rsidR="002404C2" w:rsidRPr="00E96181" w:rsidRDefault="002404C2" w:rsidP="002404C2">
      <w:pPr>
        <w:pBdr>
          <w:top w:val="single" w:sz="6" w:space="1" w:color="244061"/>
        </w:pBdr>
        <w:spacing w:line="120" w:lineRule="exact"/>
        <w:rPr>
          <w:rFonts w:cs="Arial"/>
          <w:color w:val="000000" w:themeColor="text1"/>
          <w:szCs w:val="20"/>
        </w:rPr>
      </w:pPr>
    </w:p>
    <w:p w14:paraId="331F657B" w14:textId="4CB1A5F5" w:rsidR="002404C2" w:rsidRPr="00E96181" w:rsidRDefault="002404C2" w:rsidP="002404C2">
      <w:pPr>
        <w:rPr>
          <w:color w:val="000000" w:themeColor="text1"/>
        </w:rPr>
      </w:pPr>
      <w:r w:rsidRPr="00E96181">
        <w:rPr>
          <w:color w:val="000000" w:themeColor="text1"/>
        </w:rPr>
        <w:lastRenderedPageBreak/>
        <w:t>CFG does not accept or maintain custody of any Client accounts, except for the authorized deduction of the Advisor’s fees. All Clients must place their assets with a “qualified custodian”. Clients are required to engage the Custodian to retain their funds and securities and direct CFG to utilize that Custodian for the Client’s security transactions. Clients should review statements provided by the Custodian and compare to any reports provided by CFG to ensure accuracy, as the Custodian does not perform this review. For more information about custodians and brokerage practices, see Item 12 - Brokerage Practices.</w:t>
      </w:r>
    </w:p>
    <w:p w14:paraId="5684FDB8" w14:textId="77777777" w:rsidR="002404C2" w:rsidRPr="00E96181" w:rsidRDefault="002404C2" w:rsidP="002404C2">
      <w:pPr>
        <w:rPr>
          <w:color w:val="000000" w:themeColor="text1"/>
        </w:rPr>
      </w:pPr>
    </w:p>
    <w:p w14:paraId="4706541C" w14:textId="77777777" w:rsidR="002404C2" w:rsidRPr="00E96181" w:rsidRDefault="002404C2" w:rsidP="002404C2">
      <w:pPr>
        <w:rPr>
          <w:rFonts w:ascii="Times New Roman" w:eastAsia="Times New Roman" w:hAnsi="Times New Roman"/>
          <w:sz w:val="24"/>
        </w:rPr>
      </w:pPr>
      <w:r w:rsidRPr="00106B54">
        <w:rPr>
          <w:rFonts w:eastAsia="Times New Roman" w:cs="Arial"/>
          <w:color w:val="000000" w:themeColor="text1"/>
          <w:szCs w:val="20"/>
        </w:rPr>
        <w:t>If the Client gives the Advisor authority to move money from one account to another account, the Advisor may have custody of those assets. In order to avoid additional regulatory requirements, the Custodian and the Advisor have adopted safeguards to ensure that the money movements are completed in accordance with the Client’s instructions.</w:t>
      </w:r>
      <w:r w:rsidRPr="00F17CE5">
        <w:rPr>
          <w:rFonts w:cs="Arial"/>
          <w:color w:val="000000" w:themeColor="text1"/>
          <w:szCs w:val="20"/>
        </w:rPr>
        <w:br/>
      </w:r>
    </w:p>
    <w:p w14:paraId="58D58EF6" w14:textId="77777777" w:rsidR="002404C2" w:rsidRPr="00E96181" w:rsidRDefault="002404C2" w:rsidP="002404C2">
      <w:pPr>
        <w:pStyle w:val="ADVSectionHeader"/>
        <w:rPr>
          <w:color w:val="000000" w:themeColor="text1"/>
        </w:rPr>
      </w:pPr>
      <w:bookmarkStart w:id="148" w:name="_Toc161575134"/>
      <w:bookmarkStart w:id="149" w:name="_Toc241118542"/>
      <w:bookmarkStart w:id="150" w:name="_Toc462744572"/>
      <w:bookmarkStart w:id="151" w:name="_Toc406665857"/>
      <w:r w:rsidRPr="00E96181">
        <w:rPr>
          <w:color w:val="000000" w:themeColor="text1"/>
        </w:rPr>
        <w:t xml:space="preserve">Item 16 </w:t>
      </w:r>
      <w:r w:rsidRPr="00E96181">
        <w:rPr>
          <w:color w:val="000000" w:themeColor="text1"/>
          <w:sz w:val="20"/>
        </w:rPr>
        <w:t>–</w:t>
      </w:r>
      <w:r w:rsidRPr="00E96181">
        <w:rPr>
          <w:color w:val="000000" w:themeColor="text1"/>
        </w:rPr>
        <w:t xml:space="preserve"> Investment Discretion</w:t>
      </w:r>
      <w:bookmarkEnd w:id="148"/>
      <w:bookmarkEnd w:id="149"/>
      <w:bookmarkEnd w:id="150"/>
      <w:bookmarkEnd w:id="151"/>
    </w:p>
    <w:p w14:paraId="13DA5693" w14:textId="77777777" w:rsidR="002404C2" w:rsidRPr="00E96181" w:rsidRDefault="002404C2" w:rsidP="002404C2">
      <w:pPr>
        <w:pBdr>
          <w:top w:val="single" w:sz="6" w:space="1" w:color="244061"/>
        </w:pBdr>
        <w:spacing w:line="120" w:lineRule="exact"/>
        <w:rPr>
          <w:rFonts w:cs="Arial"/>
          <w:color w:val="000000" w:themeColor="text1"/>
          <w:szCs w:val="20"/>
        </w:rPr>
      </w:pPr>
    </w:p>
    <w:p w14:paraId="3A380BC3" w14:textId="77777777" w:rsidR="002404C2" w:rsidRPr="00E96181" w:rsidRDefault="002404C2" w:rsidP="002404C2">
      <w:pPr>
        <w:rPr>
          <w:color w:val="000000" w:themeColor="text1"/>
        </w:rPr>
      </w:pPr>
      <w:r w:rsidRPr="00E96181">
        <w:rPr>
          <w:noProof/>
          <w:color w:val="000000" w:themeColor="text1"/>
          <w:szCs w:val="20"/>
        </w:rPr>
        <w:t>CFG</w:t>
      </w:r>
      <w:r w:rsidRPr="00E96181">
        <w:rPr>
          <w:color w:val="000000" w:themeColor="text1"/>
        </w:rPr>
        <w:t xml:space="preserve"> generally has discretion over the selection and amount of securities to be bought or sold in Client accounts without obtaining prior consent or approval from the Client. However, these purchases or sales may be subject to specified investment objectives, guidelines, or limitations previously set forth by the Client and agreed to by </w:t>
      </w:r>
      <w:r w:rsidRPr="00E96181">
        <w:rPr>
          <w:noProof/>
          <w:color w:val="000000" w:themeColor="text1"/>
          <w:szCs w:val="20"/>
        </w:rPr>
        <w:t>CFG</w:t>
      </w:r>
      <w:r w:rsidRPr="00E96181">
        <w:rPr>
          <w:color w:val="000000" w:themeColor="text1"/>
        </w:rPr>
        <w:t xml:space="preserve">. Discretionary authority will only be authorized upon full disclosure to the Client. The granting of such authority will be evidenced by the Client's execution of an investment advisory agreement containing all applicable limitations to such authority. All discretionary trades made by </w:t>
      </w:r>
      <w:r w:rsidRPr="00E96181">
        <w:rPr>
          <w:noProof/>
          <w:color w:val="000000" w:themeColor="text1"/>
          <w:szCs w:val="20"/>
        </w:rPr>
        <w:t>CFG</w:t>
      </w:r>
      <w:r w:rsidRPr="00E96181">
        <w:rPr>
          <w:color w:val="000000" w:themeColor="text1"/>
        </w:rPr>
        <w:t xml:space="preserve"> will be in accordance with each Client's investment objectives and goals.</w:t>
      </w:r>
    </w:p>
    <w:p w14:paraId="581D0660" w14:textId="7048245D" w:rsidR="002404C2" w:rsidRPr="00E96181" w:rsidRDefault="002404C2" w:rsidP="002404C2">
      <w:pPr>
        <w:rPr>
          <w:color w:val="000000" w:themeColor="text1"/>
        </w:rPr>
      </w:pPr>
    </w:p>
    <w:p w14:paraId="6C8A813A" w14:textId="77777777" w:rsidR="002404C2" w:rsidRPr="00E96181" w:rsidRDefault="002404C2" w:rsidP="002404C2">
      <w:pPr>
        <w:pStyle w:val="ADVSectionHeader"/>
        <w:rPr>
          <w:color w:val="000000" w:themeColor="text1"/>
        </w:rPr>
      </w:pPr>
      <w:bookmarkStart w:id="152" w:name="_Toc161575135"/>
      <w:bookmarkStart w:id="153" w:name="_Toc241118543"/>
      <w:bookmarkStart w:id="154" w:name="_Toc462744573"/>
      <w:bookmarkStart w:id="155" w:name="_Toc406665858"/>
      <w:r w:rsidRPr="00E96181">
        <w:rPr>
          <w:color w:val="000000" w:themeColor="text1"/>
        </w:rPr>
        <w:t xml:space="preserve">Item 17 </w:t>
      </w:r>
      <w:r w:rsidRPr="00E96181">
        <w:rPr>
          <w:color w:val="000000" w:themeColor="text1"/>
          <w:sz w:val="20"/>
        </w:rPr>
        <w:t>–</w:t>
      </w:r>
      <w:r w:rsidRPr="00E96181">
        <w:rPr>
          <w:color w:val="000000" w:themeColor="text1"/>
        </w:rPr>
        <w:t xml:space="preserve"> Voting Client Securities</w:t>
      </w:r>
      <w:bookmarkEnd w:id="152"/>
      <w:bookmarkEnd w:id="153"/>
      <w:bookmarkEnd w:id="154"/>
      <w:bookmarkEnd w:id="155"/>
    </w:p>
    <w:p w14:paraId="188C8941" w14:textId="77777777" w:rsidR="002404C2" w:rsidRPr="00E96181" w:rsidRDefault="002404C2" w:rsidP="002404C2">
      <w:pPr>
        <w:pBdr>
          <w:top w:val="single" w:sz="6" w:space="1" w:color="244061"/>
        </w:pBdr>
        <w:spacing w:line="120" w:lineRule="exact"/>
        <w:rPr>
          <w:rFonts w:cs="Arial"/>
          <w:color w:val="000000" w:themeColor="text1"/>
          <w:szCs w:val="20"/>
        </w:rPr>
      </w:pPr>
    </w:p>
    <w:p w14:paraId="627A4DC4" w14:textId="77777777" w:rsidR="002404C2" w:rsidRPr="00E96181" w:rsidRDefault="002404C2" w:rsidP="002404C2">
      <w:pPr>
        <w:rPr>
          <w:color w:val="000000" w:themeColor="text1"/>
        </w:rPr>
      </w:pPr>
      <w:r w:rsidRPr="00E96181">
        <w:rPr>
          <w:noProof/>
          <w:color w:val="000000" w:themeColor="text1"/>
        </w:rPr>
        <w:t>CFG</w:t>
      </w:r>
      <w:r w:rsidRPr="00E96181">
        <w:rPr>
          <w:color w:val="000000" w:themeColor="text1"/>
        </w:rPr>
        <w:t xml:space="preserve"> does not accept proxy-voting responsibility for any Client. Clients will receive proxy statements directly from the Custodian. The Advisor will assist in answering questions relating to proxies, however, the Client retains the sole responsibility for proxy decisions and voting.</w:t>
      </w:r>
      <w:r w:rsidRPr="00E96181">
        <w:rPr>
          <w:color w:val="000000" w:themeColor="text1"/>
        </w:rPr>
        <w:br/>
      </w:r>
    </w:p>
    <w:p w14:paraId="0906392A" w14:textId="77777777" w:rsidR="002404C2" w:rsidRPr="00E96181" w:rsidRDefault="002404C2" w:rsidP="002404C2">
      <w:pPr>
        <w:pStyle w:val="ADVSectionHeader"/>
        <w:rPr>
          <w:color w:val="000000" w:themeColor="text1"/>
        </w:rPr>
      </w:pPr>
      <w:bookmarkStart w:id="156" w:name="_Toc161575136"/>
      <w:bookmarkStart w:id="157" w:name="_Toc241118544"/>
      <w:bookmarkStart w:id="158" w:name="_Toc462744574"/>
      <w:bookmarkStart w:id="159" w:name="_Toc406665859"/>
      <w:r w:rsidRPr="00E96181">
        <w:rPr>
          <w:color w:val="000000" w:themeColor="text1"/>
        </w:rPr>
        <w:t>Item 18 – Financial Information</w:t>
      </w:r>
      <w:bookmarkEnd w:id="156"/>
      <w:bookmarkEnd w:id="157"/>
      <w:bookmarkEnd w:id="158"/>
      <w:bookmarkEnd w:id="159"/>
    </w:p>
    <w:p w14:paraId="4ECBB562" w14:textId="77777777" w:rsidR="002404C2" w:rsidRPr="00E96181" w:rsidRDefault="002404C2" w:rsidP="002404C2">
      <w:pPr>
        <w:pBdr>
          <w:top w:val="single" w:sz="6" w:space="1" w:color="244061"/>
        </w:pBdr>
        <w:spacing w:line="120" w:lineRule="exact"/>
        <w:rPr>
          <w:rFonts w:ascii="Palatino" w:hAnsi="Palatino"/>
          <w:color w:val="000000" w:themeColor="text1"/>
          <w:szCs w:val="20"/>
        </w:rPr>
      </w:pPr>
    </w:p>
    <w:p w14:paraId="77FA421F" w14:textId="36CE1F5A" w:rsidR="002404C2" w:rsidRPr="00E96181" w:rsidRDefault="002404C2" w:rsidP="002404C2">
      <w:pPr>
        <w:rPr>
          <w:color w:val="000000" w:themeColor="text1"/>
        </w:rPr>
      </w:pPr>
      <w:r w:rsidRPr="00E96181">
        <w:rPr>
          <w:color w:val="000000" w:themeColor="text1"/>
        </w:rPr>
        <w:t xml:space="preserve">Neither </w:t>
      </w:r>
      <w:r w:rsidRPr="00E96181">
        <w:rPr>
          <w:noProof/>
          <w:color w:val="000000" w:themeColor="text1"/>
        </w:rPr>
        <w:t>CFG</w:t>
      </w:r>
      <w:r w:rsidRPr="00E96181">
        <w:rPr>
          <w:color w:val="000000" w:themeColor="text1"/>
        </w:rPr>
        <w:t xml:space="preserve">, nor its management, have any adverse financial situations that would reasonably impair the ability of </w:t>
      </w:r>
      <w:r w:rsidRPr="00E96181">
        <w:rPr>
          <w:noProof/>
          <w:color w:val="000000" w:themeColor="text1"/>
        </w:rPr>
        <w:t>CFG</w:t>
      </w:r>
      <w:r w:rsidRPr="00E96181">
        <w:rPr>
          <w:color w:val="000000" w:themeColor="text1"/>
        </w:rPr>
        <w:t xml:space="preserve"> to meet all obligations to its Clients. Neither </w:t>
      </w:r>
      <w:r w:rsidRPr="00E96181">
        <w:rPr>
          <w:noProof/>
          <w:color w:val="000000" w:themeColor="text1"/>
        </w:rPr>
        <w:t>CFG</w:t>
      </w:r>
      <w:r w:rsidRPr="00E96181">
        <w:rPr>
          <w:color w:val="000000" w:themeColor="text1"/>
        </w:rPr>
        <w:t xml:space="preserve">, nor any of its Advisory Persons, has been subject to a bankruptcy or financial compromise. </w:t>
      </w:r>
      <w:r w:rsidRPr="00E96181">
        <w:rPr>
          <w:noProof/>
          <w:color w:val="000000" w:themeColor="text1"/>
        </w:rPr>
        <w:t>CFG</w:t>
      </w:r>
      <w:r w:rsidRPr="00E96181">
        <w:rPr>
          <w:color w:val="000000" w:themeColor="text1"/>
        </w:rPr>
        <w:t xml:space="preserve"> is not required to deliver a balance sheet along with this Disclosure Brochure as the Advisor </w:t>
      </w:r>
      <w:r w:rsidRPr="00E96181">
        <w:rPr>
          <w:color w:val="000000" w:themeColor="text1"/>
          <w:u w:val="single"/>
        </w:rPr>
        <w:t>does not</w:t>
      </w:r>
      <w:r w:rsidRPr="00E96181">
        <w:rPr>
          <w:color w:val="000000" w:themeColor="text1"/>
        </w:rPr>
        <w:t xml:space="preserve"> collect advance fees of </w:t>
      </w:r>
      <w:r w:rsidRPr="00106B54">
        <w:rPr>
          <w:color w:val="000000" w:themeColor="text1"/>
        </w:rPr>
        <w:t>$1,200</w:t>
      </w:r>
      <w:r w:rsidRPr="00E96181">
        <w:rPr>
          <w:color w:val="000000" w:themeColor="text1"/>
        </w:rPr>
        <w:t xml:space="preserve"> or more for services to be performed </w:t>
      </w:r>
      <w:r w:rsidRPr="00E96181">
        <w:rPr>
          <w:color w:val="000000" w:themeColor="text1"/>
          <w:u w:val="single"/>
        </w:rPr>
        <w:t>six months</w:t>
      </w:r>
      <w:r w:rsidRPr="00E96181">
        <w:rPr>
          <w:color w:val="000000" w:themeColor="text1"/>
        </w:rPr>
        <w:t xml:space="preserve"> or more in the future.</w:t>
      </w:r>
    </w:p>
    <w:p w14:paraId="27812948" w14:textId="77777777" w:rsidR="002404C2" w:rsidRPr="00E96181" w:rsidRDefault="002404C2" w:rsidP="002404C2">
      <w:pPr>
        <w:rPr>
          <w:rFonts w:ascii="Palatino" w:hAnsi="Palatino"/>
          <w:color w:val="000000" w:themeColor="text1"/>
        </w:rPr>
      </w:pPr>
    </w:p>
    <w:bookmarkEnd w:id="3"/>
    <w:p w14:paraId="5AE7DD42" w14:textId="77777777" w:rsidR="002404C2" w:rsidRPr="00E96181" w:rsidRDefault="002404C2">
      <w:pPr>
        <w:rPr>
          <w:color w:val="000000" w:themeColor="text1"/>
        </w:rPr>
      </w:pPr>
      <w:r w:rsidRPr="00E96181">
        <w:rPr>
          <w:color w:val="000000" w:themeColor="text1"/>
        </w:rPr>
        <w:br w:type="page"/>
      </w:r>
    </w:p>
    <w:p w14:paraId="0C200C2D" w14:textId="77777777" w:rsidR="002404C2" w:rsidRPr="00E96181" w:rsidRDefault="002404C2" w:rsidP="002404C2">
      <w:pPr>
        <w:pStyle w:val="Heading1"/>
      </w:pPr>
      <w:bookmarkStart w:id="160" w:name="_Toc462744581"/>
      <w:bookmarkStart w:id="161" w:name="_Toc406665860"/>
      <w:bookmarkStart w:id="162" w:name="PrivacyPolicy"/>
      <w:r w:rsidRPr="00E96181">
        <w:lastRenderedPageBreak/>
        <w:t>Privacy Policy</w:t>
      </w:r>
      <w:bookmarkEnd w:id="160"/>
      <w:bookmarkEnd w:id="161"/>
    </w:p>
    <w:p w14:paraId="447FD863" w14:textId="77777777" w:rsidR="002404C2" w:rsidRPr="00E96181" w:rsidRDefault="002404C2" w:rsidP="002404C2">
      <w:pPr>
        <w:pBdr>
          <w:top w:val="single" w:sz="6" w:space="1" w:color="244061"/>
        </w:pBdr>
        <w:spacing w:line="120" w:lineRule="exact"/>
        <w:rPr>
          <w:rFonts w:ascii="Palatino" w:hAnsi="Palatino"/>
          <w:szCs w:val="20"/>
        </w:rPr>
      </w:pPr>
    </w:p>
    <w:p w14:paraId="779D3716" w14:textId="21C954E7" w:rsidR="002404C2" w:rsidRPr="00E96181" w:rsidRDefault="002404C2" w:rsidP="002404C2">
      <w:pPr>
        <w:rPr>
          <w:rFonts w:cs="Arial"/>
          <w:b/>
          <w:bCs/>
          <w:color w:val="000000" w:themeColor="text1"/>
          <w:szCs w:val="20"/>
        </w:rPr>
      </w:pPr>
      <w:r w:rsidRPr="00E96181">
        <w:rPr>
          <w:szCs w:val="20"/>
        </w:rPr>
        <w:t>Effective:</w:t>
      </w:r>
      <w:r w:rsidRPr="00E96181">
        <w:rPr>
          <w:b/>
          <w:szCs w:val="20"/>
        </w:rPr>
        <w:t xml:space="preserve"> </w:t>
      </w:r>
      <w:r w:rsidR="007044CD">
        <w:rPr>
          <w:noProof/>
          <w:color w:val="000000" w:themeColor="text1"/>
          <w:szCs w:val="20"/>
        </w:rPr>
        <w:t>May 16, 2019</w:t>
      </w:r>
    </w:p>
    <w:p w14:paraId="65574120" w14:textId="77777777" w:rsidR="002404C2" w:rsidRPr="00E96181" w:rsidRDefault="002404C2" w:rsidP="002404C2">
      <w:pPr>
        <w:rPr>
          <w:rFonts w:cs="Arial"/>
          <w:b/>
          <w:bCs/>
          <w:color w:val="000000" w:themeColor="text1"/>
          <w:szCs w:val="20"/>
        </w:rPr>
      </w:pPr>
    </w:p>
    <w:p w14:paraId="5F6A4576" w14:textId="77777777" w:rsidR="002404C2" w:rsidRPr="00E96181" w:rsidRDefault="002404C2" w:rsidP="002404C2">
      <w:pPr>
        <w:rPr>
          <w:b/>
        </w:rPr>
      </w:pPr>
      <w:r w:rsidRPr="00E96181">
        <w:rPr>
          <w:b/>
        </w:rPr>
        <w:t>Our Commitment to You</w:t>
      </w:r>
    </w:p>
    <w:p w14:paraId="0AF79BBC" w14:textId="498E0C42" w:rsidR="002404C2" w:rsidRPr="00E96181" w:rsidRDefault="002404C2" w:rsidP="002404C2">
      <w:pPr>
        <w:rPr>
          <w:rFonts w:eastAsia="Times New Roman" w:cs="Arial"/>
        </w:rPr>
      </w:pPr>
      <w:r w:rsidRPr="00E96181">
        <w:rPr>
          <w:rFonts w:eastAsia="Times New Roman" w:cs="Arial"/>
          <w:noProof/>
        </w:rPr>
        <w:t>Capstone Financial Group</w:t>
      </w:r>
      <w:r w:rsidRPr="00E96181">
        <w:rPr>
          <w:rFonts w:eastAsia="Times New Roman" w:cs="Arial"/>
        </w:rPr>
        <w:t xml:space="preserve">, </w:t>
      </w:r>
      <w:r w:rsidR="00C20F38">
        <w:rPr>
          <w:rFonts w:eastAsia="Times New Roman" w:cs="Arial"/>
        </w:rPr>
        <w:t>Inc.</w:t>
      </w:r>
      <w:r w:rsidRPr="00E96181">
        <w:rPr>
          <w:rFonts w:eastAsia="Times New Roman" w:cs="Arial"/>
        </w:rPr>
        <w:t xml:space="preserve"> (“</w:t>
      </w:r>
      <w:r w:rsidRPr="00E96181">
        <w:rPr>
          <w:noProof/>
          <w:szCs w:val="20"/>
        </w:rPr>
        <w:t>CFG</w:t>
      </w:r>
      <w:r w:rsidRPr="00E96181">
        <w:rPr>
          <w:rFonts w:eastAsia="Times New Roman" w:cs="Arial"/>
        </w:rPr>
        <w:t>” or the “Advisor”) is committed to safeguarding the use of personal information of our Clients (also referred to as “you” and “your”) that we obtain as your Investment Advisor, as described here in our Privacy Policy (“Policy”).</w:t>
      </w:r>
    </w:p>
    <w:p w14:paraId="581E22EF" w14:textId="77777777" w:rsidR="002404C2" w:rsidRPr="00E96181" w:rsidRDefault="002404C2" w:rsidP="002404C2">
      <w:pPr>
        <w:widowControl w:val="0"/>
        <w:autoSpaceDE w:val="0"/>
        <w:autoSpaceDN w:val="0"/>
        <w:adjustRightInd w:val="0"/>
        <w:rPr>
          <w:rFonts w:eastAsia="Times New Roman" w:cs="Arial"/>
        </w:rPr>
      </w:pPr>
    </w:p>
    <w:p w14:paraId="172F080A" w14:textId="77777777" w:rsidR="002404C2" w:rsidRPr="00E96181" w:rsidRDefault="002404C2" w:rsidP="002404C2">
      <w:pPr>
        <w:widowControl w:val="0"/>
        <w:autoSpaceDE w:val="0"/>
        <w:autoSpaceDN w:val="0"/>
        <w:adjustRightInd w:val="0"/>
        <w:rPr>
          <w:rFonts w:eastAsia="Times New Roman" w:cs="Arial"/>
        </w:rPr>
      </w:pPr>
      <w:r w:rsidRPr="00E96181">
        <w:rPr>
          <w:rFonts w:eastAsia="Times New Roman" w:cs="Arial"/>
        </w:rPr>
        <w:t xml:space="preserve">Our relationship with you is our most important asset. We understand that you have entrusted us with your private information, and we do everything that we can to maintain that trust. </w:t>
      </w:r>
      <w:r w:rsidRPr="00E96181">
        <w:rPr>
          <w:noProof/>
          <w:szCs w:val="20"/>
        </w:rPr>
        <w:t>CFG</w:t>
      </w:r>
      <w:r w:rsidRPr="00E96181">
        <w:rPr>
          <w:rFonts w:eastAsia="Times New Roman" w:cs="Arial"/>
        </w:rPr>
        <w:t xml:space="preserve"> (also referred to as "we", "our" and "us”) protects the security and confidentiality of the personal information we have and implements controls to ensure that such information is used for proper business purposes in connection with the management or servicing of our relationship with you. </w:t>
      </w:r>
    </w:p>
    <w:p w14:paraId="0254199D" w14:textId="77777777" w:rsidR="002404C2" w:rsidRPr="00E96181" w:rsidRDefault="002404C2" w:rsidP="002404C2">
      <w:pPr>
        <w:widowControl w:val="0"/>
        <w:autoSpaceDE w:val="0"/>
        <w:autoSpaceDN w:val="0"/>
        <w:adjustRightInd w:val="0"/>
        <w:rPr>
          <w:rFonts w:eastAsia="Times New Roman" w:cs="Arial"/>
        </w:rPr>
      </w:pPr>
    </w:p>
    <w:p w14:paraId="6F67556D" w14:textId="77777777" w:rsidR="002404C2" w:rsidRPr="00E96181" w:rsidRDefault="002404C2" w:rsidP="002404C2">
      <w:pPr>
        <w:widowControl w:val="0"/>
        <w:autoSpaceDE w:val="0"/>
        <w:autoSpaceDN w:val="0"/>
        <w:adjustRightInd w:val="0"/>
        <w:rPr>
          <w:rFonts w:eastAsia="Times New Roman" w:cs="Arial"/>
        </w:rPr>
      </w:pPr>
      <w:r w:rsidRPr="00E96181">
        <w:rPr>
          <w:noProof/>
          <w:szCs w:val="20"/>
        </w:rPr>
        <w:t>CFG</w:t>
      </w:r>
      <w:r w:rsidRPr="00E96181">
        <w:rPr>
          <w:szCs w:val="20"/>
        </w:rPr>
        <w:t xml:space="preserve"> </w:t>
      </w:r>
      <w:r w:rsidRPr="00E96181">
        <w:rPr>
          <w:rFonts w:eastAsia="Times New Roman" w:cs="Arial"/>
        </w:rPr>
        <w:t>does not sell your non-public personal information to anyone. Nor do we provide such information to others except for discrete and reasonable business purposes in connection with the servicing and management of our relationship with you, as discussed below.</w:t>
      </w:r>
    </w:p>
    <w:p w14:paraId="6A453C0C" w14:textId="77777777" w:rsidR="002404C2" w:rsidRPr="00E96181" w:rsidRDefault="002404C2" w:rsidP="002404C2">
      <w:pPr>
        <w:widowControl w:val="0"/>
        <w:autoSpaceDE w:val="0"/>
        <w:autoSpaceDN w:val="0"/>
        <w:adjustRightInd w:val="0"/>
        <w:rPr>
          <w:rFonts w:eastAsia="Times New Roman" w:cs="Arial"/>
        </w:rPr>
      </w:pPr>
    </w:p>
    <w:p w14:paraId="7D1D7617" w14:textId="77777777" w:rsidR="002404C2" w:rsidRPr="00E96181" w:rsidRDefault="002404C2" w:rsidP="002404C2">
      <w:pPr>
        <w:widowControl w:val="0"/>
        <w:autoSpaceDE w:val="0"/>
        <w:autoSpaceDN w:val="0"/>
        <w:adjustRightInd w:val="0"/>
        <w:rPr>
          <w:rFonts w:eastAsia="Times New Roman" w:cs="Arial"/>
        </w:rPr>
      </w:pPr>
      <w:r w:rsidRPr="00E96181">
        <w:rPr>
          <w:rFonts w:eastAsia="Times New Roman" w:cs="Arial"/>
        </w:rPr>
        <w:t>Details of our approach to privacy and how your personal non-public information is collected and used are set forth in this Policy.</w:t>
      </w:r>
    </w:p>
    <w:p w14:paraId="6E485979" w14:textId="77777777" w:rsidR="002404C2" w:rsidRPr="00E96181" w:rsidRDefault="002404C2" w:rsidP="002404C2">
      <w:pPr>
        <w:widowControl w:val="0"/>
        <w:autoSpaceDE w:val="0"/>
        <w:autoSpaceDN w:val="0"/>
        <w:adjustRightInd w:val="0"/>
        <w:rPr>
          <w:rFonts w:cs="Arial"/>
        </w:rPr>
      </w:pPr>
    </w:p>
    <w:p w14:paraId="689D6061" w14:textId="77777777" w:rsidR="002404C2" w:rsidRPr="00E96181" w:rsidRDefault="002404C2" w:rsidP="002404C2">
      <w:pPr>
        <w:widowControl w:val="0"/>
        <w:autoSpaceDE w:val="0"/>
        <w:autoSpaceDN w:val="0"/>
        <w:adjustRightInd w:val="0"/>
        <w:rPr>
          <w:rFonts w:cs="Arial"/>
          <w:b/>
        </w:rPr>
      </w:pPr>
      <w:r w:rsidRPr="00E96181">
        <w:rPr>
          <w:rFonts w:cs="Arial"/>
          <w:b/>
        </w:rPr>
        <w:t>Why you need to know?</w:t>
      </w:r>
    </w:p>
    <w:p w14:paraId="788758F4" w14:textId="77777777" w:rsidR="002404C2" w:rsidRPr="00E96181" w:rsidRDefault="002404C2" w:rsidP="002404C2">
      <w:pPr>
        <w:widowControl w:val="0"/>
        <w:autoSpaceDE w:val="0"/>
        <w:autoSpaceDN w:val="0"/>
        <w:adjustRightInd w:val="0"/>
        <w:rPr>
          <w:rFonts w:cs="Arial"/>
        </w:rPr>
      </w:pPr>
      <w:r w:rsidRPr="00E96181">
        <w:rPr>
          <w:rFonts w:cs="Arial"/>
        </w:rPr>
        <w:t>Registered Investment Advisors (“RIAs”) must share some of your personal information in the course of servicing your account. Federal and State laws give you the right to limit some of this sharing and require RIAs to disclose how we collect, share, and protect your personal information.</w:t>
      </w:r>
    </w:p>
    <w:p w14:paraId="7B6C822C" w14:textId="77777777" w:rsidR="002404C2" w:rsidRPr="00E96181" w:rsidRDefault="002404C2" w:rsidP="002404C2">
      <w:pPr>
        <w:widowControl w:val="0"/>
        <w:autoSpaceDE w:val="0"/>
        <w:autoSpaceDN w:val="0"/>
        <w:adjustRightInd w:val="0"/>
        <w:rPr>
          <w:rFonts w:cs="Arial"/>
        </w:rPr>
      </w:pPr>
    </w:p>
    <w:p w14:paraId="0CCAC3CE" w14:textId="77777777" w:rsidR="002404C2" w:rsidRPr="00E96181" w:rsidRDefault="002404C2" w:rsidP="002404C2">
      <w:pPr>
        <w:widowControl w:val="0"/>
        <w:autoSpaceDE w:val="0"/>
        <w:autoSpaceDN w:val="0"/>
        <w:adjustRightInd w:val="0"/>
        <w:rPr>
          <w:rFonts w:cs="Arial"/>
          <w:b/>
        </w:rPr>
      </w:pPr>
      <w:r w:rsidRPr="00E96181">
        <w:rPr>
          <w:rFonts w:cs="Arial"/>
          <w:b/>
        </w:rPr>
        <w:t>What information do we collect from you?</w:t>
      </w:r>
    </w:p>
    <w:p w14:paraId="59C66603" w14:textId="77777777" w:rsidR="002404C2" w:rsidRPr="00E96181" w:rsidRDefault="002404C2" w:rsidP="002404C2">
      <w:pPr>
        <w:widowControl w:val="0"/>
        <w:autoSpaceDE w:val="0"/>
        <w:autoSpaceDN w:val="0"/>
        <w:adjustRightInd w:val="0"/>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3630"/>
      </w:tblGrid>
      <w:tr w:rsidR="009E28D0" w:rsidRPr="00E96181" w14:paraId="1526013E" w14:textId="77777777" w:rsidTr="003C7318">
        <w:trPr>
          <w:trHeight w:val="305"/>
          <w:jc w:val="center"/>
        </w:trPr>
        <w:tc>
          <w:tcPr>
            <w:tcW w:w="4646" w:type="dxa"/>
            <w:vAlign w:val="center"/>
          </w:tcPr>
          <w:p w14:paraId="2B44796D"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Driver’s license number</w:t>
            </w:r>
          </w:p>
        </w:tc>
        <w:tc>
          <w:tcPr>
            <w:tcW w:w="3630" w:type="dxa"/>
            <w:vAlign w:val="center"/>
          </w:tcPr>
          <w:p w14:paraId="7CF3197E"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Date of birth</w:t>
            </w:r>
          </w:p>
        </w:tc>
      </w:tr>
      <w:tr w:rsidR="009E28D0" w:rsidRPr="00E96181" w14:paraId="74C34A69" w14:textId="77777777" w:rsidTr="003C7318">
        <w:trPr>
          <w:trHeight w:val="305"/>
          <w:jc w:val="center"/>
        </w:trPr>
        <w:tc>
          <w:tcPr>
            <w:tcW w:w="4646" w:type="dxa"/>
            <w:vAlign w:val="center"/>
          </w:tcPr>
          <w:p w14:paraId="6E0A74C6"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Social security or taxpayer identification number</w:t>
            </w:r>
          </w:p>
        </w:tc>
        <w:tc>
          <w:tcPr>
            <w:tcW w:w="3630" w:type="dxa"/>
            <w:vAlign w:val="center"/>
          </w:tcPr>
          <w:p w14:paraId="222EB430"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Assets and liabilities</w:t>
            </w:r>
          </w:p>
        </w:tc>
      </w:tr>
      <w:tr w:rsidR="009E28D0" w:rsidRPr="00E96181" w14:paraId="01CE7BF9" w14:textId="77777777" w:rsidTr="003C7318">
        <w:trPr>
          <w:trHeight w:val="260"/>
          <w:jc w:val="center"/>
        </w:trPr>
        <w:tc>
          <w:tcPr>
            <w:tcW w:w="4646" w:type="dxa"/>
            <w:vAlign w:val="center"/>
          </w:tcPr>
          <w:p w14:paraId="030A8819"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Name, address and phone number(s)</w:t>
            </w:r>
          </w:p>
        </w:tc>
        <w:tc>
          <w:tcPr>
            <w:tcW w:w="3630" w:type="dxa"/>
            <w:vAlign w:val="center"/>
          </w:tcPr>
          <w:p w14:paraId="4613D490"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Income and expenses</w:t>
            </w:r>
          </w:p>
        </w:tc>
      </w:tr>
      <w:tr w:rsidR="009E28D0" w:rsidRPr="00E96181" w14:paraId="01070C5D" w14:textId="77777777" w:rsidTr="003C7318">
        <w:trPr>
          <w:trHeight w:val="278"/>
          <w:jc w:val="center"/>
        </w:trPr>
        <w:tc>
          <w:tcPr>
            <w:tcW w:w="4646" w:type="dxa"/>
            <w:vAlign w:val="center"/>
          </w:tcPr>
          <w:p w14:paraId="6976B9E6"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E-mail address(es)</w:t>
            </w:r>
          </w:p>
        </w:tc>
        <w:tc>
          <w:tcPr>
            <w:tcW w:w="3630" w:type="dxa"/>
            <w:vAlign w:val="center"/>
          </w:tcPr>
          <w:p w14:paraId="0AC6A07A"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Investment activity</w:t>
            </w:r>
          </w:p>
        </w:tc>
      </w:tr>
      <w:tr w:rsidR="009E28D0" w:rsidRPr="00E96181" w14:paraId="3AC3A850" w14:textId="77777777" w:rsidTr="003C7318">
        <w:trPr>
          <w:trHeight w:val="269"/>
          <w:jc w:val="center"/>
        </w:trPr>
        <w:tc>
          <w:tcPr>
            <w:tcW w:w="4646" w:type="dxa"/>
            <w:vAlign w:val="center"/>
          </w:tcPr>
          <w:p w14:paraId="06720D6D"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Account information (including other institutions)</w:t>
            </w:r>
          </w:p>
        </w:tc>
        <w:tc>
          <w:tcPr>
            <w:tcW w:w="3630" w:type="dxa"/>
            <w:vAlign w:val="center"/>
          </w:tcPr>
          <w:p w14:paraId="6079C692" w14:textId="77777777" w:rsidR="002404C2" w:rsidRPr="00E96181" w:rsidRDefault="002404C2" w:rsidP="002404C2">
            <w:pPr>
              <w:widowControl w:val="0"/>
              <w:autoSpaceDE w:val="0"/>
              <w:autoSpaceDN w:val="0"/>
              <w:adjustRightInd w:val="0"/>
              <w:spacing w:before="40" w:after="40"/>
              <w:rPr>
                <w:rFonts w:cs="Arial"/>
                <w:szCs w:val="20"/>
              </w:rPr>
            </w:pPr>
            <w:r w:rsidRPr="00E96181">
              <w:rPr>
                <w:rFonts w:cs="Arial"/>
                <w:szCs w:val="20"/>
              </w:rPr>
              <w:t>Investment experience and goals</w:t>
            </w:r>
          </w:p>
        </w:tc>
      </w:tr>
    </w:tbl>
    <w:p w14:paraId="7F1CD468" w14:textId="77777777" w:rsidR="002404C2" w:rsidRPr="00E96181" w:rsidRDefault="002404C2" w:rsidP="002404C2">
      <w:pPr>
        <w:widowControl w:val="0"/>
        <w:autoSpaceDE w:val="0"/>
        <w:autoSpaceDN w:val="0"/>
        <w:adjustRightInd w:val="0"/>
        <w:rPr>
          <w:rFonts w:cs="Arial"/>
          <w:b/>
        </w:rPr>
      </w:pPr>
    </w:p>
    <w:p w14:paraId="100DA7B3" w14:textId="77777777" w:rsidR="002404C2" w:rsidRPr="00E96181" w:rsidRDefault="002404C2" w:rsidP="002404C2">
      <w:pPr>
        <w:widowControl w:val="0"/>
        <w:autoSpaceDE w:val="0"/>
        <w:autoSpaceDN w:val="0"/>
        <w:adjustRightInd w:val="0"/>
        <w:rPr>
          <w:rFonts w:cs="Arial"/>
          <w:b/>
        </w:rPr>
      </w:pPr>
      <w:r w:rsidRPr="00E96181">
        <w:rPr>
          <w:rFonts w:cs="Arial"/>
          <w:b/>
        </w:rPr>
        <w:t>What Information do we collect from other sources?</w:t>
      </w:r>
    </w:p>
    <w:p w14:paraId="76E732B3" w14:textId="77777777" w:rsidR="002404C2" w:rsidRPr="00E96181" w:rsidRDefault="002404C2" w:rsidP="002404C2">
      <w:pPr>
        <w:widowControl w:val="0"/>
        <w:autoSpaceDE w:val="0"/>
        <w:autoSpaceDN w:val="0"/>
        <w:adjustRightInd w:val="0"/>
        <w:rPr>
          <w:rFonts w:cs="Arial"/>
          <w:b/>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4125"/>
      </w:tblGrid>
      <w:tr w:rsidR="009E28D0" w:rsidRPr="00E96181" w14:paraId="557BBE1B" w14:textId="77777777" w:rsidTr="00106B54">
        <w:trPr>
          <w:trHeight w:val="310"/>
          <w:jc w:val="center"/>
        </w:trPr>
        <w:tc>
          <w:tcPr>
            <w:tcW w:w="4336" w:type="dxa"/>
            <w:vAlign w:val="center"/>
          </w:tcPr>
          <w:p w14:paraId="1E90F178" w14:textId="77777777" w:rsidR="002404C2" w:rsidRPr="00E96181" w:rsidRDefault="002404C2" w:rsidP="002404C2">
            <w:pPr>
              <w:widowControl w:val="0"/>
              <w:autoSpaceDE w:val="0"/>
              <w:autoSpaceDN w:val="0"/>
              <w:adjustRightInd w:val="0"/>
              <w:rPr>
                <w:rFonts w:cs="Arial"/>
                <w:szCs w:val="20"/>
              </w:rPr>
            </w:pPr>
            <w:r w:rsidRPr="00E96181">
              <w:rPr>
                <w:rFonts w:cs="Arial"/>
                <w:szCs w:val="20"/>
              </w:rPr>
              <w:t>Custody, brokerage and advisory agreements</w:t>
            </w:r>
          </w:p>
        </w:tc>
        <w:tc>
          <w:tcPr>
            <w:tcW w:w="4125" w:type="dxa"/>
            <w:vAlign w:val="center"/>
          </w:tcPr>
          <w:p w14:paraId="398C468F" w14:textId="77777777" w:rsidR="002404C2" w:rsidRPr="00E96181" w:rsidRDefault="002404C2" w:rsidP="002404C2">
            <w:pPr>
              <w:widowControl w:val="0"/>
              <w:autoSpaceDE w:val="0"/>
              <w:autoSpaceDN w:val="0"/>
              <w:adjustRightInd w:val="0"/>
              <w:rPr>
                <w:rFonts w:cs="Arial"/>
                <w:szCs w:val="20"/>
              </w:rPr>
            </w:pPr>
            <w:r w:rsidRPr="00E96181">
              <w:rPr>
                <w:rFonts w:cs="Arial"/>
                <w:szCs w:val="20"/>
              </w:rPr>
              <w:t>Account applications and forms</w:t>
            </w:r>
          </w:p>
        </w:tc>
      </w:tr>
      <w:tr w:rsidR="009E28D0" w:rsidRPr="00E96181" w14:paraId="63325F0D" w14:textId="77777777" w:rsidTr="00106B54">
        <w:trPr>
          <w:trHeight w:val="236"/>
          <w:jc w:val="center"/>
        </w:trPr>
        <w:tc>
          <w:tcPr>
            <w:tcW w:w="4336" w:type="dxa"/>
            <w:vAlign w:val="center"/>
          </w:tcPr>
          <w:p w14:paraId="0738E9B4" w14:textId="77777777" w:rsidR="002404C2" w:rsidRPr="00E96181" w:rsidRDefault="002404C2" w:rsidP="002404C2">
            <w:pPr>
              <w:widowControl w:val="0"/>
              <w:autoSpaceDE w:val="0"/>
              <w:autoSpaceDN w:val="0"/>
              <w:adjustRightInd w:val="0"/>
              <w:rPr>
                <w:rFonts w:cs="Arial"/>
                <w:szCs w:val="20"/>
              </w:rPr>
            </w:pPr>
            <w:r w:rsidRPr="00E96181">
              <w:rPr>
                <w:rFonts w:cs="Arial"/>
                <w:szCs w:val="20"/>
              </w:rPr>
              <w:t>Other advisory agreements and legal documents</w:t>
            </w:r>
          </w:p>
        </w:tc>
        <w:tc>
          <w:tcPr>
            <w:tcW w:w="4125" w:type="dxa"/>
            <w:vAlign w:val="center"/>
          </w:tcPr>
          <w:p w14:paraId="2D6A5457" w14:textId="77777777" w:rsidR="002404C2" w:rsidRPr="00E96181" w:rsidRDefault="002404C2" w:rsidP="002404C2">
            <w:pPr>
              <w:widowControl w:val="0"/>
              <w:autoSpaceDE w:val="0"/>
              <w:autoSpaceDN w:val="0"/>
              <w:adjustRightInd w:val="0"/>
              <w:rPr>
                <w:rFonts w:cs="Arial"/>
                <w:szCs w:val="20"/>
              </w:rPr>
            </w:pPr>
            <w:r w:rsidRPr="00E96181">
              <w:rPr>
                <w:rFonts w:cs="Arial"/>
                <w:szCs w:val="20"/>
              </w:rPr>
              <w:t>Investment questionnaires and suitability documents</w:t>
            </w:r>
          </w:p>
        </w:tc>
      </w:tr>
      <w:tr w:rsidR="009E28D0" w:rsidRPr="00E96181" w14:paraId="508D3A1E" w14:textId="77777777" w:rsidTr="00106B54">
        <w:trPr>
          <w:trHeight w:val="310"/>
          <w:jc w:val="center"/>
        </w:trPr>
        <w:tc>
          <w:tcPr>
            <w:tcW w:w="4336" w:type="dxa"/>
            <w:vAlign w:val="center"/>
          </w:tcPr>
          <w:p w14:paraId="1E756093" w14:textId="77777777" w:rsidR="002404C2" w:rsidRPr="00E96181" w:rsidRDefault="002404C2" w:rsidP="002404C2">
            <w:pPr>
              <w:widowControl w:val="0"/>
              <w:autoSpaceDE w:val="0"/>
              <w:autoSpaceDN w:val="0"/>
              <w:adjustRightInd w:val="0"/>
              <w:rPr>
                <w:rFonts w:cs="Arial"/>
                <w:szCs w:val="20"/>
              </w:rPr>
            </w:pPr>
            <w:r w:rsidRPr="00E96181">
              <w:rPr>
                <w:rFonts w:cs="Arial"/>
                <w:szCs w:val="20"/>
              </w:rPr>
              <w:t>Transactional information with us or others</w:t>
            </w:r>
          </w:p>
        </w:tc>
        <w:tc>
          <w:tcPr>
            <w:tcW w:w="4125" w:type="dxa"/>
            <w:vAlign w:val="center"/>
          </w:tcPr>
          <w:p w14:paraId="18069BA1" w14:textId="77777777" w:rsidR="002404C2" w:rsidRPr="00E96181" w:rsidRDefault="002404C2" w:rsidP="002404C2">
            <w:pPr>
              <w:widowControl w:val="0"/>
              <w:autoSpaceDE w:val="0"/>
              <w:autoSpaceDN w:val="0"/>
              <w:adjustRightInd w:val="0"/>
              <w:rPr>
                <w:rFonts w:cs="Arial"/>
                <w:szCs w:val="20"/>
              </w:rPr>
            </w:pPr>
            <w:r w:rsidRPr="00E96181">
              <w:rPr>
                <w:rFonts w:cs="Arial"/>
                <w:szCs w:val="20"/>
              </w:rPr>
              <w:t>Other information needed to service account</w:t>
            </w:r>
          </w:p>
        </w:tc>
      </w:tr>
    </w:tbl>
    <w:p w14:paraId="54FB6771" w14:textId="77777777" w:rsidR="002404C2" w:rsidRPr="00E96181" w:rsidRDefault="002404C2" w:rsidP="002404C2">
      <w:pPr>
        <w:rPr>
          <w:rFonts w:cs="Arial"/>
        </w:rPr>
      </w:pPr>
    </w:p>
    <w:p w14:paraId="4BBC2C06" w14:textId="77777777" w:rsidR="002404C2" w:rsidRPr="00E96181" w:rsidRDefault="002404C2" w:rsidP="002404C2">
      <w:pPr>
        <w:widowControl w:val="0"/>
        <w:autoSpaceDE w:val="0"/>
        <w:autoSpaceDN w:val="0"/>
        <w:adjustRightInd w:val="0"/>
        <w:rPr>
          <w:rFonts w:cs="Arial"/>
          <w:b/>
        </w:rPr>
      </w:pPr>
      <w:r w:rsidRPr="00E96181">
        <w:rPr>
          <w:rFonts w:cs="Arial"/>
          <w:b/>
        </w:rPr>
        <w:t>How do we protect your information?</w:t>
      </w:r>
    </w:p>
    <w:p w14:paraId="0CF1B115" w14:textId="77777777" w:rsidR="002404C2" w:rsidRPr="00E96181" w:rsidRDefault="002404C2" w:rsidP="002404C2">
      <w:pPr>
        <w:widowControl w:val="0"/>
        <w:autoSpaceDE w:val="0"/>
        <w:autoSpaceDN w:val="0"/>
        <w:adjustRightInd w:val="0"/>
        <w:rPr>
          <w:rFonts w:cs="Arial"/>
          <w:b/>
        </w:rPr>
      </w:pPr>
      <w:r w:rsidRPr="00E96181">
        <w:rPr>
          <w:rFonts w:cs="Arial"/>
        </w:rPr>
        <w:t xml:space="preserve">To safeguard your personal information from unauthorized access and use we maintain physical, procedural and electronic security measures. These include such safeguards as secure passwords, encrypted file storage and a secure office environment. Our technology vendors provide security and access control over personal information and have policies over the transmission of data. Our associates are trained on their responsibilities to protect Client’s personal information. </w:t>
      </w:r>
    </w:p>
    <w:p w14:paraId="2F23305F" w14:textId="77777777" w:rsidR="002404C2" w:rsidRPr="00E96181" w:rsidRDefault="002404C2" w:rsidP="002404C2">
      <w:pPr>
        <w:widowControl w:val="0"/>
        <w:autoSpaceDE w:val="0"/>
        <w:autoSpaceDN w:val="0"/>
        <w:adjustRightInd w:val="0"/>
        <w:rPr>
          <w:rFonts w:cs="Arial"/>
        </w:rPr>
      </w:pPr>
    </w:p>
    <w:p w14:paraId="740379C3" w14:textId="77777777" w:rsidR="002404C2" w:rsidRPr="00E96181" w:rsidRDefault="002404C2" w:rsidP="002404C2">
      <w:pPr>
        <w:widowControl w:val="0"/>
        <w:autoSpaceDE w:val="0"/>
        <w:autoSpaceDN w:val="0"/>
        <w:adjustRightInd w:val="0"/>
        <w:rPr>
          <w:rFonts w:cs="Arial"/>
          <w:noProof/>
          <w:szCs w:val="20"/>
        </w:rPr>
      </w:pPr>
      <w:r w:rsidRPr="00E96181">
        <w:rPr>
          <w:rFonts w:cs="Arial"/>
        </w:rPr>
        <w:t xml:space="preserve">We require third parties that assist in providing our services to you to protect the personal information they receive from us. </w:t>
      </w:r>
    </w:p>
    <w:p w14:paraId="44631218" w14:textId="77777777" w:rsidR="002404C2" w:rsidRPr="00E96181" w:rsidRDefault="002404C2" w:rsidP="002404C2">
      <w:pPr>
        <w:widowControl w:val="0"/>
        <w:autoSpaceDE w:val="0"/>
        <w:autoSpaceDN w:val="0"/>
        <w:adjustRightInd w:val="0"/>
        <w:rPr>
          <w:rFonts w:cs="Arial"/>
          <w:b/>
        </w:rPr>
      </w:pPr>
    </w:p>
    <w:p w14:paraId="27B9FE0F" w14:textId="77777777" w:rsidR="002404C2" w:rsidRPr="00E96181" w:rsidRDefault="002404C2" w:rsidP="002404C2">
      <w:pPr>
        <w:spacing w:after="200" w:line="276" w:lineRule="auto"/>
        <w:rPr>
          <w:rFonts w:cs="Arial"/>
          <w:b/>
        </w:rPr>
      </w:pPr>
      <w:r w:rsidRPr="00E96181">
        <w:rPr>
          <w:rFonts w:cs="Arial"/>
          <w:b/>
        </w:rPr>
        <w:lastRenderedPageBreak/>
        <w:t>How do we share your information?</w:t>
      </w:r>
      <w:r w:rsidRPr="00E96181">
        <w:rPr>
          <w:rFonts w:cs="Arial"/>
          <w:b/>
        </w:rPr>
        <w:br/>
      </w:r>
      <w:r w:rsidRPr="00E96181">
        <w:rPr>
          <w:rFonts w:cs="Arial"/>
          <w:noProof/>
          <w:szCs w:val="20"/>
        </w:rPr>
        <w:t>An RIA shares Client personal information to effectlively implement its services. In the section below, we list some reasons we may share your personal information.</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6678"/>
        <w:gridCol w:w="2035"/>
        <w:gridCol w:w="1511"/>
      </w:tblGrid>
      <w:tr w:rsidR="009E28D0" w:rsidRPr="00E96181" w14:paraId="29B9DBD3" w14:textId="77777777" w:rsidTr="002404C2">
        <w:trPr>
          <w:trHeight w:val="251"/>
        </w:trPr>
        <w:tc>
          <w:tcPr>
            <w:tcW w:w="6678" w:type="dxa"/>
            <w:shd w:val="clear" w:color="auto" w:fill="C0C0C0"/>
            <w:vAlign w:val="center"/>
          </w:tcPr>
          <w:p w14:paraId="25544909" w14:textId="77777777" w:rsidR="002404C2" w:rsidRPr="00E96181" w:rsidRDefault="002404C2" w:rsidP="002404C2">
            <w:pPr>
              <w:widowControl w:val="0"/>
              <w:autoSpaceDE w:val="0"/>
              <w:autoSpaceDN w:val="0"/>
              <w:adjustRightInd w:val="0"/>
              <w:contextualSpacing/>
              <w:rPr>
                <w:rFonts w:cs="Arial"/>
                <w:b/>
                <w:noProof/>
                <w:sz w:val="16"/>
                <w:szCs w:val="20"/>
              </w:rPr>
            </w:pPr>
            <w:r w:rsidRPr="00E96181">
              <w:rPr>
                <w:rFonts w:cs="Arial"/>
                <w:b/>
                <w:noProof/>
                <w:sz w:val="16"/>
                <w:szCs w:val="20"/>
              </w:rPr>
              <w:t>Basis For Sharing</w:t>
            </w:r>
          </w:p>
        </w:tc>
        <w:tc>
          <w:tcPr>
            <w:tcW w:w="2035" w:type="dxa"/>
            <w:shd w:val="clear" w:color="auto" w:fill="C0C0C0"/>
            <w:vAlign w:val="center"/>
          </w:tcPr>
          <w:p w14:paraId="2D82B1F7" w14:textId="77777777" w:rsidR="002404C2" w:rsidRPr="00E96181" w:rsidRDefault="002404C2" w:rsidP="002404C2">
            <w:pPr>
              <w:widowControl w:val="0"/>
              <w:autoSpaceDE w:val="0"/>
              <w:autoSpaceDN w:val="0"/>
              <w:adjustRightInd w:val="0"/>
              <w:contextualSpacing/>
              <w:rPr>
                <w:rFonts w:cs="Arial"/>
                <w:b/>
                <w:noProof/>
                <w:sz w:val="16"/>
                <w:szCs w:val="20"/>
              </w:rPr>
            </w:pPr>
            <w:r w:rsidRPr="00E96181">
              <w:rPr>
                <w:rFonts w:cs="Arial"/>
                <w:b/>
                <w:noProof/>
                <w:sz w:val="16"/>
                <w:szCs w:val="20"/>
              </w:rPr>
              <w:t>Do we share?</w:t>
            </w:r>
          </w:p>
        </w:tc>
        <w:tc>
          <w:tcPr>
            <w:tcW w:w="1511" w:type="dxa"/>
            <w:shd w:val="clear" w:color="auto" w:fill="C0C0C0"/>
            <w:vAlign w:val="center"/>
          </w:tcPr>
          <w:p w14:paraId="09F22674" w14:textId="77777777" w:rsidR="002404C2" w:rsidRPr="00E96181" w:rsidRDefault="002404C2" w:rsidP="002404C2">
            <w:pPr>
              <w:widowControl w:val="0"/>
              <w:autoSpaceDE w:val="0"/>
              <w:autoSpaceDN w:val="0"/>
              <w:adjustRightInd w:val="0"/>
              <w:contextualSpacing/>
              <w:rPr>
                <w:rFonts w:cs="Arial"/>
                <w:b/>
                <w:noProof/>
                <w:sz w:val="16"/>
                <w:szCs w:val="20"/>
              </w:rPr>
            </w:pPr>
            <w:r w:rsidRPr="00E96181">
              <w:rPr>
                <w:rFonts w:cs="Arial"/>
                <w:b/>
                <w:noProof/>
                <w:sz w:val="16"/>
                <w:szCs w:val="20"/>
              </w:rPr>
              <w:t>Can you limit?</w:t>
            </w:r>
          </w:p>
        </w:tc>
      </w:tr>
      <w:tr w:rsidR="009E28D0" w:rsidRPr="00E96181" w14:paraId="6B748802" w14:textId="77777777" w:rsidTr="002404C2">
        <w:trPr>
          <w:trHeight w:val="1448"/>
        </w:trPr>
        <w:tc>
          <w:tcPr>
            <w:tcW w:w="6678" w:type="dxa"/>
            <w:vAlign w:val="center"/>
          </w:tcPr>
          <w:p w14:paraId="5A330385" w14:textId="77777777" w:rsidR="002404C2" w:rsidRPr="00E96181" w:rsidRDefault="002404C2" w:rsidP="002404C2">
            <w:pPr>
              <w:spacing w:before="60"/>
              <w:rPr>
                <w:b/>
                <w:noProof/>
              </w:rPr>
            </w:pPr>
            <w:r w:rsidRPr="00E96181">
              <w:rPr>
                <w:b/>
                <w:noProof/>
              </w:rPr>
              <w:t>Servicing our Clients</w:t>
            </w:r>
          </w:p>
          <w:p w14:paraId="721AE54C" w14:textId="77777777" w:rsidR="002404C2" w:rsidRPr="00E96181" w:rsidRDefault="002404C2" w:rsidP="002404C2">
            <w:pPr>
              <w:spacing w:after="60"/>
            </w:pPr>
            <w:r w:rsidRPr="00E96181">
              <w:t xml:space="preserve">We may share non-public personal information with non-affiliated third parties (such as administrators, brokers, custodians, regulators, credit agencies, other financial institutions) as necessary for us to provide agreed upon services to you, consistent with applicable law, including but not limited to: </w:t>
            </w:r>
            <w:r w:rsidRPr="00E96181">
              <w:rPr>
                <w:noProof/>
              </w:rPr>
              <w:t xml:space="preserve">processing transactions; </w:t>
            </w:r>
            <w:r w:rsidRPr="00E96181">
              <w:t>general</w:t>
            </w:r>
            <w:r w:rsidRPr="00E96181">
              <w:rPr>
                <w:noProof/>
              </w:rPr>
              <w:t xml:space="preserve"> account maintenance;</w:t>
            </w:r>
            <w:r w:rsidRPr="00E96181">
              <w:t xml:space="preserve"> r</w:t>
            </w:r>
            <w:r w:rsidRPr="00E96181">
              <w:rPr>
                <w:noProof/>
              </w:rPr>
              <w:t xml:space="preserve">esponding to regulators or legal investigations; and </w:t>
            </w:r>
            <w:r w:rsidRPr="00E96181">
              <w:t>c</w:t>
            </w:r>
            <w:r w:rsidRPr="00E96181">
              <w:rPr>
                <w:noProof/>
              </w:rPr>
              <w:t>redit reporting.</w:t>
            </w:r>
          </w:p>
        </w:tc>
        <w:tc>
          <w:tcPr>
            <w:tcW w:w="2035" w:type="dxa"/>
            <w:vAlign w:val="center"/>
          </w:tcPr>
          <w:p w14:paraId="0CDB889A" w14:textId="77777777" w:rsidR="002404C2" w:rsidRPr="00E96181" w:rsidRDefault="002404C2" w:rsidP="002404C2">
            <w:pPr>
              <w:widowControl w:val="0"/>
              <w:autoSpaceDE w:val="0"/>
              <w:autoSpaceDN w:val="0"/>
              <w:adjustRightInd w:val="0"/>
              <w:contextualSpacing/>
              <w:jc w:val="center"/>
              <w:rPr>
                <w:rFonts w:cs="Arial"/>
                <w:szCs w:val="20"/>
              </w:rPr>
            </w:pPr>
            <w:r w:rsidRPr="00E96181">
              <w:rPr>
                <w:rFonts w:cs="Arial"/>
                <w:noProof/>
                <w:szCs w:val="20"/>
              </w:rPr>
              <w:t>Yes</w:t>
            </w:r>
          </w:p>
        </w:tc>
        <w:tc>
          <w:tcPr>
            <w:tcW w:w="1511" w:type="dxa"/>
            <w:vAlign w:val="center"/>
          </w:tcPr>
          <w:p w14:paraId="5D143650" w14:textId="77777777" w:rsidR="002404C2" w:rsidRPr="00E96181" w:rsidRDefault="002404C2" w:rsidP="002404C2">
            <w:pPr>
              <w:widowControl w:val="0"/>
              <w:autoSpaceDE w:val="0"/>
              <w:autoSpaceDN w:val="0"/>
              <w:adjustRightInd w:val="0"/>
              <w:contextualSpacing/>
              <w:jc w:val="center"/>
              <w:rPr>
                <w:rFonts w:cs="Arial"/>
                <w:noProof/>
                <w:szCs w:val="20"/>
              </w:rPr>
            </w:pPr>
            <w:r w:rsidRPr="00E96181">
              <w:rPr>
                <w:rFonts w:cs="Arial"/>
                <w:szCs w:val="20"/>
              </w:rPr>
              <w:t>No</w:t>
            </w:r>
          </w:p>
        </w:tc>
      </w:tr>
      <w:tr w:rsidR="009E28D0" w:rsidRPr="00E96181" w14:paraId="09773219" w14:textId="77777777" w:rsidTr="002404C2">
        <w:trPr>
          <w:trHeight w:val="1529"/>
        </w:trPr>
        <w:tc>
          <w:tcPr>
            <w:tcW w:w="6678" w:type="dxa"/>
            <w:vAlign w:val="center"/>
          </w:tcPr>
          <w:p w14:paraId="7092929C" w14:textId="77777777" w:rsidR="002404C2" w:rsidRPr="00E96181" w:rsidRDefault="002404C2" w:rsidP="002404C2">
            <w:pPr>
              <w:widowControl w:val="0"/>
              <w:autoSpaceDE w:val="0"/>
              <w:autoSpaceDN w:val="0"/>
              <w:adjustRightInd w:val="0"/>
              <w:spacing w:before="60"/>
              <w:contextualSpacing/>
              <w:rPr>
                <w:rFonts w:cs="Arial"/>
                <w:b/>
                <w:noProof/>
                <w:szCs w:val="20"/>
              </w:rPr>
            </w:pPr>
            <w:r w:rsidRPr="00E96181">
              <w:rPr>
                <w:rFonts w:cs="Arial"/>
                <w:b/>
                <w:noProof/>
                <w:szCs w:val="20"/>
              </w:rPr>
              <w:t>Marketing Purposes</w:t>
            </w:r>
          </w:p>
          <w:p w14:paraId="420F5B70" w14:textId="77777777" w:rsidR="002404C2" w:rsidRPr="00E96181" w:rsidRDefault="002404C2" w:rsidP="002404C2">
            <w:pPr>
              <w:widowControl w:val="0"/>
              <w:autoSpaceDE w:val="0"/>
              <w:autoSpaceDN w:val="0"/>
              <w:adjustRightInd w:val="0"/>
              <w:spacing w:after="60"/>
              <w:contextualSpacing/>
              <w:rPr>
                <w:rFonts w:cs="Arial"/>
                <w:b/>
                <w:noProof/>
                <w:szCs w:val="20"/>
              </w:rPr>
            </w:pPr>
            <w:r w:rsidRPr="00E96181">
              <w:rPr>
                <w:noProof/>
                <w:szCs w:val="20"/>
              </w:rPr>
              <w:t>CFG</w:t>
            </w:r>
            <w:r w:rsidRPr="00E96181">
              <w:rPr>
                <w:szCs w:val="20"/>
              </w:rPr>
              <w:t xml:space="preserve"> </w:t>
            </w:r>
            <w:r w:rsidRPr="00E96181">
              <w:rPr>
                <w:rFonts w:cs="Arial"/>
                <w:noProof/>
                <w:szCs w:val="20"/>
              </w:rPr>
              <w:t xml:space="preserve">does not disclose, and does not intend to disclose, personal information with non-affiliated third parties to offer you services. Certain laws may give us the right to share your personal information with financial institutions where you are a customer and where </w:t>
            </w:r>
            <w:r w:rsidRPr="00E96181">
              <w:rPr>
                <w:noProof/>
                <w:szCs w:val="20"/>
              </w:rPr>
              <w:t>CFG</w:t>
            </w:r>
            <w:r w:rsidRPr="00E96181">
              <w:rPr>
                <w:szCs w:val="20"/>
              </w:rPr>
              <w:t xml:space="preserve"> </w:t>
            </w:r>
            <w:r w:rsidRPr="00E96181">
              <w:rPr>
                <w:rFonts w:cs="Arial"/>
                <w:szCs w:val="20"/>
              </w:rPr>
              <w:t xml:space="preserve">or the client </w:t>
            </w:r>
            <w:r w:rsidRPr="00E96181">
              <w:rPr>
                <w:rFonts w:cs="Arial"/>
                <w:noProof/>
                <w:szCs w:val="20"/>
              </w:rPr>
              <w:t xml:space="preserve">has a formal agreement with the financial institution. </w:t>
            </w:r>
            <w:r w:rsidRPr="00E96181">
              <w:rPr>
                <w:rFonts w:cs="Arial"/>
                <w:b/>
                <w:noProof/>
                <w:szCs w:val="20"/>
              </w:rPr>
              <w:t>We will only share information for purposes of servicing your accounts, not for marketing purposes.</w:t>
            </w:r>
          </w:p>
        </w:tc>
        <w:tc>
          <w:tcPr>
            <w:tcW w:w="2035" w:type="dxa"/>
            <w:vAlign w:val="center"/>
          </w:tcPr>
          <w:p w14:paraId="6233BFC3" w14:textId="77777777" w:rsidR="002404C2" w:rsidRPr="00E96181" w:rsidRDefault="002404C2" w:rsidP="002404C2">
            <w:pPr>
              <w:widowControl w:val="0"/>
              <w:autoSpaceDE w:val="0"/>
              <w:autoSpaceDN w:val="0"/>
              <w:adjustRightInd w:val="0"/>
              <w:contextualSpacing/>
              <w:jc w:val="center"/>
              <w:rPr>
                <w:rFonts w:cs="Arial"/>
                <w:szCs w:val="20"/>
              </w:rPr>
            </w:pPr>
            <w:r w:rsidRPr="00E96181">
              <w:rPr>
                <w:rFonts w:cs="Arial"/>
                <w:noProof/>
                <w:szCs w:val="20"/>
              </w:rPr>
              <w:t>No</w:t>
            </w:r>
          </w:p>
        </w:tc>
        <w:tc>
          <w:tcPr>
            <w:tcW w:w="1511" w:type="dxa"/>
            <w:vAlign w:val="center"/>
          </w:tcPr>
          <w:p w14:paraId="76508124" w14:textId="77777777" w:rsidR="002404C2" w:rsidRPr="00E96181" w:rsidRDefault="002404C2" w:rsidP="002404C2">
            <w:pPr>
              <w:widowControl w:val="0"/>
              <w:autoSpaceDE w:val="0"/>
              <w:autoSpaceDN w:val="0"/>
              <w:adjustRightInd w:val="0"/>
              <w:contextualSpacing/>
              <w:jc w:val="center"/>
              <w:rPr>
                <w:rFonts w:cs="Arial"/>
                <w:noProof/>
                <w:szCs w:val="20"/>
              </w:rPr>
            </w:pPr>
            <w:r w:rsidRPr="00E96181">
              <w:rPr>
                <w:rFonts w:cs="Arial"/>
                <w:szCs w:val="20"/>
              </w:rPr>
              <w:t>Not Shared</w:t>
            </w:r>
          </w:p>
        </w:tc>
      </w:tr>
      <w:tr w:rsidR="009E28D0" w:rsidRPr="00E96181" w14:paraId="7AB9953C" w14:textId="77777777" w:rsidTr="002404C2">
        <w:trPr>
          <w:trHeight w:val="791"/>
        </w:trPr>
        <w:tc>
          <w:tcPr>
            <w:tcW w:w="6678" w:type="dxa"/>
            <w:vAlign w:val="center"/>
          </w:tcPr>
          <w:p w14:paraId="3CC9B1D7" w14:textId="77777777" w:rsidR="002404C2" w:rsidRPr="00E96181" w:rsidRDefault="002404C2" w:rsidP="002404C2">
            <w:pPr>
              <w:widowControl w:val="0"/>
              <w:autoSpaceDE w:val="0"/>
              <w:autoSpaceDN w:val="0"/>
              <w:adjustRightInd w:val="0"/>
              <w:spacing w:before="60"/>
              <w:contextualSpacing/>
              <w:rPr>
                <w:rFonts w:cs="Arial"/>
                <w:b/>
                <w:noProof/>
                <w:szCs w:val="20"/>
              </w:rPr>
            </w:pPr>
            <w:r w:rsidRPr="00E96181">
              <w:rPr>
                <w:rFonts w:cs="Arial"/>
                <w:b/>
                <w:noProof/>
                <w:szCs w:val="20"/>
              </w:rPr>
              <w:t>Authorized Users</w:t>
            </w:r>
          </w:p>
          <w:p w14:paraId="20B846E5" w14:textId="77777777" w:rsidR="002404C2" w:rsidRPr="00E96181" w:rsidRDefault="002404C2" w:rsidP="002404C2">
            <w:pPr>
              <w:widowControl w:val="0"/>
              <w:autoSpaceDE w:val="0"/>
              <w:autoSpaceDN w:val="0"/>
              <w:adjustRightInd w:val="0"/>
              <w:spacing w:after="60"/>
              <w:contextualSpacing/>
              <w:rPr>
                <w:rFonts w:cs="Arial"/>
                <w:szCs w:val="20"/>
              </w:rPr>
            </w:pPr>
            <w:r w:rsidRPr="00E96181">
              <w:rPr>
                <w:rFonts w:cs="Arial"/>
                <w:szCs w:val="20"/>
              </w:rPr>
              <w:t>Your non-public personal information may be disclosed to you and persons that we believe to be your authorized agent(s) or representative(s).</w:t>
            </w:r>
          </w:p>
        </w:tc>
        <w:tc>
          <w:tcPr>
            <w:tcW w:w="2035" w:type="dxa"/>
            <w:vAlign w:val="center"/>
          </w:tcPr>
          <w:p w14:paraId="58848519" w14:textId="77777777" w:rsidR="002404C2" w:rsidRPr="00E96181" w:rsidRDefault="002404C2" w:rsidP="002404C2">
            <w:pPr>
              <w:widowControl w:val="0"/>
              <w:autoSpaceDE w:val="0"/>
              <w:autoSpaceDN w:val="0"/>
              <w:adjustRightInd w:val="0"/>
              <w:contextualSpacing/>
              <w:jc w:val="center"/>
              <w:rPr>
                <w:rFonts w:cs="Arial"/>
                <w:szCs w:val="20"/>
              </w:rPr>
            </w:pPr>
            <w:r w:rsidRPr="00E96181">
              <w:rPr>
                <w:rFonts w:cs="Arial"/>
                <w:noProof/>
                <w:szCs w:val="20"/>
              </w:rPr>
              <w:t>Yes</w:t>
            </w:r>
          </w:p>
        </w:tc>
        <w:tc>
          <w:tcPr>
            <w:tcW w:w="1511" w:type="dxa"/>
            <w:vAlign w:val="center"/>
          </w:tcPr>
          <w:p w14:paraId="6EF2FBFA" w14:textId="77777777" w:rsidR="002404C2" w:rsidRPr="00E96181" w:rsidRDefault="002404C2" w:rsidP="002404C2">
            <w:pPr>
              <w:widowControl w:val="0"/>
              <w:autoSpaceDE w:val="0"/>
              <w:autoSpaceDN w:val="0"/>
              <w:adjustRightInd w:val="0"/>
              <w:contextualSpacing/>
              <w:jc w:val="center"/>
              <w:rPr>
                <w:rFonts w:cs="Arial"/>
                <w:szCs w:val="20"/>
              </w:rPr>
            </w:pPr>
            <w:r w:rsidRPr="00E96181">
              <w:rPr>
                <w:rFonts w:cs="Arial"/>
                <w:szCs w:val="20"/>
              </w:rPr>
              <w:t>Yes</w:t>
            </w:r>
          </w:p>
        </w:tc>
      </w:tr>
      <w:tr w:rsidR="009E28D0" w:rsidRPr="00E96181" w14:paraId="5FADAD29" w14:textId="77777777" w:rsidTr="002404C2">
        <w:trPr>
          <w:trHeight w:val="953"/>
        </w:trPr>
        <w:tc>
          <w:tcPr>
            <w:tcW w:w="6678" w:type="dxa"/>
            <w:vAlign w:val="center"/>
          </w:tcPr>
          <w:p w14:paraId="3C9F22E5" w14:textId="77777777" w:rsidR="002404C2" w:rsidRPr="00E96181" w:rsidRDefault="002404C2" w:rsidP="002404C2">
            <w:pPr>
              <w:widowControl w:val="0"/>
              <w:autoSpaceDE w:val="0"/>
              <w:autoSpaceDN w:val="0"/>
              <w:adjustRightInd w:val="0"/>
              <w:spacing w:before="60"/>
              <w:contextualSpacing/>
              <w:rPr>
                <w:rFonts w:cs="Arial"/>
                <w:b/>
                <w:noProof/>
                <w:szCs w:val="20"/>
              </w:rPr>
            </w:pPr>
            <w:r w:rsidRPr="00E96181">
              <w:rPr>
                <w:rFonts w:cs="Arial"/>
                <w:b/>
                <w:noProof/>
                <w:szCs w:val="20"/>
              </w:rPr>
              <w:t>Information About Former Clients</w:t>
            </w:r>
          </w:p>
          <w:p w14:paraId="400A8E06" w14:textId="77777777" w:rsidR="002404C2" w:rsidRPr="00E96181" w:rsidRDefault="002404C2" w:rsidP="002404C2">
            <w:pPr>
              <w:widowControl w:val="0"/>
              <w:autoSpaceDE w:val="0"/>
              <w:autoSpaceDN w:val="0"/>
              <w:adjustRightInd w:val="0"/>
              <w:spacing w:after="60"/>
              <w:contextualSpacing/>
              <w:rPr>
                <w:rFonts w:cs="Arial"/>
                <w:b/>
                <w:noProof/>
                <w:sz w:val="16"/>
                <w:szCs w:val="20"/>
              </w:rPr>
            </w:pPr>
            <w:r w:rsidRPr="00E96181">
              <w:rPr>
                <w:noProof/>
                <w:szCs w:val="20"/>
              </w:rPr>
              <w:t>CFG</w:t>
            </w:r>
            <w:r w:rsidRPr="00E96181">
              <w:rPr>
                <w:szCs w:val="20"/>
              </w:rPr>
              <w:t xml:space="preserve"> </w:t>
            </w:r>
            <w:r w:rsidRPr="00E96181">
              <w:rPr>
                <w:rFonts w:cs="Arial"/>
                <w:noProof/>
                <w:szCs w:val="20"/>
              </w:rPr>
              <w:t>does not disclose and does not intend to disclose, non-public personal information to non-affiliated third parties with respect to persons who are no longer our Clients.</w:t>
            </w:r>
          </w:p>
        </w:tc>
        <w:tc>
          <w:tcPr>
            <w:tcW w:w="2035" w:type="dxa"/>
            <w:vAlign w:val="center"/>
          </w:tcPr>
          <w:p w14:paraId="6FF7460E" w14:textId="77777777" w:rsidR="002404C2" w:rsidRPr="00E96181" w:rsidRDefault="002404C2" w:rsidP="002404C2">
            <w:pPr>
              <w:widowControl w:val="0"/>
              <w:autoSpaceDE w:val="0"/>
              <w:autoSpaceDN w:val="0"/>
              <w:adjustRightInd w:val="0"/>
              <w:contextualSpacing/>
              <w:jc w:val="center"/>
              <w:rPr>
                <w:rFonts w:cs="Arial"/>
                <w:noProof/>
                <w:szCs w:val="20"/>
              </w:rPr>
            </w:pPr>
            <w:r w:rsidRPr="00E96181">
              <w:rPr>
                <w:rFonts w:cs="Arial"/>
                <w:noProof/>
                <w:szCs w:val="20"/>
              </w:rPr>
              <w:t>No</w:t>
            </w:r>
          </w:p>
        </w:tc>
        <w:tc>
          <w:tcPr>
            <w:tcW w:w="1511" w:type="dxa"/>
            <w:vAlign w:val="center"/>
          </w:tcPr>
          <w:p w14:paraId="7C478B08" w14:textId="77777777" w:rsidR="002404C2" w:rsidRPr="00E96181" w:rsidRDefault="002404C2" w:rsidP="002404C2">
            <w:pPr>
              <w:widowControl w:val="0"/>
              <w:autoSpaceDE w:val="0"/>
              <w:autoSpaceDN w:val="0"/>
              <w:adjustRightInd w:val="0"/>
              <w:contextualSpacing/>
              <w:jc w:val="center"/>
              <w:rPr>
                <w:rFonts w:cs="Arial"/>
                <w:szCs w:val="20"/>
              </w:rPr>
            </w:pPr>
            <w:r w:rsidRPr="00E96181">
              <w:rPr>
                <w:rFonts w:cs="Arial"/>
                <w:szCs w:val="20"/>
              </w:rPr>
              <w:t>Not Shared</w:t>
            </w:r>
          </w:p>
        </w:tc>
      </w:tr>
    </w:tbl>
    <w:p w14:paraId="24D8F675" w14:textId="77777777" w:rsidR="002404C2" w:rsidRPr="00E96181" w:rsidRDefault="002404C2" w:rsidP="002404C2">
      <w:pPr>
        <w:widowControl w:val="0"/>
        <w:autoSpaceDE w:val="0"/>
        <w:autoSpaceDN w:val="0"/>
        <w:adjustRightInd w:val="0"/>
        <w:rPr>
          <w:rFonts w:cs="Arial"/>
          <w:b/>
        </w:rPr>
      </w:pPr>
    </w:p>
    <w:p w14:paraId="1E84AE7E" w14:textId="77777777" w:rsidR="002404C2" w:rsidRPr="00E96181" w:rsidRDefault="002404C2" w:rsidP="002404C2">
      <w:pPr>
        <w:widowControl w:val="0"/>
        <w:autoSpaceDE w:val="0"/>
        <w:autoSpaceDN w:val="0"/>
        <w:adjustRightInd w:val="0"/>
        <w:rPr>
          <w:rFonts w:cs="Arial"/>
          <w:b/>
        </w:rPr>
      </w:pPr>
      <w:r w:rsidRPr="00E96181">
        <w:rPr>
          <w:rFonts w:cs="Arial"/>
          <w:b/>
        </w:rPr>
        <w:t>Changes to our Privacy Policy</w:t>
      </w:r>
    </w:p>
    <w:p w14:paraId="6326D404" w14:textId="77777777" w:rsidR="002404C2" w:rsidRPr="00E96181" w:rsidRDefault="002404C2" w:rsidP="002404C2">
      <w:pPr>
        <w:widowControl w:val="0"/>
        <w:autoSpaceDE w:val="0"/>
        <w:autoSpaceDN w:val="0"/>
        <w:adjustRightInd w:val="0"/>
        <w:rPr>
          <w:rFonts w:cs="Arial"/>
        </w:rPr>
      </w:pPr>
      <w:r w:rsidRPr="00E96181">
        <w:rPr>
          <w:rFonts w:cs="Arial"/>
        </w:rPr>
        <w:t>We will send you a copy of this Policy annually for as long as you maintain an ongoing relationship with us.</w:t>
      </w:r>
    </w:p>
    <w:p w14:paraId="63A078CA" w14:textId="77777777" w:rsidR="002404C2" w:rsidRPr="00E96181" w:rsidRDefault="002404C2" w:rsidP="002404C2">
      <w:pPr>
        <w:widowControl w:val="0"/>
        <w:autoSpaceDE w:val="0"/>
        <w:autoSpaceDN w:val="0"/>
        <w:adjustRightInd w:val="0"/>
        <w:rPr>
          <w:rFonts w:cs="Arial"/>
        </w:rPr>
      </w:pPr>
    </w:p>
    <w:p w14:paraId="1E46C755" w14:textId="77777777" w:rsidR="002404C2" w:rsidRPr="00E96181" w:rsidRDefault="002404C2" w:rsidP="002404C2">
      <w:pPr>
        <w:rPr>
          <w:rFonts w:cs="Arial"/>
        </w:rPr>
      </w:pPr>
      <w:r w:rsidRPr="00E96181">
        <w:rPr>
          <w:rFonts w:cs="Arial"/>
        </w:rPr>
        <w:t>Periodically we may revise this Policy and will provide you with a revised policy if the changes materially alter the previous Privacy Policy. We will not, however, revise our Privacy Policy to permit the sharing of non-public personal information other than as described in this notice unless we first notify you and provide you with an opportunity to prevent the information sharing.</w:t>
      </w:r>
    </w:p>
    <w:p w14:paraId="1C59DB94" w14:textId="77777777" w:rsidR="002404C2" w:rsidRPr="00E96181" w:rsidRDefault="002404C2" w:rsidP="002404C2">
      <w:pPr>
        <w:rPr>
          <w:rFonts w:cs="Arial"/>
        </w:rPr>
      </w:pPr>
    </w:p>
    <w:p w14:paraId="3E496C1F" w14:textId="77777777" w:rsidR="002404C2" w:rsidRPr="00E96181" w:rsidRDefault="002404C2" w:rsidP="002404C2">
      <w:pPr>
        <w:rPr>
          <w:rFonts w:cs="Arial"/>
          <w:b/>
        </w:rPr>
      </w:pPr>
      <w:r w:rsidRPr="00E96181">
        <w:rPr>
          <w:rFonts w:cs="Arial"/>
          <w:b/>
        </w:rPr>
        <w:t xml:space="preserve">Any Questions? </w:t>
      </w:r>
    </w:p>
    <w:p w14:paraId="21C5B34F" w14:textId="5D98F7F9" w:rsidR="002404C2" w:rsidRDefault="002404C2" w:rsidP="002404C2">
      <w:pPr>
        <w:rPr>
          <w:rFonts w:cs="Arial"/>
        </w:rPr>
      </w:pPr>
      <w:r w:rsidRPr="00E96181">
        <w:rPr>
          <w:rFonts w:cs="Arial"/>
        </w:rPr>
        <w:t xml:space="preserve">You may ask questions or voice any concerns, as well as obtain a copy of our current Privacy Policy by contacting us at </w:t>
      </w:r>
      <w:r w:rsidRPr="00E96181">
        <w:rPr>
          <w:rFonts w:cs="Arial"/>
          <w:noProof/>
        </w:rPr>
        <w:t>(405) 848-4646</w:t>
      </w:r>
      <w:r w:rsidR="003C7318" w:rsidRPr="00E96181">
        <w:rPr>
          <w:rFonts w:cs="Arial"/>
        </w:rPr>
        <w:t>.</w:t>
      </w:r>
      <w:bookmarkEnd w:id="162"/>
    </w:p>
    <w:p w14:paraId="7BB56978" w14:textId="77777777" w:rsidR="00DB5092" w:rsidRDefault="00DB5092" w:rsidP="002404C2">
      <w:pPr>
        <w:rPr>
          <w:rFonts w:cs="Arial"/>
        </w:rPr>
      </w:pPr>
    </w:p>
    <w:p w14:paraId="799C0CF0" w14:textId="72A94633" w:rsidR="00DB5092" w:rsidRDefault="00DB5092">
      <w:pPr>
        <w:rPr>
          <w:rFonts w:cs="Arial"/>
        </w:rPr>
      </w:pPr>
      <w:r>
        <w:rPr>
          <w:rFonts w:cs="Arial"/>
        </w:rPr>
        <w:br w:type="page"/>
      </w:r>
    </w:p>
    <w:p w14:paraId="3A8DED94" w14:textId="77777777" w:rsidR="00DB5092" w:rsidRPr="00CC00F4" w:rsidRDefault="00DB5092" w:rsidP="00DB5092">
      <w:pPr>
        <w:autoSpaceDE w:val="0"/>
        <w:autoSpaceDN w:val="0"/>
        <w:adjustRightInd w:val="0"/>
        <w:rPr>
          <w:rFonts w:cs="Arial"/>
        </w:rPr>
      </w:pPr>
    </w:p>
    <w:p w14:paraId="71E022A0" w14:textId="77777777" w:rsidR="00DB5092" w:rsidRPr="00CC00F4" w:rsidRDefault="00DB5092" w:rsidP="00DB5092">
      <w:pPr>
        <w:autoSpaceDE w:val="0"/>
        <w:autoSpaceDN w:val="0"/>
        <w:adjustRightInd w:val="0"/>
        <w:rPr>
          <w:rFonts w:cs="Arial"/>
        </w:rPr>
      </w:pPr>
    </w:p>
    <w:p w14:paraId="3E9D487D" w14:textId="77777777" w:rsidR="00DB5092" w:rsidRPr="00CC00F4" w:rsidRDefault="00DB5092" w:rsidP="00DB5092">
      <w:pPr>
        <w:autoSpaceDE w:val="0"/>
        <w:autoSpaceDN w:val="0"/>
        <w:adjustRightInd w:val="0"/>
        <w:rPr>
          <w:rFonts w:cs="Arial"/>
        </w:rPr>
      </w:pPr>
    </w:p>
    <w:p w14:paraId="32F2C0B2" w14:textId="77777777" w:rsidR="00DB5092" w:rsidRPr="00CC00F4" w:rsidRDefault="00DB5092" w:rsidP="00DB5092">
      <w:pPr>
        <w:autoSpaceDE w:val="0"/>
        <w:autoSpaceDN w:val="0"/>
        <w:adjustRightInd w:val="0"/>
        <w:rPr>
          <w:rFonts w:cs="Arial"/>
        </w:rPr>
      </w:pPr>
    </w:p>
    <w:p w14:paraId="25D74BFA" w14:textId="77777777" w:rsidR="00DB5092" w:rsidRPr="00CC00F4" w:rsidRDefault="00DB5092" w:rsidP="00DB5092">
      <w:pPr>
        <w:autoSpaceDE w:val="0"/>
        <w:autoSpaceDN w:val="0"/>
        <w:adjustRightInd w:val="0"/>
        <w:jc w:val="both"/>
        <w:rPr>
          <w:rFonts w:eastAsia="Times New Roman" w:cs="Arial"/>
        </w:rPr>
      </w:pPr>
    </w:p>
    <w:p w14:paraId="4F8A6B18" w14:textId="77777777" w:rsidR="00DB5092" w:rsidRPr="00CC00F4" w:rsidRDefault="00DB5092" w:rsidP="00DB5092">
      <w:pPr>
        <w:autoSpaceDE w:val="0"/>
        <w:autoSpaceDN w:val="0"/>
        <w:adjustRightInd w:val="0"/>
        <w:jc w:val="both"/>
        <w:rPr>
          <w:rFonts w:eastAsia="Times New Roman" w:cs="Arial"/>
        </w:rPr>
      </w:pPr>
    </w:p>
    <w:p w14:paraId="0C3B572E" w14:textId="77777777" w:rsidR="00DB5092" w:rsidRPr="00CC00F4" w:rsidRDefault="00DB5092" w:rsidP="00DB5092">
      <w:pPr>
        <w:autoSpaceDE w:val="0"/>
        <w:autoSpaceDN w:val="0"/>
        <w:adjustRightInd w:val="0"/>
        <w:jc w:val="both"/>
        <w:rPr>
          <w:rFonts w:eastAsia="Times New Roman" w:cs="Arial"/>
        </w:rPr>
      </w:pPr>
    </w:p>
    <w:p w14:paraId="5B8C42EC" w14:textId="77777777" w:rsidR="00DB5092" w:rsidRPr="00CC00F4" w:rsidRDefault="00DB5092" w:rsidP="00DB5092">
      <w:pPr>
        <w:autoSpaceDE w:val="0"/>
        <w:autoSpaceDN w:val="0"/>
        <w:adjustRightInd w:val="0"/>
        <w:jc w:val="center"/>
        <w:rPr>
          <w:rFonts w:cs="Arial"/>
          <w:b/>
          <w:color w:val="003366"/>
          <w:sz w:val="36"/>
        </w:rPr>
      </w:pPr>
    </w:p>
    <w:p w14:paraId="2EF02EF4" w14:textId="77777777" w:rsidR="00DB5092" w:rsidRPr="00CC00F4" w:rsidRDefault="00DB5092" w:rsidP="00DB5092">
      <w:pPr>
        <w:autoSpaceDE w:val="0"/>
        <w:autoSpaceDN w:val="0"/>
        <w:adjustRightInd w:val="0"/>
        <w:jc w:val="center"/>
        <w:rPr>
          <w:rFonts w:cs="Arial"/>
          <w:b/>
          <w:color w:val="003366"/>
          <w:sz w:val="36"/>
        </w:rPr>
      </w:pPr>
    </w:p>
    <w:p w14:paraId="4F460A9A" w14:textId="77777777" w:rsidR="00DB5092" w:rsidRPr="00CC00F4" w:rsidRDefault="00DB5092" w:rsidP="00DB5092">
      <w:pPr>
        <w:autoSpaceDE w:val="0"/>
        <w:autoSpaceDN w:val="0"/>
        <w:adjustRightInd w:val="0"/>
        <w:jc w:val="center"/>
        <w:rPr>
          <w:rFonts w:cs="Arial"/>
          <w:b/>
          <w:color w:val="003366"/>
          <w:sz w:val="36"/>
        </w:rPr>
      </w:pPr>
    </w:p>
    <w:p w14:paraId="4D11861E" w14:textId="77777777" w:rsidR="00DB5092" w:rsidRPr="00EF24EF" w:rsidRDefault="00DB5092" w:rsidP="00DB5092">
      <w:pPr>
        <w:autoSpaceDE w:val="0"/>
        <w:autoSpaceDN w:val="0"/>
        <w:adjustRightInd w:val="0"/>
        <w:jc w:val="both"/>
        <w:rPr>
          <w:rFonts w:eastAsia="Times New Roman" w:cs="Arial"/>
        </w:rPr>
      </w:pPr>
    </w:p>
    <w:p w14:paraId="34531460" w14:textId="77777777" w:rsidR="00DB5092" w:rsidRPr="00EF24EF" w:rsidRDefault="00DB5092" w:rsidP="00DB5092">
      <w:pPr>
        <w:autoSpaceDE w:val="0"/>
        <w:autoSpaceDN w:val="0"/>
        <w:adjustRightInd w:val="0"/>
        <w:jc w:val="both"/>
        <w:rPr>
          <w:rFonts w:eastAsia="Times New Roman" w:cs="Arial"/>
        </w:rPr>
      </w:pPr>
    </w:p>
    <w:p w14:paraId="72417ACB" w14:textId="77777777" w:rsidR="00DB5092" w:rsidRPr="00EF24EF" w:rsidRDefault="00DB5092" w:rsidP="00DB5092">
      <w:pPr>
        <w:autoSpaceDE w:val="0"/>
        <w:autoSpaceDN w:val="0"/>
        <w:adjustRightInd w:val="0"/>
        <w:jc w:val="both"/>
        <w:rPr>
          <w:rFonts w:eastAsia="Times New Roman" w:cs="Arial"/>
        </w:rPr>
      </w:pPr>
    </w:p>
    <w:p w14:paraId="5510A85E" w14:textId="77777777" w:rsidR="00DB5092" w:rsidRPr="008F206A" w:rsidRDefault="00DB5092" w:rsidP="00DB5092">
      <w:pPr>
        <w:pStyle w:val="CoverPagesTOC"/>
        <w:rPr>
          <w:color w:val="000000" w:themeColor="text1"/>
        </w:rPr>
      </w:pPr>
      <w:bookmarkStart w:id="163" w:name="_Toc406665861"/>
      <w:r w:rsidRPr="008F206A">
        <w:rPr>
          <w:color w:val="000000" w:themeColor="text1"/>
        </w:rPr>
        <w:t>Form ADV Part 2B – Brochure Supplement</w:t>
      </w:r>
      <w:bookmarkEnd w:id="163"/>
    </w:p>
    <w:p w14:paraId="7B180A44" w14:textId="77777777" w:rsidR="00DB5092" w:rsidRPr="00200DB9" w:rsidRDefault="00DB5092" w:rsidP="00DB5092">
      <w:pPr>
        <w:jc w:val="center"/>
        <w:rPr>
          <w:rFonts w:eastAsia="Times New Roman" w:cs="Arial"/>
          <w:b/>
          <w:sz w:val="28"/>
        </w:rPr>
      </w:pPr>
    </w:p>
    <w:p w14:paraId="644ED706" w14:textId="77777777" w:rsidR="00DB5092" w:rsidRPr="00EF24EF" w:rsidRDefault="00DB5092" w:rsidP="00DB5092">
      <w:pPr>
        <w:jc w:val="center"/>
        <w:rPr>
          <w:rFonts w:eastAsia="Times New Roman" w:cs="Arial"/>
          <w:b/>
          <w:sz w:val="28"/>
        </w:rPr>
      </w:pPr>
      <w:r w:rsidRPr="00EF24EF">
        <w:rPr>
          <w:rFonts w:eastAsia="Times New Roman" w:cs="Arial"/>
          <w:b/>
          <w:sz w:val="28"/>
        </w:rPr>
        <w:t>for</w:t>
      </w:r>
    </w:p>
    <w:p w14:paraId="3F9BF8FE" w14:textId="77777777" w:rsidR="00DB5092" w:rsidRPr="00EF24EF" w:rsidRDefault="00DB5092" w:rsidP="00DB5092">
      <w:pPr>
        <w:jc w:val="center"/>
        <w:rPr>
          <w:rFonts w:eastAsia="Times New Roman" w:cs="Arial"/>
          <w:b/>
          <w:sz w:val="28"/>
        </w:rPr>
      </w:pPr>
    </w:p>
    <w:p w14:paraId="5DABECC2" w14:textId="77777777" w:rsidR="00DB5092" w:rsidRPr="00EF24EF" w:rsidRDefault="00DB5092" w:rsidP="00DB5092">
      <w:pPr>
        <w:jc w:val="center"/>
        <w:rPr>
          <w:rFonts w:eastAsia="Times New Roman" w:cs="Arial"/>
          <w:b/>
          <w:sz w:val="28"/>
        </w:rPr>
      </w:pPr>
    </w:p>
    <w:p w14:paraId="27A6A911" w14:textId="77777777" w:rsidR="00DB5092" w:rsidRPr="00EF24EF" w:rsidRDefault="00DB5092" w:rsidP="00DB5092">
      <w:pPr>
        <w:jc w:val="center"/>
        <w:rPr>
          <w:rFonts w:eastAsia="Times New Roman" w:cs="Arial"/>
          <w:b/>
          <w:sz w:val="28"/>
        </w:rPr>
      </w:pPr>
      <w:r w:rsidRPr="00EF24EF">
        <w:rPr>
          <w:rFonts w:eastAsia="Times New Roman" w:cs="Arial"/>
          <w:b/>
          <w:noProof/>
          <w:sz w:val="28"/>
        </w:rPr>
        <w:t>Michael P. Dunham</w:t>
      </w:r>
      <w:r>
        <w:rPr>
          <w:rFonts w:eastAsia="Times New Roman" w:cs="Arial"/>
          <w:b/>
          <w:noProof/>
          <w:sz w:val="28"/>
        </w:rPr>
        <w:t>, CFP</w:t>
      </w:r>
      <w:r w:rsidRPr="00B57538">
        <w:rPr>
          <w:rFonts w:eastAsia="Times New Roman" w:cs="Arial"/>
          <w:b/>
          <w:noProof/>
          <w:sz w:val="28"/>
          <w:vertAlign w:val="superscript"/>
        </w:rPr>
        <w:t>®</w:t>
      </w:r>
    </w:p>
    <w:p w14:paraId="3FB0BBCE" w14:textId="77777777" w:rsidR="00DB5092" w:rsidRPr="00EF24EF" w:rsidRDefault="00DB5092" w:rsidP="00DB5092">
      <w:pPr>
        <w:jc w:val="center"/>
        <w:rPr>
          <w:rFonts w:eastAsia="Times New Roman" w:cs="Arial"/>
          <w:b/>
          <w:sz w:val="28"/>
        </w:rPr>
      </w:pPr>
      <w:r w:rsidRPr="00EF24EF">
        <w:rPr>
          <w:rFonts w:eastAsia="Times New Roman" w:cs="Arial"/>
          <w:b/>
          <w:noProof/>
          <w:sz w:val="28"/>
        </w:rPr>
        <w:t>President</w:t>
      </w:r>
    </w:p>
    <w:p w14:paraId="7A21A460" w14:textId="77777777" w:rsidR="00DB5092" w:rsidRPr="00EF24EF" w:rsidRDefault="00DB5092" w:rsidP="00DB5092">
      <w:pPr>
        <w:jc w:val="center"/>
        <w:rPr>
          <w:rFonts w:eastAsia="Times New Roman" w:cs="Arial"/>
          <w:b/>
          <w:sz w:val="28"/>
        </w:rPr>
      </w:pPr>
    </w:p>
    <w:p w14:paraId="77ABEF35" w14:textId="77777777" w:rsidR="00DB5092" w:rsidRPr="00EF24EF" w:rsidRDefault="00DB5092" w:rsidP="00DB5092">
      <w:pPr>
        <w:jc w:val="center"/>
        <w:rPr>
          <w:rFonts w:eastAsia="Times New Roman" w:cs="Arial"/>
          <w:b/>
          <w:sz w:val="28"/>
        </w:rPr>
      </w:pPr>
    </w:p>
    <w:p w14:paraId="1A04B9AB" w14:textId="5999A982" w:rsidR="00DB5092" w:rsidRPr="00D222F2" w:rsidRDefault="00DB5092" w:rsidP="00DB5092">
      <w:pPr>
        <w:jc w:val="center"/>
        <w:rPr>
          <w:rFonts w:cs="Arial"/>
        </w:rPr>
      </w:pPr>
      <w:r w:rsidRPr="006A1143">
        <w:rPr>
          <w:rFonts w:eastAsia="Times New Roman" w:cs="Arial"/>
          <w:b/>
          <w:sz w:val="28"/>
        </w:rPr>
        <w:t xml:space="preserve">Effective:  </w:t>
      </w:r>
      <w:r w:rsidR="007044CD">
        <w:rPr>
          <w:rFonts w:cs="Arial"/>
          <w:b/>
          <w:noProof/>
          <w:sz w:val="28"/>
          <w:szCs w:val="28"/>
        </w:rPr>
        <w:t>May 16, 2019</w:t>
      </w:r>
    </w:p>
    <w:p w14:paraId="4253A0E0" w14:textId="77777777" w:rsidR="00DB5092" w:rsidRPr="00CC00F4" w:rsidRDefault="00DB5092" w:rsidP="00DB5092">
      <w:pPr>
        <w:jc w:val="center"/>
        <w:rPr>
          <w:rFonts w:eastAsia="Times New Roman" w:cs="Arial"/>
          <w:b/>
          <w:color w:val="003366"/>
          <w:sz w:val="36"/>
        </w:rPr>
      </w:pPr>
    </w:p>
    <w:p w14:paraId="1D4F7D5B" w14:textId="77777777" w:rsidR="00DB5092" w:rsidRPr="00CC00F4" w:rsidRDefault="00DB5092" w:rsidP="00DB5092">
      <w:pPr>
        <w:rPr>
          <w:rFonts w:eastAsia="Times New Roman" w:cs="Arial"/>
        </w:rPr>
      </w:pPr>
    </w:p>
    <w:p w14:paraId="0D88C695" w14:textId="77777777" w:rsidR="00DB5092" w:rsidRPr="00CC00F4" w:rsidRDefault="00DB5092" w:rsidP="00DB5092">
      <w:pPr>
        <w:rPr>
          <w:rFonts w:eastAsia="Times New Roman" w:cs="Arial"/>
        </w:rPr>
      </w:pPr>
    </w:p>
    <w:p w14:paraId="5336F049" w14:textId="77777777" w:rsidR="00DB5092" w:rsidRPr="00CC00F4" w:rsidRDefault="00DB5092" w:rsidP="00DB5092">
      <w:pPr>
        <w:rPr>
          <w:rFonts w:eastAsia="Times New Roman" w:cs="Arial"/>
        </w:rPr>
      </w:pPr>
    </w:p>
    <w:p w14:paraId="7DACF629" w14:textId="77777777" w:rsidR="00DB5092" w:rsidRPr="00CC00F4" w:rsidRDefault="00DB5092" w:rsidP="00DB5092">
      <w:pPr>
        <w:rPr>
          <w:rFonts w:eastAsia="Times New Roman" w:cs="Arial"/>
        </w:rPr>
      </w:pPr>
    </w:p>
    <w:p w14:paraId="6F6C7455" w14:textId="386104E4" w:rsidR="00DB5092" w:rsidRPr="00CC00F4" w:rsidRDefault="00DB5092" w:rsidP="00DB5092">
      <w:pPr>
        <w:rPr>
          <w:rFonts w:eastAsia="Times New Roman" w:cs="Arial"/>
        </w:rPr>
      </w:pPr>
      <w:r w:rsidRPr="00091AF0">
        <w:rPr>
          <w:rFonts w:eastAsia="Times New Roman" w:cs="Arial"/>
        </w:rPr>
        <w:t>This Form ADV 2B (“Brochure Supplement”)</w:t>
      </w:r>
      <w:r w:rsidRPr="00091AF0">
        <w:rPr>
          <w:rFonts w:eastAsia="Times New Roman" w:cs="Arial"/>
          <w:szCs w:val="20"/>
        </w:rPr>
        <w:t xml:space="preserve"> provides information about the background and qualifications of </w:t>
      </w:r>
      <w:r w:rsidRPr="00091AF0">
        <w:rPr>
          <w:rFonts w:cs="Arial"/>
          <w:noProof/>
          <w:szCs w:val="20"/>
        </w:rPr>
        <w:t xml:space="preserve">Michael P. Dunham, </w:t>
      </w:r>
      <w:r w:rsidRPr="00091AF0">
        <w:rPr>
          <w:rFonts w:cs="Arial"/>
          <w:color w:val="000000"/>
          <w:szCs w:val="20"/>
          <w:shd w:val="clear" w:color="auto" w:fill="FFFFFF"/>
        </w:rPr>
        <w:t>CFP</w:t>
      </w:r>
      <w:r w:rsidRPr="00091AF0">
        <w:rPr>
          <w:rFonts w:cs="Arial"/>
          <w:color w:val="000000"/>
          <w:szCs w:val="20"/>
          <w:shd w:val="clear" w:color="auto" w:fill="FFFFFF"/>
          <w:vertAlign w:val="superscript"/>
        </w:rPr>
        <w:t>®</w:t>
      </w:r>
      <w:r w:rsidRPr="00091AF0">
        <w:rPr>
          <w:rFonts w:cs="Arial"/>
          <w:noProof/>
          <w:szCs w:val="20"/>
        </w:rPr>
        <w:t>,</w:t>
      </w:r>
      <w:r w:rsidRPr="00091AF0">
        <w:rPr>
          <w:rFonts w:eastAsia="Times New Roman" w:cs="Arial"/>
          <w:szCs w:val="20"/>
        </w:rPr>
        <w:t xml:space="preserve"> (CRD# </w:t>
      </w:r>
      <w:r w:rsidRPr="00091AF0">
        <w:rPr>
          <w:rFonts w:eastAsia="Times New Roman" w:cs="Arial"/>
          <w:noProof/>
          <w:szCs w:val="20"/>
        </w:rPr>
        <w:t>1214230</w:t>
      </w:r>
      <w:r w:rsidRPr="00091AF0">
        <w:rPr>
          <w:rFonts w:eastAsia="Times New Roman" w:cs="Arial"/>
          <w:szCs w:val="20"/>
        </w:rPr>
        <w:t xml:space="preserve">) in addition to the information contained in the </w:t>
      </w:r>
      <w:r w:rsidRPr="00091AF0">
        <w:rPr>
          <w:rFonts w:eastAsia="Times New Roman" w:cs="Arial"/>
          <w:noProof/>
          <w:szCs w:val="20"/>
        </w:rPr>
        <w:t>Capstone Financial Group</w:t>
      </w:r>
      <w:r w:rsidRPr="00091AF0">
        <w:rPr>
          <w:rFonts w:eastAsia="Times New Roman" w:cs="Arial"/>
          <w:szCs w:val="20"/>
        </w:rPr>
        <w:t xml:space="preserve">, </w:t>
      </w:r>
      <w:r w:rsidR="00C20F38">
        <w:rPr>
          <w:rFonts w:eastAsia="Times New Roman" w:cs="Arial"/>
          <w:szCs w:val="20"/>
        </w:rPr>
        <w:t>Inc.</w:t>
      </w:r>
      <w:r w:rsidRPr="00091AF0">
        <w:rPr>
          <w:rFonts w:eastAsia="Times New Roman" w:cs="Arial"/>
          <w:szCs w:val="20"/>
        </w:rPr>
        <w:t xml:space="preserve"> (“</w:t>
      </w:r>
      <w:r w:rsidRPr="00091AF0">
        <w:rPr>
          <w:rFonts w:eastAsia="Times New Roman" w:cs="Arial"/>
          <w:noProof/>
          <w:szCs w:val="20"/>
        </w:rPr>
        <w:t>CFG</w:t>
      </w:r>
      <w:r w:rsidRPr="00091AF0">
        <w:rPr>
          <w:rFonts w:eastAsia="Times New Roman" w:cs="Arial"/>
          <w:szCs w:val="20"/>
        </w:rPr>
        <w:t xml:space="preserve">” or the “Advisor”, CRD# </w:t>
      </w:r>
      <w:r w:rsidRPr="00B7049E">
        <w:rPr>
          <w:rFonts w:cs="Arial"/>
          <w:noProof/>
          <w:szCs w:val="20"/>
        </w:rPr>
        <w:t>299819</w:t>
      </w:r>
      <w:r w:rsidRPr="00B7049E">
        <w:rPr>
          <w:rFonts w:cs="Arial"/>
          <w:szCs w:val="20"/>
        </w:rPr>
        <w:t>)</w:t>
      </w:r>
      <w:r w:rsidRPr="00091AF0">
        <w:rPr>
          <w:rFonts w:eastAsia="Times New Roman" w:cs="Arial"/>
          <w:szCs w:val="20"/>
        </w:rPr>
        <w:t xml:space="preserve"> Disclosure Brochure. If you have not received a copy of the Disclosure Brochure or if you have any questions about the contents of the </w:t>
      </w:r>
      <w:r w:rsidRPr="00091AF0">
        <w:rPr>
          <w:rFonts w:eastAsia="Times New Roman" w:cs="Arial"/>
          <w:noProof/>
          <w:szCs w:val="20"/>
        </w:rPr>
        <w:t>CFG</w:t>
      </w:r>
      <w:r w:rsidRPr="00091AF0">
        <w:rPr>
          <w:rFonts w:eastAsia="Times New Roman" w:cs="Arial"/>
          <w:szCs w:val="20"/>
        </w:rPr>
        <w:t xml:space="preserve"> Disclosure Brochure or this Brochure Supplement, please contact us</w:t>
      </w:r>
      <w:r w:rsidRPr="00091AF0">
        <w:rPr>
          <w:rFonts w:cs="Arial"/>
          <w:szCs w:val="20"/>
        </w:rPr>
        <w:t xml:space="preserve"> at </w:t>
      </w:r>
      <w:r w:rsidRPr="00091AF0">
        <w:rPr>
          <w:rFonts w:cs="Arial"/>
          <w:noProof/>
          <w:szCs w:val="20"/>
        </w:rPr>
        <w:t>(405) 848-4646</w:t>
      </w:r>
      <w:r w:rsidRPr="00091AF0">
        <w:rPr>
          <w:rFonts w:cs="Arial"/>
          <w:szCs w:val="20"/>
        </w:rPr>
        <w:t>.</w:t>
      </w:r>
    </w:p>
    <w:p w14:paraId="2EB7E162" w14:textId="77777777" w:rsidR="00DB5092" w:rsidRPr="00CC00F4" w:rsidRDefault="00DB5092" w:rsidP="00DB5092">
      <w:pPr>
        <w:jc w:val="both"/>
        <w:rPr>
          <w:rFonts w:eastAsia="Times New Roman" w:cs="Arial"/>
        </w:rPr>
      </w:pPr>
    </w:p>
    <w:p w14:paraId="5F4E33DB" w14:textId="77777777" w:rsidR="00DB5092" w:rsidRPr="00D222F2" w:rsidRDefault="00DB5092" w:rsidP="00DB5092">
      <w:pPr>
        <w:rPr>
          <w:rFonts w:cs="Arial"/>
          <w:szCs w:val="20"/>
        </w:rPr>
      </w:pPr>
      <w:r w:rsidRPr="00D222F2">
        <w:rPr>
          <w:rFonts w:eastAsia="Times New Roman" w:cs="Arial"/>
          <w:szCs w:val="20"/>
        </w:rPr>
        <w:t xml:space="preserve">Additional information about </w:t>
      </w:r>
      <w:r w:rsidRPr="00D222F2">
        <w:rPr>
          <w:rFonts w:eastAsia="Times New Roman" w:cs="Arial"/>
          <w:noProof/>
          <w:szCs w:val="20"/>
        </w:rPr>
        <w:t>Mr.</w:t>
      </w:r>
      <w:r w:rsidRPr="00D222F2">
        <w:rPr>
          <w:rFonts w:eastAsia="Times New Roman" w:cs="Arial"/>
          <w:szCs w:val="20"/>
        </w:rPr>
        <w:t xml:space="preserve"> </w:t>
      </w:r>
      <w:r w:rsidRPr="00D222F2">
        <w:rPr>
          <w:rFonts w:eastAsia="Times New Roman" w:cs="Arial"/>
          <w:noProof/>
          <w:szCs w:val="20"/>
        </w:rPr>
        <w:t>Dunham</w:t>
      </w:r>
      <w:r w:rsidRPr="00D222F2">
        <w:rPr>
          <w:rFonts w:eastAsia="Times New Roman" w:cs="Arial"/>
          <w:szCs w:val="20"/>
        </w:rPr>
        <w:t xml:space="preserve"> is available on the SEC’s Investment Adviser Public Disclosure website at </w:t>
      </w:r>
      <w:hyperlink r:id="rId12" w:history="1">
        <w:r w:rsidRPr="00D222F2">
          <w:rPr>
            <w:rFonts w:eastAsia="Times New Roman" w:cs="Arial"/>
            <w:color w:val="0000FF"/>
            <w:szCs w:val="20"/>
            <w:u w:val="single"/>
          </w:rPr>
          <w:t>www.adviserinfo.sec.gov</w:t>
        </w:r>
      </w:hyperlink>
      <w:r w:rsidRPr="00FA5A40">
        <w:rPr>
          <w:rFonts w:eastAsia="Times New Roman" w:cs="Arial"/>
          <w:color w:val="0000FF"/>
          <w:szCs w:val="20"/>
        </w:rPr>
        <w:t xml:space="preserve"> </w:t>
      </w:r>
      <w:r w:rsidRPr="00D222F2">
        <w:rPr>
          <w:rFonts w:cs="Arial"/>
          <w:szCs w:val="20"/>
        </w:rPr>
        <w:t xml:space="preserve">by searching with </w:t>
      </w:r>
      <w:r w:rsidRPr="00D222F2">
        <w:rPr>
          <w:rFonts w:cs="Arial"/>
          <w:noProof/>
          <w:szCs w:val="20"/>
        </w:rPr>
        <w:t>his</w:t>
      </w:r>
      <w:r w:rsidRPr="00D222F2">
        <w:rPr>
          <w:rFonts w:cs="Arial"/>
          <w:szCs w:val="20"/>
        </w:rPr>
        <w:t xml:space="preserve"> full name or </w:t>
      </w:r>
      <w:r w:rsidRPr="00D222F2">
        <w:rPr>
          <w:rFonts w:cs="Arial"/>
          <w:noProof/>
          <w:szCs w:val="20"/>
        </w:rPr>
        <w:t>his</w:t>
      </w:r>
      <w:r w:rsidRPr="00D222F2">
        <w:rPr>
          <w:rFonts w:cs="Arial"/>
          <w:szCs w:val="20"/>
        </w:rPr>
        <w:t xml:space="preserve"> </w:t>
      </w:r>
      <w:r>
        <w:rPr>
          <w:rFonts w:cs="Arial"/>
          <w:szCs w:val="20"/>
        </w:rPr>
        <w:t>I</w:t>
      </w:r>
      <w:r w:rsidRPr="00D222F2">
        <w:rPr>
          <w:rFonts w:cs="Arial"/>
          <w:szCs w:val="20"/>
        </w:rPr>
        <w:t>ndividual</w:t>
      </w:r>
      <w:r>
        <w:rPr>
          <w:rFonts w:cs="Arial"/>
          <w:szCs w:val="20"/>
        </w:rPr>
        <w:t xml:space="preserve"> CRD</w:t>
      </w:r>
      <w:r w:rsidRPr="00D655B3">
        <w:rPr>
          <w:rFonts w:cs="Arial"/>
          <w:szCs w:val="20"/>
        </w:rPr>
        <w:t xml:space="preserve"># </w:t>
      </w:r>
      <w:r w:rsidRPr="00833109">
        <w:rPr>
          <w:rFonts w:eastAsia="Times New Roman" w:cs="Arial"/>
          <w:noProof/>
          <w:szCs w:val="20"/>
        </w:rPr>
        <w:t>1214230</w:t>
      </w:r>
      <w:r w:rsidRPr="00D222F2">
        <w:rPr>
          <w:rFonts w:eastAsia="Times New Roman" w:cs="Arial"/>
          <w:szCs w:val="20"/>
        </w:rPr>
        <w:t xml:space="preserve">.  </w:t>
      </w:r>
    </w:p>
    <w:p w14:paraId="56284ECB" w14:textId="77777777" w:rsidR="00DB5092" w:rsidRPr="00CC00F4" w:rsidRDefault="00DB5092" w:rsidP="00DB5092">
      <w:pPr>
        <w:jc w:val="both"/>
        <w:rPr>
          <w:rFonts w:eastAsia="Times New Roman" w:cs="Arial"/>
          <w:sz w:val="22"/>
        </w:rPr>
      </w:pPr>
    </w:p>
    <w:p w14:paraId="6363B3B6" w14:textId="77777777" w:rsidR="00DB5092" w:rsidRPr="00CC00F4" w:rsidRDefault="00DB5092" w:rsidP="00DB5092">
      <w:pPr>
        <w:jc w:val="both"/>
        <w:rPr>
          <w:rFonts w:eastAsia="Times New Roman" w:cs="Arial"/>
          <w:sz w:val="22"/>
        </w:rPr>
      </w:pPr>
    </w:p>
    <w:p w14:paraId="02F23186" w14:textId="77777777" w:rsidR="00DB5092" w:rsidRPr="00CC00F4" w:rsidRDefault="00DB5092" w:rsidP="00DB5092">
      <w:pPr>
        <w:pStyle w:val="Heading1"/>
      </w:pPr>
      <w:bookmarkStart w:id="164" w:name="_Toc288321361"/>
      <w:bookmarkStart w:id="165" w:name="ADV2B"/>
      <w:r w:rsidRPr="00CC00F4">
        <w:br w:type="page"/>
      </w:r>
      <w:bookmarkEnd w:id="164"/>
    </w:p>
    <w:p w14:paraId="2062A471" w14:textId="77777777" w:rsidR="00DB5092" w:rsidRPr="00CC00F4" w:rsidRDefault="00DB5092" w:rsidP="00DB5092">
      <w:pPr>
        <w:pStyle w:val="Heading1"/>
      </w:pPr>
      <w:bookmarkStart w:id="166" w:name="_Toc406665862"/>
      <w:r w:rsidRPr="00CC00F4">
        <w:lastRenderedPageBreak/>
        <w:t>Item 2 – Educational Background and Business Experience</w:t>
      </w:r>
      <w:bookmarkEnd w:id="166"/>
    </w:p>
    <w:p w14:paraId="034B56D4" w14:textId="77777777" w:rsidR="00DB5092" w:rsidRPr="00CC00F4" w:rsidRDefault="00DB5092" w:rsidP="00DB5092">
      <w:pPr>
        <w:pBdr>
          <w:top w:val="single" w:sz="6" w:space="1" w:color="244061"/>
        </w:pBdr>
        <w:spacing w:line="120" w:lineRule="exact"/>
        <w:rPr>
          <w:rFonts w:eastAsia="Times New Roman" w:cs="Arial"/>
          <w:color w:val="000000" w:themeColor="text1"/>
        </w:rPr>
      </w:pPr>
    </w:p>
    <w:p w14:paraId="7C4EA9FA" w14:textId="4D2ED1D0" w:rsidR="00DB5092" w:rsidRPr="00CC00F4" w:rsidRDefault="00DB5092" w:rsidP="00DB5092">
      <w:pPr>
        <w:pBdr>
          <w:top w:val="single" w:sz="6" w:space="1" w:color="244061"/>
        </w:pBdr>
        <w:spacing w:beforeLines="1" w:before="2" w:afterLines="1" w:after="2"/>
        <w:rPr>
          <w:rFonts w:cs="Arial"/>
          <w:color w:val="000000" w:themeColor="text1"/>
        </w:rPr>
      </w:pPr>
      <w:r w:rsidRPr="00CC00F4">
        <w:rPr>
          <w:rFonts w:cs="Arial"/>
          <w:noProof/>
          <w:color w:val="000000" w:themeColor="text1"/>
          <w:szCs w:val="20"/>
        </w:rPr>
        <w:t>Michael P. Dunham</w:t>
      </w:r>
      <w:r>
        <w:rPr>
          <w:rFonts w:cs="Arial"/>
          <w:noProof/>
          <w:color w:val="000000" w:themeColor="text1"/>
          <w:szCs w:val="20"/>
        </w:rPr>
        <w:t xml:space="preserve">, </w:t>
      </w:r>
      <w:r w:rsidRPr="006E7589">
        <w:rPr>
          <w:rFonts w:cs="Arial"/>
          <w:color w:val="000000"/>
          <w:szCs w:val="20"/>
          <w:shd w:val="clear" w:color="auto" w:fill="FFFFFF"/>
        </w:rPr>
        <w:t>CF</w:t>
      </w:r>
      <w:r>
        <w:rPr>
          <w:rFonts w:cs="Arial"/>
          <w:color w:val="000000"/>
          <w:szCs w:val="20"/>
          <w:shd w:val="clear" w:color="auto" w:fill="FFFFFF"/>
        </w:rPr>
        <w:t>P</w:t>
      </w:r>
      <w:r w:rsidRPr="00DA4147">
        <w:rPr>
          <w:rFonts w:cs="Arial"/>
          <w:color w:val="000000"/>
          <w:szCs w:val="20"/>
          <w:shd w:val="clear" w:color="auto" w:fill="FFFFFF"/>
          <w:vertAlign w:val="superscript"/>
        </w:rPr>
        <w:t>®</w:t>
      </w:r>
      <w:r w:rsidRPr="00CC00F4">
        <w:rPr>
          <w:rFonts w:cs="Arial"/>
          <w:color w:val="000000" w:themeColor="text1"/>
        </w:rPr>
        <w:t>,</w:t>
      </w:r>
      <w:r w:rsidRPr="00CC00F4">
        <w:rPr>
          <w:rFonts w:cs="Arial"/>
          <w:noProof/>
          <w:color w:val="000000" w:themeColor="text1"/>
        </w:rPr>
        <w:t xml:space="preserve"> </w:t>
      </w:r>
      <w:r w:rsidRPr="00CC00F4">
        <w:rPr>
          <w:rFonts w:cs="Arial"/>
          <w:color w:val="000000" w:themeColor="text1"/>
        </w:rPr>
        <w:t>born in</w:t>
      </w:r>
      <w:r w:rsidRPr="00CC00F4">
        <w:rPr>
          <w:rFonts w:cs="Arial"/>
          <w:noProof/>
          <w:color w:val="000000" w:themeColor="text1"/>
        </w:rPr>
        <w:t xml:space="preserve"> 1956</w:t>
      </w:r>
      <w:r w:rsidRPr="00CC00F4">
        <w:rPr>
          <w:rFonts w:cs="Arial"/>
          <w:color w:val="000000" w:themeColor="text1"/>
        </w:rPr>
        <w:t xml:space="preserve">, is dedicated to advising Clients of </w:t>
      </w:r>
      <w:r w:rsidRPr="00CC00F4">
        <w:rPr>
          <w:rFonts w:cs="Arial"/>
          <w:noProof/>
          <w:color w:val="000000" w:themeColor="text1"/>
          <w:szCs w:val="20"/>
        </w:rPr>
        <w:t>CFG</w:t>
      </w:r>
      <w:r w:rsidRPr="00CC00F4">
        <w:rPr>
          <w:rFonts w:cs="Arial"/>
          <w:color w:val="000000" w:themeColor="text1"/>
        </w:rPr>
        <w:t xml:space="preserve">. </w:t>
      </w:r>
      <w:r w:rsidRPr="00CC00F4">
        <w:rPr>
          <w:rFonts w:cs="Arial"/>
          <w:noProof/>
          <w:color w:val="000000" w:themeColor="text1"/>
          <w:szCs w:val="20"/>
        </w:rPr>
        <w:t>Mr.</w:t>
      </w:r>
      <w:r w:rsidRPr="00CC00F4">
        <w:rPr>
          <w:rFonts w:cs="Arial"/>
          <w:color w:val="000000" w:themeColor="text1"/>
          <w:szCs w:val="20"/>
        </w:rPr>
        <w:t xml:space="preserve"> </w:t>
      </w:r>
      <w:r w:rsidRPr="00CC00F4">
        <w:rPr>
          <w:rFonts w:cs="Arial"/>
          <w:noProof/>
          <w:color w:val="000000" w:themeColor="text1"/>
          <w:szCs w:val="20"/>
        </w:rPr>
        <w:t>Dunham</w:t>
      </w:r>
      <w:r w:rsidRPr="00CC00F4">
        <w:rPr>
          <w:rFonts w:cs="Arial"/>
          <w:color w:val="000000" w:themeColor="text1"/>
        </w:rPr>
        <w:t xml:space="preserve"> earned </w:t>
      </w:r>
      <w:r>
        <w:rPr>
          <w:rFonts w:cs="Arial"/>
          <w:color w:val="000000" w:themeColor="text1"/>
        </w:rPr>
        <w:t>a</w:t>
      </w:r>
      <w:r w:rsidRPr="00CC00F4">
        <w:rPr>
          <w:rFonts w:cs="Arial"/>
          <w:color w:val="000000" w:themeColor="text1"/>
        </w:rPr>
        <w:t xml:space="preserve"> </w:t>
      </w:r>
      <w:r w:rsidRPr="00CC00F4">
        <w:rPr>
          <w:rFonts w:cs="Arial"/>
          <w:noProof/>
          <w:color w:val="000000" w:themeColor="text1"/>
        </w:rPr>
        <w:t>MBA</w:t>
      </w:r>
      <w:r>
        <w:rPr>
          <w:rFonts w:cs="Arial"/>
          <w:noProof/>
          <w:color w:val="000000" w:themeColor="text1"/>
        </w:rPr>
        <w:t xml:space="preserve"> in</w:t>
      </w:r>
      <w:r w:rsidRPr="00CC00F4">
        <w:rPr>
          <w:rFonts w:cs="Arial"/>
          <w:noProof/>
          <w:color w:val="000000" w:themeColor="text1"/>
        </w:rPr>
        <w:t xml:space="preserve"> Finance</w:t>
      </w:r>
      <w:r w:rsidRPr="00CC00F4">
        <w:rPr>
          <w:rFonts w:cs="Arial"/>
          <w:color w:val="000000" w:themeColor="text1"/>
        </w:rPr>
        <w:t xml:space="preserve"> from </w:t>
      </w:r>
      <w:r w:rsidRPr="00CC00F4">
        <w:rPr>
          <w:rFonts w:cs="Arial"/>
          <w:noProof/>
          <w:color w:val="000000" w:themeColor="text1"/>
        </w:rPr>
        <w:t>Oklahoma City University,</w:t>
      </w:r>
      <w:r w:rsidRPr="00CC00F4">
        <w:rPr>
          <w:rFonts w:cs="Arial"/>
          <w:color w:val="000000" w:themeColor="text1"/>
        </w:rPr>
        <w:t xml:space="preserve"> in </w:t>
      </w:r>
      <w:r w:rsidRPr="00CC00F4">
        <w:rPr>
          <w:rFonts w:cs="Arial"/>
          <w:noProof/>
          <w:color w:val="000000" w:themeColor="text1"/>
        </w:rPr>
        <w:t>1982</w:t>
      </w:r>
      <w:r w:rsidRPr="00CC00F4">
        <w:rPr>
          <w:rFonts w:cs="Arial"/>
          <w:color w:val="000000" w:themeColor="text1"/>
        </w:rPr>
        <w:t xml:space="preserve">. </w:t>
      </w:r>
      <w:r w:rsidRPr="00CC00F4">
        <w:rPr>
          <w:rFonts w:cs="Arial"/>
          <w:noProof/>
          <w:color w:val="000000" w:themeColor="text1"/>
          <w:szCs w:val="20"/>
        </w:rPr>
        <w:t>Mr.</w:t>
      </w:r>
      <w:r w:rsidRPr="00CC00F4">
        <w:rPr>
          <w:rFonts w:cs="Arial"/>
          <w:color w:val="000000" w:themeColor="text1"/>
          <w:szCs w:val="20"/>
        </w:rPr>
        <w:t xml:space="preserve"> </w:t>
      </w:r>
      <w:r w:rsidRPr="00CC00F4">
        <w:rPr>
          <w:rFonts w:cs="Arial"/>
          <w:noProof/>
          <w:color w:val="000000" w:themeColor="text1"/>
          <w:szCs w:val="20"/>
        </w:rPr>
        <w:t>Dunham</w:t>
      </w:r>
      <w:r w:rsidRPr="00CC00F4">
        <w:rPr>
          <w:rFonts w:cs="Arial"/>
          <w:color w:val="000000" w:themeColor="text1"/>
        </w:rPr>
        <w:t xml:space="preserve"> </w:t>
      </w:r>
      <w:r>
        <w:rPr>
          <w:rFonts w:cs="Arial"/>
          <w:color w:val="000000" w:themeColor="text1"/>
        </w:rPr>
        <w:t xml:space="preserve">also </w:t>
      </w:r>
      <w:r w:rsidRPr="00CC00F4">
        <w:rPr>
          <w:rFonts w:cs="Arial"/>
          <w:color w:val="000000" w:themeColor="text1"/>
        </w:rPr>
        <w:t xml:space="preserve">earned </w:t>
      </w:r>
      <w:r>
        <w:rPr>
          <w:rFonts w:cs="Arial"/>
          <w:color w:val="000000" w:themeColor="text1"/>
        </w:rPr>
        <w:t xml:space="preserve">a </w:t>
      </w:r>
      <w:r w:rsidRPr="00CC00F4">
        <w:rPr>
          <w:rFonts w:cs="Arial"/>
          <w:noProof/>
          <w:color w:val="000000" w:themeColor="text1"/>
        </w:rPr>
        <w:t>B</w:t>
      </w:r>
      <w:r w:rsidR="006E2661">
        <w:rPr>
          <w:rFonts w:cs="Arial"/>
          <w:noProof/>
          <w:color w:val="000000" w:themeColor="text1"/>
        </w:rPr>
        <w:t>S</w:t>
      </w:r>
      <w:r w:rsidRPr="00CC00F4">
        <w:rPr>
          <w:rFonts w:cs="Arial"/>
          <w:noProof/>
          <w:color w:val="000000" w:themeColor="text1"/>
        </w:rPr>
        <w:t xml:space="preserve"> </w:t>
      </w:r>
      <w:r>
        <w:rPr>
          <w:rFonts w:cs="Arial"/>
          <w:noProof/>
          <w:color w:val="000000" w:themeColor="text1"/>
        </w:rPr>
        <w:t xml:space="preserve">in </w:t>
      </w:r>
      <w:r w:rsidRPr="00CC00F4">
        <w:rPr>
          <w:rFonts w:cs="Arial"/>
          <w:noProof/>
          <w:color w:val="000000" w:themeColor="text1"/>
        </w:rPr>
        <w:t>Psychology</w:t>
      </w:r>
      <w:r w:rsidRPr="00CC00F4">
        <w:rPr>
          <w:rFonts w:cs="Arial"/>
          <w:color w:val="000000" w:themeColor="text1"/>
        </w:rPr>
        <w:t xml:space="preserve"> from </w:t>
      </w:r>
      <w:r w:rsidRPr="00CC00F4">
        <w:rPr>
          <w:rFonts w:cs="Arial"/>
          <w:noProof/>
          <w:color w:val="000000" w:themeColor="text1"/>
        </w:rPr>
        <w:t>Oklahoma</w:t>
      </w:r>
      <w:r w:rsidR="006E2661">
        <w:rPr>
          <w:rFonts w:cs="Arial"/>
          <w:noProof/>
          <w:color w:val="000000" w:themeColor="text1"/>
        </w:rPr>
        <w:t xml:space="preserve"> State University</w:t>
      </w:r>
      <w:r w:rsidRPr="00CC00F4">
        <w:rPr>
          <w:rFonts w:cs="Arial"/>
          <w:noProof/>
          <w:color w:val="000000" w:themeColor="text1"/>
        </w:rPr>
        <w:t xml:space="preserve">, </w:t>
      </w:r>
      <w:r w:rsidRPr="00CC00F4">
        <w:rPr>
          <w:rFonts w:cs="Arial"/>
          <w:color w:val="000000" w:themeColor="text1"/>
        </w:rPr>
        <w:t>Stillwater</w:t>
      </w:r>
      <w:r w:rsidR="006E2661">
        <w:rPr>
          <w:rFonts w:cs="Arial"/>
          <w:color w:val="000000" w:themeColor="text1"/>
        </w:rPr>
        <w:t>, Oklahoma</w:t>
      </w:r>
      <w:r w:rsidRPr="00CC00F4">
        <w:rPr>
          <w:rFonts w:cs="Arial"/>
          <w:color w:val="000000" w:themeColor="text1"/>
        </w:rPr>
        <w:t xml:space="preserve"> in </w:t>
      </w:r>
      <w:r w:rsidRPr="00CC00F4">
        <w:rPr>
          <w:rFonts w:cs="Arial"/>
          <w:noProof/>
          <w:color w:val="000000" w:themeColor="text1"/>
        </w:rPr>
        <w:t>1978</w:t>
      </w:r>
      <w:r w:rsidRPr="00CC00F4">
        <w:rPr>
          <w:rFonts w:cs="Arial"/>
          <w:color w:val="000000" w:themeColor="text1"/>
        </w:rPr>
        <w:t xml:space="preserve">. Additional information regarding </w:t>
      </w:r>
      <w:r w:rsidRPr="00CC00F4">
        <w:rPr>
          <w:rFonts w:cs="Arial"/>
          <w:noProof/>
          <w:color w:val="000000" w:themeColor="text1"/>
          <w:szCs w:val="20"/>
        </w:rPr>
        <w:t>Mr.</w:t>
      </w:r>
      <w:r w:rsidRPr="00CC00F4">
        <w:rPr>
          <w:rFonts w:cs="Arial"/>
          <w:color w:val="000000" w:themeColor="text1"/>
          <w:szCs w:val="20"/>
        </w:rPr>
        <w:t xml:space="preserve"> </w:t>
      </w:r>
      <w:r w:rsidRPr="00CC00F4">
        <w:rPr>
          <w:rFonts w:cs="Arial"/>
          <w:noProof/>
          <w:color w:val="000000" w:themeColor="text1"/>
          <w:szCs w:val="20"/>
        </w:rPr>
        <w:t>Dunham</w:t>
      </w:r>
      <w:r w:rsidRPr="00CC00F4">
        <w:rPr>
          <w:rFonts w:cs="Arial"/>
          <w:color w:val="000000" w:themeColor="text1"/>
        </w:rPr>
        <w:t>’s employment history is included below.</w:t>
      </w:r>
    </w:p>
    <w:p w14:paraId="70DBC70B" w14:textId="77777777" w:rsidR="00DB5092" w:rsidRPr="00CC00F4" w:rsidRDefault="00DB5092" w:rsidP="00DB5092">
      <w:pPr>
        <w:autoSpaceDE w:val="0"/>
        <w:autoSpaceDN w:val="0"/>
        <w:adjustRightInd w:val="0"/>
        <w:rPr>
          <w:rFonts w:cs="Arial"/>
        </w:rPr>
      </w:pPr>
    </w:p>
    <w:p w14:paraId="3A6FDF11" w14:textId="77777777" w:rsidR="00DB5092" w:rsidRPr="00CC00F4" w:rsidRDefault="00DB5092" w:rsidP="00DB5092">
      <w:pPr>
        <w:tabs>
          <w:tab w:val="left" w:pos="-748"/>
          <w:tab w:val="left" w:pos="-273"/>
          <w:tab w:val="left" w:pos="-28"/>
          <w:tab w:val="left" w:pos="692"/>
          <w:tab w:val="left" w:pos="1412"/>
          <w:tab w:val="left" w:pos="2132"/>
          <w:tab w:val="left" w:pos="2852"/>
        </w:tabs>
        <w:suppressAutoHyphens/>
        <w:rPr>
          <w:rFonts w:eastAsia="Times New Roman" w:cs="Arial"/>
          <w:bCs/>
          <w:color w:val="000000" w:themeColor="text1"/>
        </w:rPr>
      </w:pPr>
      <w:r w:rsidRPr="00CC00F4">
        <w:rPr>
          <w:rFonts w:cs="Arial"/>
          <w:b/>
          <w:color w:val="000000" w:themeColor="text1"/>
          <w:szCs w:val="20"/>
        </w:rPr>
        <w:t>Employment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67"/>
        <w:gridCol w:w="3731"/>
      </w:tblGrid>
      <w:tr w:rsidR="00DB5092" w14:paraId="6FF8626A" w14:textId="77777777" w:rsidTr="00DB5092">
        <w:trPr>
          <w:trHeight w:val="20"/>
        </w:trPr>
        <w:tc>
          <w:tcPr>
            <w:tcW w:w="3134" w:type="pct"/>
            <w:shd w:val="clear" w:color="auto" w:fill="auto"/>
            <w:vAlign w:val="center"/>
          </w:tcPr>
          <w:p w14:paraId="70CD6291" w14:textId="7D0576A4" w:rsidR="00DB5092" w:rsidRPr="00242A9F" w:rsidRDefault="00DB5092" w:rsidP="00DB5092">
            <w:pPr>
              <w:autoSpaceDE w:val="0"/>
              <w:autoSpaceDN w:val="0"/>
              <w:adjustRightInd w:val="0"/>
              <w:rPr>
                <w:rFonts w:eastAsia="Times New Roman" w:cs="Arial"/>
                <w:bCs/>
                <w:szCs w:val="20"/>
              </w:rPr>
            </w:pPr>
            <w:r>
              <w:rPr>
                <w:rFonts w:eastAsia="Times New Roman" w:cs="Arial"/>
                <w:bCs/>
                <w:noProof/>
                <w:szCs w:val="20"/>
              </w:rPr>
              <w:t>President</w:t>
            </w:r>
            <w:r w:rsidRPr="00242A9F">
              <w:rPr>
                <w:rFonts w:eastAsia="Times New Roman" w:cs="Arial"/>
                <w:bCs/>
                <w:szCs w:val="20"/>
              </w:rPr>
              <w:t xml:space="preserve">, </w:t>
            </w:r>
            <w:r>
              <w:rPr>
                <w:rFonts w:eastAsia="Times New Roman" w:cs="Arial"/>
                <w:bCs/>
                <w:noProof/>
                <w:szCs w:val="20"/>
              </w:rPr>
              <w:t xml:space="preserve">Capstone Financial Group, </w:t>
            </w:r>
            <w:r w:rsidR="00C20F38">
              <w:rPr>
                <w:rFonts w:eastAsia="Times New Roman" w:cs="Arial"/>
                <w:bCs/>
                <w:noProof/>
                <w:szCs w:val="20"/>
              </w:rPr>
              <w:t>Inc.</w:t>
            </w:r>
          </w:p>
        </w:tc>
        <w:tc>
          <w:tcPr>
            <w:tcW w:w="1866" w:type="pct"/>
            <w:shd w:val="clear" w:color="auto" w:fill="auto"/>
            <w:vAlign w:val="center"/>
          </w:tcPr>
          <w:p w14:paraId="124B5B40" w14:textId="77777777" w:rsidR="00DB5092" w:rsidRPr="00242A9F" w:rsidRDefault="00DB5092" w:rsidP="00DB5092">
            <w:pPr>
              <w:autoSpaceDE w:val="0"/>
              <w:autoSpaceDN w:val="0"/>
              <w:adjustRightInd w:val="0"/>
              <w:jc w:val="center"/>
              <w:rPr>
                <w:rFonts w:eastAsia="Times New Roman" w:cs="Arial"/>
                <w:bCs/>
                <w:szCs w:val="20"/>
              </w:rPr>
            </w:pPr>
            <w:r>
              <w:rPr>
                <w:rFonts w:eastAsia="Times New Roman" w:cs="Arial"/>
                <w:bCs/>
                <w:noProof/>
                <w:szCs w:val="20"/>
              </w:rPr>
              <w:t>03/2019</w:t>
            </w:r>
            <w:r w:rsidRPr="00242A9F">
              <w:rPr>
                <w:rFonts w:eastAsia="Times New Roman" w:cs="Arial"/>
                <w:bCs/>
                <w:szCs w:val="20"/>
              </w:rPr>
              <w:t xml:space="preserve"> to </w:t>
            </w:r>
            <w:r>
              <w:rPr>
                <w:rFonts w:eastAsia="Times New Roman" w:cs="Arial"/>
                <w:bCs/>
                <w:noProof/>
                <w:szCs w:val="20"/>
              </w:rPr>
              <w:t>Present</w:t>
            </w:r>
          </w:p>
        </w:tc>
      </w:tr>
      <w:tr w:rsidR="00DB5092" w14:paraId="3708637F" w14:textId="77777777" w:rsidTr="00DB5092">
        <w:trPr>
          <w:trHeight w:val="20"/>
        </w:trPr>
        <w:tc>
          <w:tcPr>
            <w:tcW w:w="3134" w:type="pct"/>
            <w:shd w:val="clear" w:color="auto" w:fill="auto"/>
            <w:vAlign w:val="center"/>
          </w:tcPr>
          <w:p w14:paraId="26E4773E" w14:textId="77777777" w:rsidR="00DB5092" w:rsidRPr="00242A9F" w:rsidRDefault="00DB5092" w:rsidP="00DB5092">
            <w:pPr>
              <w:autoSpaceDE w:val="0"/>
              <w:autoSpaceDN w:val="0"/>
              <w:adjustRightInd w:val="0"/>
              <w:rPr>
                <w:rFonts w:eastAsia="Times New Roman" w:cs="Arial"/>
                <w:bCs/>
                <w:szCs w:val="20"/>
              </w:rPr>
            </w:pPr>
            <w:r>
              <w:rPr>
                <w:rFonts w:eastAsia="Times New Roman" w:cs="Arial"/>
                <w:bCs/>
                <w:noProof/>
                <w:szCs w:val="20"/>
              </w:rPr>
              <w:t>Investment Adviser Representative</w:t>
            </w:r>
            <w:r w:rsidRPr="00242A9F">
              <w:rPr>
                <w:rFonts w:eastAsia="Times New Roman" w:cs="Arial"/>
                <w:bCs/>
                <w:szCs w:val="20"/>
              </w:rPr>
              <w:t xml:space="preserve">, </w:t>
            </w:r>
            <w:r>
              <w:rPr>
                <w:rFonts w:eastAsia="Times New Roman" w:cs="Arial"/>
                <w:bCs/>
                <w:noProof/>
                <w:szCs w:val="20"/>
              </w:rPr>
              <w:t xml:space="preserve">Access Financial Resources, </w:t>
            </w:r>
            <w:r w:rsidRPr="00242A9F">
              <w:rPr>
                <w:rFonts w:eastAsia="Times New Roman" w:cs="Arial"/>
                <w:bCs/>
                <w:szCs w:val="20"/>
              </w:rPr>
              <w:t>Inc.</w:t>
            </w:r>
          </w:p>
        </w:tc>
        <w:tc>
          <w:tcPr>
            <w:tcW w:w="1866" w:type="pct"/>
            <w:shd w:val="clear" w:color="auto" w:fill="auto"/>
            <w:vAlign w:val="center"/>
          </w:tcPr>
          <w:p w14:paraId="25BF4D62" w14:textId="77777777" w:rsidR="00DB5092" w:rsidRPr="00242A9F" w:rsidRDefault="00DB5092" w:rsidP="00DB5092">
            <w:pPr>
              <w:autoSpaceDE w:val="0"/>
              <w:autoSpaceDN w:val="0"/>
              <w:adjustRightInd w:val="0"/>
              <w:jc w:val="center"/>
              <w:rPr>
                <w:rFonts w:eastAsia="Times New Roman" w:cs="Arial"/>
                <w:bCs/>
                <w:szCs w:val="20"/>
              </w:rPr>
            </w:pPr>
            <w:r>
              <w:rPr>
                <w:rFonts w:eastAsia="Times New Roman" w:cs="Arial"/>
                <w:bCs/>
                <w:noProof/>
                <w:szCs w:val="20"/>
              </w:rPr>
              <w:t>12/2008</w:t>
            </w:r>
            <w:r w:rsidRPr="00242A9F">
              <w:rPr>
                <w:rFonts w:eastAsia="Times New Roman" w:cs="Arial"/>
                <w:bCs/>
                <w:szCs w:val="20"/>
              </w:rPr>
              <w:t xml:space="preserve"> to </w:t>
            </w:r>
            <w:r>
              <w:rPr>
                <w:rFonts w:eastAsia="Times New Roman" w:cs="Arial"/>
                <w:bCs/>
                <w:szCs w:val="20"/>
              </w:rPr>
              <w:t>0</w:t>
            </w:r>
            <w:r>
              <w:rPr>
                <w:rFonts w:eastAsia="Times New Roman" w:cs="Arial"/>
                <w:bCs/>
                <w:noProof/>
                <w:szCs w:val="20"/>
              </w:rPr>
              <w:t>3/2019</w:t>
            </w:r>
          </w:p>
        </w:tc>
      </w:tr>
      <w:tr w:rsidR="00DB5092" w14:paraId="0C45AC11" w14:textId="77777777" w:rsidTr="00DB5092">
        <w:trPr>
          <w:trHeight w:val="20"/>
        </w:trPr>
        <w:tc>
          <w:tcPr>
            <w:tcW w:w="3134" w:type="pct"/>
            <w:shd w:val="clear" w:color="auto" w:fill="auto"/>
            <w:vAlign w:val="center"/>
          </w:tcPr>
          <w:p w14:paraId="57DDD022" w14:textId="77777777" w:rsidR="00DB5092" w:rsidRPr="00242A9F" w:rsidRDefault="00DB5092" w:rsidP="00DB5092">
            <w:pPr>
              <w:autoSpaceDE w:val="0"/>
              <w:autoSpaceDN w:val="0"/>
              <w:adjustRightInd w:val="0"/>
              <w:rPr>
                <w:rFonts w:eastAsia="Times New Roman" w:cs="Arial"/>
                <w:bCs/>
                <w:szCs w:val="20"/>
              </w:rPr>
            </w:pPr>
            <w:r>
              <w:rPr>
                <w:rFonts w:eastAsia="Times New Roman" w:cs="Arial"/>
                <w:bCs/>
                <w:noProof/>
                <w:szCs w:val="20"/>
              </w:rPr>
              <w:t>Owner</w:t>
            </w:r>
            <w:r w:rsidRPr="00242A9F">
              <w:rPr>
                <w:rFonts w:eastAsia="Times New Roman" w:cs="Arial"/>
                <w:bCs/>
                <w:szCs w:val="20"/>
              </w:rPr>
              <w:t xml:space="preserve">, </w:t>
            </w:r>
            <w:r>
              <w:rPr>
                <w:rFonts w:eastAsia="Times New Roman" w:cs="Arial"/>
                <w:bCs/>
                <w:noProof/>
                <w:szCs w:val="20"/>
              </w:rPr>
              <w:t xml:space="preserve">Capstone Retirement Services, </w:t>
            </w:r>
            <w:r w:rsidRPr="00242A9F">
              <w:rPr>
                <w:rFonts w:eastAsia="Times New Roman" w:cs="Arial"/>
                <w:bCs/>
                <w:szCs w:val="20"/>
              </w:rPr>
              <w:t>LLC</w:t>
            </w:r>
          </w:p>
        </w:tc>
        <w:tc>
          <w:tcPr>
            <w:tcW w:w="1866" w:type="pct"/>
            <w:shd w:val="clear" w:color="auto" w:fill="auto"/>
            <w:vAlign w:val="center"/>
          </w:tcPr>
          <w:p w14:paraId="73868FC0" w14:textId="77777777" w:rsidR="00DB5092" w:rsidRPr="00242A9F" w:rsidRDefault="00DB5092" w:rsidP="00DB5092">
            <w:pPr>
              <w:autoSpaceDE w:val="0"/>
              <w:autoSpaceDN w:val="0"/>
              <w:adjustRightInd w:val="0"/>
              <w:jc w:val="center"/>
              <w:rPr>
                <w:rFonts w:eastAsia="Times New Roman" w:cs="Arial"/>
                <w:bCs/>
                <w:szCs w:val="20"/>
              </w:rPr>
            </w:pPr>
            <w:r>
              <w:rPr>
                <w:rFonts w:eastAsia="Times New Roman" w:cs="Arial"/>
                <w:bCs/>
                <w:noProof/>
                <w:szCs w:val="20"/>
              </w:rPr>
              <w:t>06/2007</w:t>
            </w:r>
            <w:r w:rsidRPr="00242A9F">
              <w:rPr>
                <w:rFonts w:eastAsia="Times New Roman" w:cs="Arial"/>
                <w:bCs/>
                <w:szCs w:val="20"/>
              </w:rPr>
              <w:t xml:space="preserve"> to </w:t>
            </w:r>
            <w:r>
              <w:rPr>
                <w:rFonts w:eastAsia="Times New Roman" w:cs="Arial"/>
                <w:bCs/>
                <w:noProof/>
                <w:szCs w:val="20"/>
              </w:rPr>
              <w:t>Present</w:t>
            </w:r>
          </w:p>
        </w:tc>
      </w:tr>
      <w:tr w:rsidR="00DB5092" w14:paraId="2424FF62" w14:textId="77777777" w:rsidTr="00DB5092">
        <w:trPr>
          <w:trHeight w:val="20"/>
        </w:trPr>
        <w:tc>
          <w:tcPr>
            <w:tcW w:w="3134" w:type="pct"/>
            <w:shd w:val="clear" w:color="auto" w:fill="auto"/>
            <w:vAlign w:val="center"/>
          </w:tcPr>
          <w:p w14:paraId="67E6D0A1" w14:textId="77777777" w:rsidR="00DB5092" w:rsidRPr="00242A9F" w:rsidRDefault="00DB5092" w:rsidP="00DB5092">
            <w:pPr>
              <w:autoSpaceDE w:val="0"/>
              <w:autoSpaceDN w:val="0"/>
              <w:adjustRightInd w:val="0"/>
              <w:rPr>
                <w:rFonts w:eastAsia="Times New Roman" w:cs="Arial"/>
                <w:bCs/>
                <w:szCs w:val="20"/>
              </w:rPr>
            </w:pPr>
            <w:r>
              <w:rPr>
                <w:rFonts w:eastAsia="Times New Roman" w:cs="Arial"/>
                <w:bCs/>
                <w:noProof/>
                <w:szCs w:val="20"/>
              </w:rPr>
              <w:t xml:space="preserve">Investment Advisor Representative/ </w:t>
            </w:r>
            <w:r w:rsidRPr="00242A9F">
              <w:rPr>
                <w:rFonts w:eastAsia="Times New Roman" w:cs="Arial"/>
                <w:bCs/>
                <w:szCs w:val="20"/>
              </w:rPr>
              <w:t xml:space="preserve">Registered Representative, </w:t>
            </w:r>
            <w:r>
              <w:rPr>
                <w:rFonts w:eastAsia="Times New Roman" w:cs="Arial"/>
                <w:bCs/>
                <w:noProof/>
                <w:szCs w:val="20"/>
              </w:rPr>
              <w:t>Linsco/Private Ledger Corp</w:t>
            </w:r>
            <w:r w:rsidRPr="00242A9F">
              <w:rPr>
                <w:rFonts w:eastAsia="Times New Roman" w:cs="Arial"/>
                <w:bCs/>
                <w:szCs w:val="20"/>
              </w:rPr>
              <w:t>.</w:t>
            </w:r>
          </w:p>
        </w:tc>
        <w:tc>
          <w:tcPr>
            <w:tcW w:w="1866" w:type="pct"/>
            <w:shd w:val="clear" w:color="auto" w:fill="auto"/>
            <w:vAlign w:val="center"/>
          </w:tcPr>
          <w:p w14:paraId="1CDEA322" w14:textId="77777777" w:rsidR="00DB5092" w:rsidRPr="00242A9F" w:rsidRDefault="00DB5092" w:rsidP="00DB5092">
            <w:pPr>
              <w:autoSpaceDE w:val="0"/>
              <w:autoSpaceDN w:val="0"/>
              <w:adjustRightInd w:val="0"/>
              <w:jc w:val="center"/>
              <w:rPr>
                <w:rFonts w:eastAsia="Times New Roman" w:cs="Arial"/>
                <w:bCs/>
                <w:szCs w:val="20"/>
              </w:rPr>
            </w:pPr>
            <w:r>
              <w:rPr>
                <w:rFonts w:eastAsia="Times New Roman" w:cs="Arial"/>
                <w:bCs/>
                <w:noProof/>
                <w:szCs w:val="20"/>
              </w:rPr>
              <w:t>10/1996</w:t>
            </w:r>
            <w:r w:rsidRPr="00242A9F">
              <w:rPr>
                <w:rFonts w:eastAsia="Times New Roman" w:cs="Arial"/>
                <w:bCs/>
                <w:szCs w:val="20"/>
              </w:rPr>
              <w:t xml:space="preserve"> to </w:t>
            </w:r>
            <w:r>
              <w:rPr>
                <w:rFonts w:eastAsia="Times New Roman" w:cs="Arial"/>
                <w:bCs/>
                <w:noProof/>
                <w:szCs w:val="20"/>
              </w:rPr>
              <w:t>12/2008</w:t>
            </w:r>
          </w:p>
        </w:tc>
      </w:tr>
    </w:tbl>
    <w:p w14:paraId="3A6616A3" w14:textId="77777777" w:rsidR="00DB5092" w:rsidRDefault="00DB5092" w:rsidP="00DB5092"/>
    <w:p w14:paraId="797F425A" w14:textId="77777777" w:rsidR="00DB5092" w:rsidRPr="006E2661" w:rsidRDefault="00DB5092" w:rsidP="00DB5092">
      <w:pPr>
        <w:rPr>
          <w:rFonts w:ascii="Times New Roman" w:hAnsi="Times New Roman"/>
        </w:rPr>
      </w:pPr>
      <w:r w:rsidRPr="006E2661">
        <w:rPr>
          <w:rFonts w:cs="Arial"/>
          <w:bCs/>
          <w:color w:val="000000"/>
          <w:szCs w:val="20"/>
          <w:u w:val="single"/>
          <w:shd w:val="clear" w:color="auto" w:fill="FFFFFF"/>
        </w:rPr>
        <w:t>CERTIFIED FINANCIAL PLANNER</w:t>
      </w:r>
      <w:r w:rsidRPr="006E2661">
        <w:rPr>
          <w:rFonts w:cs="Arial"/>
          <w:bCs/>
          <w:color w:val="000000"/>
          <w:sz w:val="12"/>
          <w:szCs w:val="12"/>
          <w:u w:val="single"/>
          <w:shd w:val="clear" w:color="auto" w:fill="FFFFFF"/>
        </w:rPr>
        <w:t>™</w:t>
      </w:r>
      <w:r w:rsidRPr="006E2661">
        <w:rPr>
          <w:rFonts w:cs="Arial"/>
          <w:bCs/>
          <w:color w:val="000000"/>
          <w:szCs w:val="20"/>
          <w:u w:val="single"/>
          <w:shd w:val="clear" w:color="auto" w:fill="FFFFFF"/>
        </w:rPr>
        <w:t xml:space="preserve"> (“CFP</w:t>
      </w:r>
      <w:r w:rsidRPr="006E2661">
        <w:rPr>
          <w:rFonts w:cs="Arial"/>
          <w:bCs/>
          <w:color w:val="000000"/>
          <w:szCs w:val="20"/>
          <w:u w:val="single"/>
          <w:shd w:val="clear" w:color="auto" w:fill="FFFFFF"/>
          <w:vertAlign w:val="superscript"/>
        </w:rPr>
        <w:t>®</w:t>
      </w:r>
      <w:r w:rsidRPr="006E2661">
        <w:rPr>
          <w:rFonts w:cs="Arial"/>
          <w:bCs/>
          <w:color w:val="000000"/>
          <w:szCs w:val="20"/>
          <w:u w:val="single"/>
          <w:shd w:val="clear" w:color="auto" w:fill="FFFFFF"/>
        </w:rPr>
        <w:t>”)</w:t>
      </w:r>
    </w:p>
    <w:p w14:paraId="2221806A" w14:textId="77777777" w:rsidR="00DB5092" w:rsidRDefault="00DB5092" w:rsidP="00DB5092">
      <w:pPr>
        <w:rPr>
          <w:rFonts w:cs="Arial"/>
          <w:color w:val="000000"/>
          <w:szCs w:val="20"/>
          <w:shd w:val="clear" w:color="auto" w:fill="FFFFFF"/>
        </w:rPr>
      </w:pPr>
      <w:r w:rsidRPr="006E7589">
        <w:rPr>
          <w:rFonts w:cs="Arial"/>
          <w:color w:val="000000"/>
          <w:szCs w:val="20"/>
          <w:shd w:val="clear" w:color="auto" w:fill="FFFFFF"/>
        </w:rPr>
        <w:t>The CERTIFIED FINANCIAL PLANNER</w:t>
      </w:r>
      <w:r w:rsidRPr="006E7589">
        <w:rPr>
          <w:rFonts w:cs="Arial"/>
          <w:color w:val="000000"/>
          <w:sz w:val="12"/>
          <w:szCs w:val="12"/>
          <w:shd w:val="clear" w:color="auto" w:fill="FFFFFF"/>
        </w:rPr>
        <w:t>™</w:t>
      </w:r>
      <w:r w:rsidRPr="006E7589">
        <w:rPr>
          <w:rFonts w:cs="Arial"/>
          <w:color w:val="000000"/>
          <w:szCs w:val="20"/>
          <w:shd w:val="clear" w:color="auto" w:fill="FFFFFF"/>
        </w:rPr>
        <w:t>, CF</w:t>
      </w:r>
      <w:r>
        <w:rPr>
          <w:rFonts w:cs="Arial"/>
          <w:color w:val="000000"/>
          <w:szCs w:val="20"/>
          <w:shd w:val="clear" w:color="auto" w:fill="FFFFFF"/>
        </w:rPr>
        <w:t>P</w:t>
      </w:r>
      <w:r w:rsidRPr="00DA4147">
        <w:rPr>
          <w:rFonts w:cs="Arial"/>
          <w:color w:val="000000"/>
          <w:szCs w:val="20"/>
          <w:shd w:val="clear" w:color="auto" w:fill="FFFFFF"/>
          <w:vertAlign w:val="superscript"/>
        </w:rPr>
        <w:t>®</w:t>
      </w:r>
      <w:r w:rsidRPr="006E7589">
        <w:rPr>
          <w:rFonts w:cs="Arial"/>
          <w:color w:val="000000"/>
          <w:szCs w:val="20"/>
          <w:shd w:val="clear" w:color="auto" w:fill="FFFFFF"/>
        </w:rPr>
        <w:t xml:space="preserve"> and federally registered CF</w:t>
      </w:r>
      <w:r>
        <w:rPr>
          <w:rFonts w:cs="Arial"/>
          <w:color w:val="000000"/>
          <w:szCs w:val="20"/>
          <w:shd w:val="clear" w:color="auto" w:fill="FFFFFF"/>
        </w:rPr>
        <w:t>P</w:t>
      </w:r>
      <w:r w:rsidRPr="00DA4147">
        <w:rPr>
          <w:rFonts w:cs="Arial"/>
          <w:color w:val="000000"/>
          <w:szCs w:val="20"/>
          <w:shd w:val="clear" w:color="auto" w:fill="FFFFFF"/>
          <w:vertAlign w:val="superscript"/>
        </w:rPr>
        <w:t>®</w:t>
      </w:r>
      <w:r w:rsidRPr="006E7589">
        <w:rPr>
          <w:rFonts w:cs="Arial"/>
          <w:color w:val="000000"/>
          <w:szCs w:val="20"/>
          <w:shd w:val="clear" w:color="auto" w:fill="FFFFFF"/>
        </w:rPr>
        <w:t xml:space="preserve"> (with flame design) marks (collectively, the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marks”) are professional certification marks granted in the United States by Certified Financial Planner Board of Standards, Inc.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Board”).</w:t>
      </w:r>
    </w:p>
    <w:p w14:paraId="7A4836F3" w14:textId="77777777" w:rsidR="00DB5092" w:rsidRPr="006E7589" w:rsidRDefault="00DB5092" w:rsidP="00DB5092">
      <w:pPr>
        <w:rPr>
          <w:rFonts w:ascii="Times New Roman" w:hAnsi="Times New Roman"/>
        </w:rPr>
      </w:pPr>
    </w:p>
    <w:p w14:paraId="3F70FD51" w14:textId="77777777" w:rsidR="00DB5092" w:rsidRDefault="00DB5092" w:rsidP="00DB5092">
      <w:pPr>
        <w:rPr>
          <w:rFonts w:cs="Arial"/>
          <w:color w:val="000000"/>
          <w:szCs w:val="20"/>
          <w:shd w:val="clear" w:color="auto" w:fill="FFFFFF"/>
        </w:rPr>
      </w:pPr>
      <w:r w:rsidRPr="006E7589">
        <w:rPr>
          <w:rFonts w:cs="Arial"/>
          <w:color w:val="000000"/>
          <w:szCs w:val="20"/>
          <w:shd w:val="clear" w:color="auto" w:fill="FFFFFF"/>
        </w:rPr>
        <w:t>The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certification is a voluntary certification; no federal or state law or regulation requires financial planners to hold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Pr>
          <w:rFonts w:cs="Arial"/>
          <w:color w:val="000000"/>
          <w:szCs w:val="20"/>
          <w:shd w:val="clear" w:color="auto" w:fill="FFFFFF"/>
        </w:rPr>
        <w:t xml:space="preserve">certification. </w:t>
      </w:r>
      <w:r w:rsidRPr="006E7589">
        <w:rPr>
          <w:rFonts w:cs="Arial"/>
          <w:color w:val="000000"/>
          <w:szCs w:val="20"/>
          <w:shd w:val="clear" w:color="auto" w:fill="FFFFFF"/>
        </w:rPr>
        <w:t>It is recognized in the United States and a number of other countries for its (1) high standard of professional education; (2) stringent code of conduct and standards of practice; and (3) ethical requirements that govern professi</w:t>
      </w:r>
      <w:r>
        <w:rPr>
          <w:rFonts w:cs="Arial"/>
          <w:color w:val="000000"/>
          <w:szCs w:val="20"/>
          <w:shd w:val="clear" w:color="auto" w:fill="FFFFFF"/>
        </w:rPr>
        <w:t xml:space="preserve">onal engagements with clients. </w:t>
      </w:r>
      <w:r w:rsidRPr="006E7589">
        <w:rPr>
          <w:rFonts w:cs="Arial"/>
          <w:color w:val="000000"/>
          <w:szCs w:val="20"/>
          <w:shd w:val="clear" w:color="auto" w:fill="FFFFFF"/>
        </w:rPr>
        <w:t>Currently, more than 71,000 individuals have obtained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certification in the United States.</w:t>
      </w:r>
    </w:p>
    <w:p w14:paraId="6CB2DBC6" w14:textId="77777777" w:rsidR="00DB5092" w:rsidRPr="006E7589" w:rsidRDefault="00DB5092" w:rsidP="00DB5092">
      <w:pPr>
        <w:rPr>
          <w:rFonts w:ascii="Times New Roman" w:hAnsi="Times New Roman"/>
        </w:rPr>
      </w:pPr>
    </w:p>
    <w:p w14:paraId="24A6227C" w14:textId="77777777" w:rsidR="00DB5092" w:rsidRDefault="00DB5092" w:rsidP="00DB5092">
      <w:pPr>
        <w:rPr>
          <w:rFonts w:cs="Arial"/>
          <w:color w:val="000000"/>
          <w:szCs w:val="20"/>
          <w:shd w:val="clear" w:color="auto" w:fill="FFFFFF"/>
        </w:rPr>
      </w:pPr>
      <w:r w:rsidRPr="006E7589">
        <w:rPr>
          <w:rFonts w:cs="Arial"/>
          <w:color w:val="000000"/>
          <w:szCs w:val="20"/>
          <w:shd w:val="clear" w:color="auto" w:fill="FFFFFF"/>
        </w:rPr>
        <w:t>To attain the right to use the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marks, an individual must satisfactorily fulfill the following requirements:</w:t>
      </w:r>
    </w:p>
    <w:p w14:paraId="1485A3B9" w14:textId="77777777" w:rsidR="00DB5092" w:rsidRPr="006E7589" w:rsidRDefault="00DB5092" w:rsidP="00DB5092">
      <w:pPr>
        <w:rPr>
          <w:rFonts w:ascii="Times New Roman" w:hAnsi="Times New Roman"/>
        </w:rPr>
      </w:pPr>
    </w:p>
    <w:p w14:paraId="65E6BE48" w14:textId="77777777" w:rsidR="00DB5092" w:rsidRPr="006E7589" w:rsidRDefault="00DB5092" w:rsidP="00DB5092">
      <w:pPr>
        <w:numPr>
          <w:ilvl w:val="0"/>
          <w:numId w:val="19"/>
        </w:numPr>
        <w:shd w:val="clear" w:color="auto" w:fill="FFFFFF"/>
        <w:textAlignment w:val="baseline"/>
        <w:rPr>
          <w:rFonts w:cs="Arial"/>
          <w:color w:val="000000"/>
          <w:szCs w:val="20"/>
        </w:rPr>
      </w:pPr>
      <w:r w:rsidRPr="006E7589">
        <w:rPr>
          <w:rFonts w:cs="Arial"/>
          <w:i/>
          <w:iCs/>
          <w:color w:val="000000"/>
          <w:szCs w:val="20"/>
          <w:shd w:val="clear" w:color="auto" w:fill="FFFFFF"/>
        </w:rPr>
        <w:t>Education</w:t>
      </w:r>
      <w:r w:rsidRPr="006E7589">
        <w:rPr>
          <w:rFonts w:cs="Arial"/>
          <w:color w:val="000000"/>
          <w:szCs w:val="20"/>
          <w:shd w:val="clear" w:color="auto" w:fill="FFFFFF"/>
        </w:rPr>
        <w:t xml:space="preserve"> – Complete an advanced college-level course of study addressing the financial planning subject areas that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Board’s studies have determined as necessary for the competent and professional delivery of financial planning services, and attain a Bachelor’s Degree from a regionally accredited United States college or university (or its equivale</w:t>
      </w:r>
      <w:r>
        <w:rPr>
          <w:rFonts w:cs="Arial"/>
          <w:color w:val="000000"/>
          <w:szCs w:val="20"/>
          <w:shd w:val="clear" w:color="auto" w:fill="FFFFFF"/>
        </w:rPr>
        <w:t xml:space="preserve">nt from a foreign university). </w:t>
      </w:r>
      <w:r w:rsidRPr="006E7589">
        <w:rPr>
          <w:rFonts w:cs="Arial"/>
          <w:color w:val="000000"/>
          <w:szCs w:val="20"/>
          <w:shd w:val="clear" w:color="auto" w:fill="FFFFFF"/>
        </w:rPr>
        <w:t>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Board’s financial planning subject areas include insurance planning and risk management, employee benefits planning, investment planning, income tax planning, retirement planning, and estate planning;   </w:t>
      </w:r>
    </w:p>
    <w:p w14:paraId="601EB455" w14:textId="77777777" w:rsidR="00DB5092" w:rsidRPr="006E7589" w:rsidRDefault="00DB5092" w:rsidP="00DB5092">
      <w:pPr>
        <w:numPr>
          <w:ilvl w:val="0"/>
          <w:numId w:val="19"/>
        </w:numPr>
        <w:shd w:val="clear" w:color="auto" w:fill="FFFFFF"/>
        <w:textAlignment w:val="baseline"/>
        <w:rPr>
          <w:rFonts w:cs="Arial"/>
          <w:color w:val="000000"/>
          <w:szCs w:val="20"/>
        </w:rPr>
      </w:pPr>
      <w:r w:rsidRPr="006E7589">
        <w:rPr>
          <w:rFonts w:cs="Arial"/>
          <w:i/>
          <w:iCs/>
          <w:color w:val="000000"/>
          <w:szCs w:val="20"/>
          <w:shd w:val="clear" w:color="auto" w:fill="FFFFFF"/>
        </w:rPr>
        <w:t>Examination</w:t>
      </w:r>
      <w:r w:rsidRPr="006E7589">
        <w:rPr>
          <w:rFonts w:cs="Arial"/>
          <w:color w:val="000000"/>
          <w:szCs w:val="20"/>
          <w:shd w:val="clear" w:color="auto" w:fill="FFFFFF"/>
        </w:rPr>
        <w:t xml:space="preserve"> – Pass the comprehensive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Certification Examination. The examination includes case studies and client scenarios designed to test one’s ability to correctly diagnose financial planning issues and apply one’s knowledge of financial planning to real world circumstances;</w:t>
      </w:r>
    </w:p>
    <w:p w14:paraId="14F91B77" w14:textId="77777777" w:rsidR="00DB5092" w:rsidRPr="006E7589" w:rsidRDefault="00DB5092" w:rsidP="00DB5092">
      <w:pPr>
        <w:numPr>
          <w:ilvl w:val="0"/>
          <w:numId w:val="19"/>
        </w:numPr>
        <w:shd w:val="clear" w:color="auto" w:fill="FFFFFF"/>
        <w:textAlignment w:val="baseline"/>
        <w:rPr>
          <w:rFonts w:cs="Arial"/>
          <w:color w:val="000000"/>
          <w:szCs w:val="20"/>
        </w:rPr>
      </w:pPr>
      <w:r w:rsidRPr="006E7589">
        <w:rPr>
          <w:rFonts w:cs="Arial"/>
          <w:i/>
          <w:iCs/>
          <w:color w:val="000000"/>
          <w:szCs w:val="20"/>
          <w:shd w:val="clear" w:color="auto" w:fill="FFFFFF"/>
        </w:rPr>
        <w:t>Experience</w:t>
      </w:r>
      <w:r w:rsidRPr="006E7589">
        <w:rPr>
          <w:rFonts w:cs="Arial"/>
          <w:color w:val="000000"/>
          <w:szCs w:val="20"/>
          <w:shd w:val="clear" w:color="auto" w:fill="FFFFFF"/>
        </w:rPr>
        <w:t xml:space="preserve"> – Complete at least three years of full-time financial planning-related experience (or the equivalent, measured as 2,000 hours per year); and</w:t>
      </w:r>
    </w:p>
    <w:p w14:paraId="339F5E00" w14:textId="77777777" w:rsidR="00DB5092" w:rsidRPr="006E7589" w:rsidRDefault="00DB5092" w:rsidP="00DB5092">
      <w:pPr>
        <w:numPr>
          <w:ilvl w:val="0"/>
          <w:numId w:val="19"/>
        </w:numPr>
        <w:shd w:val="clear" w:color="auto" w:fill="FFFFFF"/>
        <w:textAlignment w:val="baseline"/>
        <w:rPr>
          <w:rFonts w:cs="Arial"/>
          <w:color w:val="000000"/>
          <w:szCs w:val="20"/>
        </w:rPr>
      </w:pPr>
      <w:r w:rsidRPr="006E7589">
        <w:rPr>
          <w:rFonts w:cs="Arial"/>
          <w:i/>
          <w:iCs/>
          <w:color w:val="000000"/>
          <w:szCs w:val="20"/>
          <w:shd w:val="clear" w:color="auto" w:fill="FFFFFF"/>
        </w:rPr>
        <w:t>Ethics</w:t>
      </w:r>
      <w:r w:rsidRPr="006E7589">
        <w:rPr>
          <w:rFonts w:cs="Arial"/>
          <w:color w:val="000000"/>
          <w:szCs w:val="20"/>
          <w:shd w:val="clear" w:color="auto" w:fill="FFFFFF"/>
        </w:rPr>
        <w:t xml:space="preserve"> – Agree to be bound by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 xml:space="preserve">Board’s </w:t>
      </w:r>
      <w:r w:rsidRPr="006E7589">
        <w:rPr>
          <w:rFonts w:cs="Arial"/>
          <w:i/>
          <w:iCs/>
          <w:color w:val="000000"/>
          <w:szCs w:val="20"/>
          <w:shd w:val="clear" w:color="auto" w:fill="FFFFFF"/>
        </w:rPr>
        <w:t>Standards of Professional Conduct</w:t>
      </w:r>
      <w:r w:rsidRPr="006E7589">
        <w:rPr>
          <w:rFonts w:cs="Arial"/>
          <w:color w:val="000000"/>
          <w:szCs w:val="20"/>
          <w:shd w:val="clear" w:color="auto" w:fill="FFFFFF"/>
        </w:rPr>
        <w:t>, a set of documents outlining the ethical and practice standards for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professionals.</w:t>
      </w:r>
    </w:p>
    <w:p w14:paraId="03E60191" w14:textId="77777777" w:rsidR="00DB5092" w:rsidRPr="006E7589" w:rsidRDefault="00DB5092" w:rsidP="00DB5092">
      <w:pPr>
        <w:rPr>
          <w:rFonts w:ascii="Times New Roman" w:eastAsia="Times New Roman" w:hAnsi="Times New Roman"/>
        </w:rPr>
      </w:pPr>
    </w:p>
    <w:p w14:paraId="29D6C9CE" w14:textId="77777777" w:rsidR="00DB5092" w:rsidRDefault="00DB5092" w:rsidP="00DB5092">
      <w:pPr>
        <w:rPr>
          <w:rFonts w:cs="Arial"/>
          <w:color w:val="000000"/>
          <w:szCs w:val="20"/>
          <w:shd w:val="clear" w:color="auto" w:fill="FFFFFF"/>
        </w:rPr>
      </w:pPr>
      <w:r w:rsidRPr="006E7589">
        <w:rPr>
          <w:rFonts w:cs="Arial"/>
          <w:color w:val="000000"/>
          <w:szCs w:val="20"/>
          <w:shd w:val="clear" w:color="auto" w:fill="FFFFFF"/>
        </w:rPr>
        <w:t>Individuals who become certified must complete the following ongoing education and ethics requirements in order to maintain the right to continue to use the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marks:</w:t>
      </w:r>
    </w:p>
    <w:p w14:paraId="3008AB2B" w14:textId="77777777" w:rsidR="00DB5092" w:rsidRPr="006E7589" w:rsidRDefault="00DB5092" w:rsidP="00DB5092">
      <w:pPr>
        <w:rPr>
          <w:rFonts w:ascii="Times New Roman" w:hAnsi="Times New Roman"/>
        </w:rPr>
      </w:pPr>
    </w:p>
    <w:p w14:paraId="579B6776" w14:textId="77777777" w:rsidR="00DB5092" w:rsidRPr="006E7589" w:rsidRDefault="00DB5092" w:rsidP="00DB5092">
      <w:pPr>
        <w:numPr>
          <w:ilvl w:val="0"/>
          <w:numId w:val="20"/>
        </w:numPr>
        <w:shd w:val="clear" w:color="auto" w:fill="FFFFFF"/>
        <w:textAlignment w:val="baseline"/>
        <w:rPr>
          <w:rFonts w:cs="Arial"/>
          <w:color w:val="000000"/>
          <w:szCs w:val="20"/>
        </w:rPr>
      </w:pPr>
      <w:r w:rsidRPr="006E7589">
        <w:rPr>
          <w:rFonts w:cs="Arial"/>
          <w:i/>
          <w:iCs/>
          <w:color w:val="000000"/>
          <w:szCs w:val="20"/>
          <w:shd w:val="clear" w:color="auto" w:fill="FFFFFF"/>
        </w:rPr>
        <w:t>Continuing Education</w:t>
      </w:r>
      <w:r w:rsidRPr="006E7589">
        <w:rPr>
          <w:rFonts w:cs="Arial"/>
          <w:color w:val="000000"/>
          <w:szCs w:val="20"/>
          <w:shd w:val="clear" w:color="auto" w:fill="FFFFFF"/>
        </w:rPr>
        <w:t xml:space="preserve"> – Complete 30 hours of continuing education hours every two years, including two hours on the </w:t>
      </w:r>
      <w:r w:rsidRPr="006E7589">
        <w:rPr>
          <w:rFonts w:cs="Arial"/>
          <w:i/>
          <w:iCs/>
          <w:color w:val="000000"/>
          <w:szCs w:val="20"/>
          <w:shd w:val="clear" w:color="auto" w:fill="FFFFFF"/>
        </w:rPr>
        <w:t>Code of Ethics</w:t>
      </w:r>
      <w:r w:rsidRPr="006E7589">
        <w:rPr>
          <w:rFonts w:cs="Arial"/>
          <w:color w:val="000000"/>
          <w:szCs w:val="20"/>
          <w:shd w:val="clear" w:color="auto" w:fill="FFFFFF"/>
        </w:rPr>
        <w:t xml:space="preserve"> and other parts of the </w:t>
      </w:r>
      <w:r w:rsidRPr="006E7589">
        <w:rPr>
          <w:rFonts w:cs="Arial"/>
          <w:i/>
          <w:iCs/>
          <w:color w:val="000000"/>
          <w:szCs w:val="20"/>
          <w:shd w:val="clear" w:color="auto" w:fill="FFFFFF"/>
        </w:rPr>
        <w:t>Standards of Professional Conduct</w:t>
      </w:r>
      <w:r w:rsidRPr="006E7589">
        <w:rPr>
          <w:rFonts w:cs="Arial"/>
          <w:color w:val="000000"/>
          <w:szCs w:val="20"/>
          <w:shd w:val="clear" w:color="auto" w:fill="FFFFFF"/>
        </w:rPr>
        <w:t>, to maintain competence and keep up with developments in the financial planning field; and</w:t>
      </w:r>
    </w:p>
    <w:p w14:paraId="7FDD07B5" w14:textId="77777777" w:rsidR="00DB5092" w:rsidRPr="006E7589" w:rsidRDefault="00DB5092" w:rsidP="00DB5092">
      <w:pPr>
        <w:numPr>
          <w:ilvl w:val="0"/>
          <w:numId w:val="20"/>
        </w:numPr>
        <w:shd w:val="clear" w:color="auto" w:fill="FFFFFF"/>
        <w:textAlignment w:val="baseline"/>
        <w:rPr>
          <w:rFonts w:cs="Arial"/>
          <w:color w:val="000000"/>
          <w:szCs w:val="20"/>
        </w:rPr>
      </w:pPr>
      <w:r w:rsidRPr="006E7589">
        <w:rPr>
          <w:rFonts w:cs="Arial"/>
          <w:i/>
          <w:iCs/>
          <w:color w:val="000000"/>
          <w:szCs w:val="20"/>
          <w:shd w:val="clear" w:color="auto" w:fill="FFFFFF"/>
        </w:rPr>
        <w:t>Ethics</w:t>
      </w:r>
      <w:r w:rsidRPr="006E7589">
        <w:rPr>
          <w:rFonts w:cs="Arial"/>
          <w:color w:val="000000"/>
          <w:szCs w:val="20"/>
          <w:shd w:val="clear" w:color="auto" w:fill="FFFFFF"/>
        </w:rPr>
        <w:t xml:space="preserve"> – Renew an agreement to be bound by the </w:t>
      </w:r>
      <w:r w:rsidRPr="006E7589">
        <w:rPr>
          <w:rFonts w:cs="Arial"/>
          <w:i/>
          <w:iCs/>
          <w:color w:val="000000"/>
          <w:szCs w:val="20"/>
          <w:shd w:val="clear" w:color="auto" w:fill="FFFFFF"/>
        </w:rPr>
        <w:t xml:space="preserve">Standards of Professional Conduct. </w:t>
      </w:r>
      <w:r w:rsidRPr="006E7589">
        <w:rPr>
          <w:rFonts w:cs="Arial"/>
          <w:color w:val="000000"/>
          <w:szCs w:val="20"/>
          <w:shd w:val="clear" w:color="auto" w:fill="FFFFFF"/>
        </w:rPr>
        <w:t xml:space="preserve">The </w:t>
      </w:r>
      <w:r w:rsidRPr="006E7589">
        <w:rPr>
          <w:rFonts w:cs="Arial"/>
          <w:i/>
          <w:iCs/>
          <w:color w:val="000000"/>
          <w:szCs w:val="20"/>
          <w:shd w:val="clear" w:color="auto" w:fill="FFFFFF"/>
        </w:rPr>
        <w:t>Standards</w:t>
      </w:r>
      <w:r w:rsidRPr="006E7589">
        <w:rPr>
          <w:rFonts w:cs="Arial"/>
          <w:color w:val="000000"/>
          <w:szCs w:val="20"/>
          <w:shd w:val="clear" w:color="auto" w:fill="FFFFFF"/>
        </w:rPr>
        <w:t xml:space="preserve"> prominently require that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professionals provide financial planning services a</w:t>
      </w:r>
      <w:r>
        <w:rPr>
          <w:rFonts w:cs="Arial"/>
          <w:color w:val="000000"/>
          <w:szCs w:val="20"/>
          <w:shd w:val="clear" w:color="auto" w:fill="FFFFFF"/>
        </w:rPr>
        <w:t>t a fiduciary standard of care.</w:t>
      </w:r>
      <w:r w:rsidRPr="006E7589">
        <w:rPr>
          <w:rFonts w:cs="Arial"/>
          <w:color w:val="000000"/>
          <w:szCs w:val="20"/>
          <w:shd w:val="clear" w:color="auto" w:fill="FFFFFF"/>
        </w:rPr>
        <w:t> This means 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cs="Arial"/>
          <w:color w:val="000000"/>
          <w:szCs w:val="20"/>
          <w:shd w:val="clear" w:color="auto" w:fill="FFFFFF"/>
        </w:rPr>
        <w:t>professionals must provide financial planning services in the best interests of their clients.</w:t>
      </w:r>
    </w:p>
    <w:p w14:paraId="5D7DB5E5" w14:textId="77777777" w:rsidR="00DB5092" w:rsidRPr="006E7589" w:rsidRDefault="00DB5092" w:rsidP="00DB5092">
      <w:pPr>
        <w:rPr>
          <w:rFonts w:ascii="Times New Roman" w:eastAsia="Times New Roman" w:hAnsi="Times New Roman"/>
        </w:rPr>
      </w:pPr>
      <w:r w:rsidRPr="006E7589">
        <w:rPr>
          <w:rFonts w:ascii="Times New Roman" w:eastAsia="Times New Roman" w:hAnsi="Times New Roman"/>
        </w:rPr>
        <w:br/>
      </w:r>
      <w:r w:rsidRPr="006E7589">
        <w:rPr>
          <w:rFonts w:cs="Arial"/>
          <w:color w:val="000000"/>
          <w:szCs w:val="20"/>
          <w:shd w:val="clear" w:color="auto" w:fill="FFFFFF"/>
        </w:rPr>
        <w:t>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eastAsia="Times New Roman" w:cs="Arial"/>
          <w:color w:val="000000"/>
          <w:szCs w:val="20"/>
          <w:shd w:val="clear" w:color="auto" w:fill="FFFFFF"/>
        </w:rPr>
        <w:t xml:space="preserve">professionals who fail to comply with the above standards and requirements may be subject to </w:t>
      </w:r>
      <w:r w:rsidRPr="006E7589">
        <w:rPr>
          <w:rFonts w:cs="Arial"/>
          <w:color w:val="000000"/>
          <w:szCs w:val="20"/>
          <w:shd w:val="clear" w:color="auto" w:fill="FFFFFF"/>
        </w:rPr>
        <w:t>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eastAsia="Times New Roman" w:cs="Arial"/>
          <w:color w:val="000000"/>
          <w:szCs w:val="20"/>
          <w:shd w:val="clear" w:color="auto" w:fill="FFFFFF"/>
        </w:rPr>
        <w:lastRenderedPageBreak/>
        <w:t xml:space="preserve">Board’s enforcement process, which could result in suspension or permanent revocation of their </w:t>
      </w:r>
      <w:r w:rsidRPr="006E7589">
        <w:rPr>
          <w:rFonts w:cs="Arial"/>
          <w:color w:val="000000"/>
          <w:szCs w:val="20"/>
          <w:shd w:val="clear" w:color="auto" w:fill="FFFFFF"/>
        </w:rPr>
        <w:t>CF</w:t>
      </w:r>
      <w:r>
        <w:rPr>
          <w:rFonts w:cs="Arial"/>
          <w:color w:val="000000"/>
          <w:szCs w:val="20"/>
          <w:shd w:val="clear" w:color="auto" w:fill="FFFFFF"/>
        </w:rPr>
        <w:t>P</w:t>
      </w:r>
      <w:r w:rsidRPr="00DA4147">
        <w:rPr>
          <w:rFonts w:cs="Arial"/>
          <w:color w:val="000000"/>
          <w:szCs w:val="20"/>
          <w:shd w:val="clear" w:color="auto" w:fill="FFFFFF"/>
          <w:vertAlign w:val="superscript"/>
        </w:rPr>
        <w:t>®</w:t>
      </w:r>
      <w:r>
        <w:rPr>
          <w:rFonts w:cs="Arial"/>
          <w:color w:val="000000"/>
          <w:szCs w:val="20"/>
          <w:shd w:val="clear" w:color="auto" w:fill="FFFFFF"/>
          <w:vertAlign w:val="superscript"/>
        </w:rPr>
        <w:t xml:space="preserve"> </w:t>
      </w:r>
      <w:r w:rsidRPr="006E7589">
        <w:rPr>
          <w:rFonts w:eastAsia="Times New Roman" w:cs="Arial"/>
          <w:color w:val="000000"/>
          <w:szCs w:val="20"/>
          <w:shd w:val="clear" w:color="auto" w:fill="FFFFFF"/>
        </w:rPr>
        <w:t>certification.</w:t>
      </w:r>
    </w:p>
    <w:p w14:paraId="3AB7F7DF" w14:textId="77777777" w:rsidR="00DB5092" w:rsidRDefault="00DB5092" w:rsidP="00DB5092"/>
    <w:p w14:paraId="3EACEC25" w14:textId="77777777" w:rsidR="00DB5092" w:rsidRPr="00CC00F4" w:rsidRDefault="00DB5092" w:rsidP="00DB5092">
      <w:pPr>
        <w:pStyle w:val="Heading1"/>
      </w:pPr>
      <w:bookmarkStart w:id="167" w:name="_Toc406665863"/>
      <w:r w:rsidRPr="00CC00F4">
        <w:t>Item 3 – Disciplinary Information</w:t>
      </w:r>
      <w:bookmarkEnd w:id="167"/>
    </w:p>
    <w:p w14:paraId="0AEC21E2" w14:textId="77777777" w:rsidR="00DB5092" w:rsidRPr="00CC00F4" w:rsidRDefault="00DB5092" w:rsidP="00DB5092">
      <w:pPr>
        <w:pBdr>
          <w:top w:val="single" w:sz="6" w:space="1" w:color="244061"/>
        </w:pBdr>
        <w:spacing w:line="120" w:lineRule="exact"/>
        <w:rPr>
          <w:rFonts w:eastAsia="Times New Roman" w:cs="Arial"/>
          <w:color w:val="000000" w:themeColor="text1"/>
        </w:rPr>
      </w:pPr>
    </w:p>
    <w:p w14:paraId="1FDC97CC" w14:textId="77777777" w:rsidR="00DB5092" w:rsidRPr="00B57538" w:rsidRDefault="00DB5092" w:rsidP="00DB5092">
      <w:pPr>
        <w:autoSpaceDE w:val="0"/>
        <w:autoSpaceDN w:val="0"/>
        <w:adjustRightInd w:val="0"/>
        <w:rPr>
          <w:rFonts w:eastAsia="Times New Roman" w:cs="Arial"/>
          <w:bCs/>
          <w:color w:val="000000" w:themeColor="text1"/>
        </w:rPr>
      </w:pPr>
      <w:bookmarkStart w:id="168" w:name="_Toc161717008"/>
      <w:bookmarkStart w:id="169" w:name="_Toc161717118"/>
      <w:r w:rsidRPr="00B57538">
        <w:rPr>
          <w:rFonts w:eastAsia="Times New Roman" w:cs="Arial"/>
          <w:bCs/>
          <w:color w:val="000000" w:themeColor="text1"/>
        </w:rPr>
        <w:t xml:space="preserve">In 2010, Mr. Dunham entered into an Acceptance, Waiver and Consent (AWC) with FINRA. Without admitting or denying findings, Mr. Dunham consented to a $10,000 fine and a 20-day suspension from associating with any Member firm from to May 3, 2010 through May 28, 2010. </w:t>
      </w:r>
    </w:p>
    <w:p w14:paraId="6CB82587" w14:textId="77777777" w:rsidR="00DB5092" w:rsidRPr="00CC00F4" w:rsidRDefault="00DB5092" w:rsidP="00DB5092">
      <w:pPr>
        <w:autoSpaceDE w:val="0"/>
        <w:autoSpaceDN w:val="0"/>
        <w:adjustRightInd w:val="0"/>
        <w:rPr>
          <w:rFonts w:eastAsia="Times New Roman" w:cs="Arial"/>
          <w:bCs/>
          <w:color w:val="000000" w:themeColor="text1"/>
        </w:rPr>
      </w:pPr>
    </w:p>
    <w:p w14:paraId="6F84A3A0" w14:textId="77777777" w:rsidR="00DB5092" w:rsidRPr="00CC00F4" w:rsidRDefault="00DB5092" w:rsidP="00DB5092">
      <w:pPr>
        <w:autoSpaceDE w:val="0"/>
        <w:autoSpaceDN w:val="0"/>
        <w:adjustRightInd w:val="0"/>
        <w:rPr>
          <w:rFonts w:eastAsia="Times New Roman" w:cs="Arial"/>
          <w:b/>
          <w:bCs/>
          <w:i/>
          <w:color w:val="000000" w:themeColor="text1"/>
        </w:rPr>
      </w:pPr>
      <w:r w:rsidRPr="00CC00F4">
        <w:rPr>
          <w:rFonts w:eastAsia="Times New Roman" w:cs="Arial"/>
          <w:bCs/>
          <w:color w:val="000000" w:themeColor="text1"/>
        </w:rPr>
        <w:t xml:space="preserve">Securities laws require an advisor to disclose any instances where the advisor or its advisory persons have been found liable in a legal, regulatory, civil or arbitration matter that alleges violation of securities and other statutes; fraud; false statements or omissions; theft, embezzlement or wrongful taking of property; bribery, forgery, counterfeiting, or extortion; and/or dishonest, unfair or unethical practices. </w:t>
      </w:r>
    </w:p>
    <w:p w14:paraId="4E862D6E" w14:textId="77777777" w:rsidR="00DB5092" w:rsidRPr="00CC00F4" w:rsidRDefault="00DB5092" w:rsidP="00DB5092">
      <w:pPr>
        <w:rPr>
          <w:rFonts w:cs="Arial"/>
          <w:b/>
          <w:color w:val="000000" w:themeColor="text1"/>
          <w:sz w:val="22"/>
          <w:szCs w:val="20"/>
        </w:rPr>
      </w:pPr>
    </w:p>
    <w:p w14:paraId="0C89BBFE" w14:textId="77777777" w:rsidR="00DB5092" w:rsidRPr="00CC00F4" w:rsidRDefault="00DB5092" w:rsidP="00DB5092">
      <w:pPr>
        <w:rPr>
          <w:rFonts w:cs="Arial"/>
          <w:szCs w:val="20"/>
        </w:rPr>
      </w:pPr>
      <w:r w:rsidRPr="00CC00F4">
        <w:rPr>
          <w:rFonts w:cs="Arial"/>
          <w:color w:val="000000" w:themeColor="text1"/>
          <w:szCs w:val="20"/>
        </w:rPr>
        <w:t xml:space="preserve">However, we do encourage you to independently view the background of </w:t>
      </w:r>
      <w:r w:rsidRPr="00CC00F4">
        <w:rPr>
          <w:rFonts w:cs="Arial"/>
          <w:noProof/>
          <w:color w:val="000000" w:themeColor="text1"/>
          <w:szCs w:val="20"/>
        </w:rPr>
        <w:t>Mr.</w:t>
      </w:r>
      <w:r w:rsidRPr="00CC00F4">
        <w:rPr>
          <w:rFonts w:cs="Arial"/>
          <w:color w:val="000000" w:themeColor="text1"/>
          <w:szCs w:val="20"/>
        </w:rPr>
        <w:t xml:space="preserve"> </w:t>
      </w:r>
      <w:r w:rsidRPr="00CC00F4">
        <w:rPr>
          <w:rFonts w:cs="Arial"/>
          <w:noProof/>
          <w:szCs w:val="20"/>
        </w:rPr>
        <w:t>Dunham</w:t>
      </w:r>
      <w:r w:rsidRPr="00CC00F4">
        <w:rPr>
          <w:rFonts w:cs="Arial"/>
          <w:szCs w:val="20"/>
        </w:rPr>
        <w:t xml:space="preserve"> on the Investment Adviser Public Disclosure website at </w:t>
      </w:r>
      <w:hyperlink r:id="rId13" w:history="1">
        <w:r w:rsidRPr="00CC00F4">
          <w:rPr>
            <w:rStyle w:val="Hyperlink"/>
            <w:rFonts w:cs="Arial"/>
          </w:rPr>
          <w:t>www.adviserinfo.sec.gov</w:t>
        </w:r>
      </w:hyperlink>
      <w:r w:rsidRPr="00CC00F4">
        <w:rPr>
          <w:rFonts w:cs="Arial"/>
          <w:szCs w:val="20"/>
        </w:rPr>
        <w:t xml:space="preserve"> by searching with </w:t>
      </w:r>
      <w:r w:rsidRPr="00CC00F4">
        <w:rPr>
          <w:rFonts w:cs="Arial"/>
          <w:noProof/>
        </w:rPr>
        <w:t>his</w:t>
      </w:r>
      <w:r w:rsidRPr="00CC00F4">
        <w:rPr>
          <w:rFonts w:cs="Arial"/>
        </w:rPr>
        <w:t xml:space="preserve"> </w:t>
      </w:r>
      <w:r w:rsidRPr="00CC00F4">
        <w:rPr>
          <w:rFonts w:cs="Arial"/>
          <w:szCs w:val="20"/>
        </w:rPr>
        <w:t xml:space="preserve">full name or </w:t>
      </w:r>
      <w:r w:rsidRPr="00CC00F4">
        <w:rPr>
          <w:rFonts w:cs="Arial"/>
          <w:noProof/>
        </w:rPr>
        <w:t>his</w:t>
      </w:r>
      <w:r>
        <w:rPr>
          <w:rFonts w:cs="Arial"/>
        </w:rPr>
        <w:t xml:space="preserve"> </w:t>
      </w:r>
      <w:r>
        <w:rPr>
          <w:rFonts w:cs="Arial"/>
          <w:szCs w:val="20"/>
        </w:rPr>
        <w:t>I</w:t>
      </w:r>
      <w:r w:rsidRPr="00CC00F4">
        <w:rPr>
          <w:rFonts w:cs="Arial"/>
          <w:szCs w:val="20"/>
        </w:rPr>
        <w:t>ndividual</w:t>
      </w:r>
      <w:r>
        <w:rPr>
          <w:rFonts w:cs="Arial"/>
          <w:szCs w:val="20"/>
        </w:rPr>
        <w:t xml:space="preserve"> CRD</w:t>
      </w:r>
      <w:r w:rsidRPr="00EF24EF">
        <w:rPr>
          <w:rFonts w:cs="Arial"/>
          <w:szCs w:val="20"/>
        </w:rPr>
        <w:t xml:space="preserve"># </w:t>
      </w:r>
      <w:r w:rsidRPr="00833109">
        <w:rPr>
          <w:rFonts w:eastAsia="Times New Roman" w:cs="Arial"/>
          <w:noProof/>
          <w:szCs w:val="20"/>
        </w:rPr>
        <w:t>1214230</w:t>
      </w:r>
      <w:r w:rsidRPr="00EF24EF">
        <w:rPr>
          <w:rFonts w:cs="Arial"/>
          <w:szCs w:val="20"/>
        </w:rPr>
        <w:t>.</w:t>
      </w:r>
    </w:p>
    <w:p w14:paraId="1AFDA963" w14:textId="77777777" w:rsidR="00DB5092" w:rsidRPr="00CC00F4" w:rsidRDefault="00DB5092" w:rsidP="00DB5092">
      <w:pPr>
        <w:rPr>
          <w:rFonts w:cs="Arial"/>
          <w:color w:val="000000" w:themeColor="text1"/>
          <w:szCs w:val="20"/>
        </w:rPr>
      </w:pPr>
    </w:p>
    <w:p w14:paraId="1057F197" w14:textId="77777777" w:rsidR="00DB5092" w:rsidRPr="00EF24EF" w:rsidRDefault="00DB5092" w:rsidP="00DB5092">
      <w:pPr>
        <w:pStyle w:val="Heading1"/>
      </w:pPr>
      <w:bookmarkStart w:id="170" w:name="_Toc406665864"/>
      <w:r w:rsidRPr="00EF24EF">
        <w:t>Item 4 – Other Business Activities</w:t>
      </w:r>
      <w:bookmarkEnd w:id="168"/>
      <w:bookmarkEnd w:id="169"/>
      <w:bookmarkEnd w:id="170"/>
    </w:p>
    <w:p w14:paraId="18DBF14B" w14:textId="77777777" w:rsidR="00DB5092" w:rsidRPr="00CC00F4" w:rsidRDefault="00DB5092" w:rsidP="00DB5092">
      <w:pPr>
        <w:pBdr>
          <w:top w:val="single" w:sz="6" w:space="1" w:color="244061"/>
        </w:pBdr>
        <w:spacing w:line="120" w:lineRule="exact"/>
        <w:rPr>
          <w:rFonts w:eastAsia="Times New Roman" w:cs="Arial"/>
          <w:color w:val="000000" w:themeColor="text1"/>
        </w:rPr>
      </w:pPr>
    </w:p>
    <w:p w14:paraId="48C49001" w14:textId="77777777" w:rsidR="00DB5092" w:rsidRPr="00CC00F4" w:rsidRDefault="00DB5092" w:rsidP="00DB5092">
      <w:pPr>
        <w:pStyle w:val="ADVSectionHeader"/>
        <w:spacing w:after="0"/>
        <w:rPr>
          <w:rFonts w:cs="Arial"/>
          <w:color w:val="000000" w:themeColor="text1"/>
        </w:rPr>
      </w:pPr>
      <w:bookmarkStart w:id="171" w:name="_Toc406665865"/>
      <w:r w:rsidRPr="00CC00F4">
        <w:rPr>
          <w:rFonts w:cs="Arial"/>
          <w:color w:val="000000" w:themeColor="text1"/>
        </w:rPr>
        <w:t>Insurance Agency Affiliations</w:t>
      </w:r>
      <w:bookmarkEnd w:id="171"/>
      <w:r w:rsidRPr="00CC00F4">
        <w:rPr>
          <w:rFonts w:cs="Arial"/>
          <w:color w:val="000000" w:themeColor="text1"/>
        </w:rPr>
        <w:t xml:space="preserve"> </w:t>
      </w:r>
    </w:p>
    <w:p w14:paraId="37D55453" w14:textId="5B597930" w:rsidR="00DB5092" w:rsidRDefault="00DB5092" w:rsidP="00DB5092">
      <w:pPr>
        <w:pStyle w:val="NoSpacing"/>
        <w:rPr>
          <w:rFonts w:ascii="Arial" w:eastAsia="Cambria" w:hAnsi="Arial" w:cs="Arial"/>
          <w:color w:val="000000" w:themeColor="text1"/>
          <w:sz w:val="20"/>
          <w:szCs w:val="20"/>
        </w:rPr>
      </w:pPr>
      <w:r w:rsidRPr="00CC00F4">
        <w:rPr>
          <w:rFonts w:ascii="Arial" w:eastAsia="Cambria" w:hAnsi="Arial" w:cs="Arial"/>
          <w:noProof/>
          <w:color w:val="000000" w:themeColor="text1"/>
          <w:sz w:val="20"/>
          <w:szCs w:val="24"/>
        </w:rPr>
        <w:t>Mr.</w:t>
      </w:r>
      <w:r w:rsidRPr="00CC00F4">
        <w:rPr>
          <w:rFonts w:ascii="Arial" w:eastAsia="Cambria" w:hAnsi="Arial" w:cs="Arial"/>
          <w:color w:val="000000" w:themeColor="text1"/>
          <w:sz w:val="20"/>
          <w:szCs w:val="24"/>
        </w:rPr>
        <w:t xml:space="preserve"> </w:t>
      </w:r>
      <w:r w:rsidRPr="00CC00F4">
        <w:rPr>
          <w:rFonts w:ascii="Arial" w:eastAsia="Cambria" w:hAnsi="Arial" w:cs="Arial"/>
          <w:noProof/>
          <w:color w:val="000000" w:themeColor="text1"/>
          <w:sz w:val="20"/>
          <w:szCs w:val="24"/>
        </w:rPr>
        <w:t>Dunham</w:t>
      </w:r>
      <w:r w:rsidRPr="00CC00F4">
        <w:rPr>
          <w:rFonts w:ascii="Arial" w:eastAsia="Cambria" w:hAnsi="Arial" w:cs="Arial"/>
          <w:color w:val="000000" w:themeColor="text1"/>
          <w:sz w:val="20"/>
          <w:szCs w:val="24"/>
        </w:rPr>
        <w:t xml:space="preserve"> </w:t>
      </w:r>
      <w:r w:rsidRPr="00CC00F4">
        <w:rPr>
          <w:rFonts w:ascii="Arial" w:eastAsia="Cambria" w:hAnsi="Arial" w:cs="Arial"/>
          <w:color w:val="000000" w:themeColor="text1"/>
          <w:sz w:val="20"/>
          <w:szCs w:val="20"/>
        </w:rPr>
        <w:t xml:space="preserve">is also a licensed insurance professional. Implementations of insurance recommendations are separate and apart </w:t>
      </w:r>
      <w:r w:rsidRPr="00CC00F4">
        <w:rPr>
          <w:rFonts w:ascii="Arial" w:eastAsia="Cambria" w:hAnsi="Arial" w:cs="Arial"/>
          <w:noProof/>
          <w:color w:val="000000" w:themeColor="text1"/>
          <w:sz w:val="20"/>
          <w:szCs w:val="24"/>
        </w:rPr>
        <w:t>Mr.</w:t>
      </w:r>
      <w:r w:rsidRPr="00CC00F4">
        <w:rPr>
          <w:rFonts w:ascii="Arial" w:eastAsia="Cambria" w:hAnsi="Arial" w:cs="Arial"/>
          <w:color w:val="000000" w:themeColor="text1"/>
          <w:sz w:val="20"/>
          <w:szCs w:val="24"/>
        </w:rPr>
        <w:t xml:space="preserve"> </w:t>
      </w:r>
      <w:r w:rsidRPr="00CC00F4">
        <w:rPr>
          <w:rFonts w:ascii="Arial" w:eastAsia="Cambria" w:hAnsi="Arial" w:cs="Arial"/>
          <w:noProof/>
          <w:color w:val="000000" w:themeColor="text1"/>
          <w:sz w:val="20"/>
          <w:szCs w:val="24"/>
        </w:rPr>
        <w:t>Dunham</w:t>
      </w:r>
      <w:r w:rsidRPr="00CC00F4">
        <w:rPr>
          <w:rFonts w:ascii="Arial" w:eastAsia="Cambria" w:hAnsi="Arial" w:cs="Arial"/>
          <w:color w:val="000000" w:themeColor="text1"/>
          <w:sz w:val="20"/>
          <w:szCs w:val="24"/>
        </w:rPr>
        <w:t xml:space="preserve">’s </w:t>
      </w:r>
      <w:r w:rsidRPr="00CC00F4">
        <w:rPr>
          <w:rFonts w:ascii="Arial" w:eastAsia="Cambria" w:hAnsi="Arial" w:cs="Arial"/>
          <w:color w:val="000000" w:themeColor="text1"/>
          <w:sz w:val="20"/>
          <w:szCs w:val="20"/>
        </w:rPr>
        <w:t xml:space="preserve">role with </w:t>
      </w:r>
      <w:r w:rsidRPr="00CC00F4">
        <w:rPr>
          <w:rFonts w:ascii="Arial" w:eastAsia="Cambria" w:hAnsi="Arial" w:cs="Arial"/>
          <w:noProof/>
          <w:color w:val="000000" w:themeColor="text1"/>
          <w:sz w:val="20"/>
          <w:szCs w:val="24"/>
        </w:rPr>
        <w:t>CFG</w:t>
      </w:r>
      <w:r w:rsidRPr="00CC00F4">
        <w:rPr>
          <w:rFonts w:ascii="Arial" w:eastAsia="Cambria" w:hAnsi="Arial" w:cs="Arial"/>
          <w:color w:val="000000" w:themeColor="text1"/>
          <w:sz w:val="20"/>
          <w:szCs w:val="20"/>
        </w:rPr>
        <w:t xml:space="preserve">. As an insurance professional, </w:t>
      </w:r>
      <w:r w:rsidRPr="00CC00F4">
        <w:rPr>
          <w:rFonts w:ascii="Arial" w:eastAsia="Cambria" w:hAnsi="Arial" w:cs="Arial"/>
          <w:noProof/>
          <w:color w:val="000000" w:themeColor="text1"/>
          <w:sz w:val="20"/>
          <w:szCs w:val="24"/>
        </w:rPr>
        <w:t>Mr.</w:t>
      </w:r>
      <w:r w:rsidRPr="00CC00F4">
        <w:rPr>
          <w:rFonts w:ascii="Arial" w:eastAsia="Cambria" w:hAnsi="Arial" w:cs="Arial"/>
          <w:color w:val="000000" w:themeColor="text1"/>
          <w:sz w:val="20"/>
          <w:szCs w:val="24"/>
        </w:rPr>
        <w:t xml:space="preserve"> </w:t>
      </w:r>
      <w:r w:rsidRPr="00CC00F4">
        <w:rPr>
          <w:rFonts w:ascii="Arial" w:eastAsia="Cambria" w:hAnsi="Arial" w:cs="Arial"/>
          <w:noProof/>
          <w:color w:val="000000" w:themeColor="text1"/>
          <w:sz w:val="20"/>
          <w:szCs w:val="24"/>
        </w:rPr>
        <w:t>Dunham</w:t>
      </w:r>
      <w:r w:rsidRPr="00CC00F4">
        <w:rPr>
          <w:rFonts w:ascii="Arial" w:eastAsia="Cambria" w:hAnsi="Arial" w:cs="Arial"/>
          <w:color w:val="000000" w:themeColor="text1"/>
          <w:sz w:val="20"/>
          <w:szCs w:val="24"/>
        </w:rPr>
        <w:t xml:space="preserve"> </w:t>
      </w:r>
      <w:r w:rsidRPr="00CC00F4">
        <w:rPr>
          <w:rFonts w:ascii="Arial" w:eastAsia="Cambria" w:hAnsi="Arial" w:cs="Arial"/>
          <w:color w:val="000000" w:themeColor="text1"/>
          <w:sz w:val="20"/>
          <w:szCs w:val="20"/>
        </w:rPr>
        <w:t xml:space="preserve">may receive customary commissions and other related revenues from the various insurance companies whose products are sold. </w:t>
      </w:r>
      <w:r w:rsidRPr="00CC00F4">
        <w:rPr>
          <w:rFonts w:ascii="Arial" w:eastAsia="Cambria" w:hAnsi="Arial" w:cs="Arial"/>
          <w:noProof/>
          <w:color w:val="000000" w:themeColor="text1"/>
          <w:sz w:val="20"/>
          <w:szCs w:val="24"/>
        </w:rPr>
        <w:t>Mr.</w:t>
      </w:r>
      <w:r w:rsidRPr="00CC00F4">
        <w:rPr>
          <w:rFonts w:ascii="Arial" w:eastAsia="Cambria" w:hAnsi="Arial" w:cs="Arial"/>
          <w:color w:val="000000" w:themeColor="text1"/>
          <w:sz w:val="20"/>
          <w:szCs w:val="24"/>
        </w:rPr>
        <w:t xml:space="preserve"> </w:t>
      </w:r>
      <w:r w:rsidRPr="00CC00F4">
        <w:rPr>
          <w:rFonts w:ascii="Arial" w:eastAsia="Cambria" w:hAnsi="Arial" w:cs="Arial"/>
          <w:noProof/>
          <w:color w:val="000000" w:themeColor="text1"/>
          <w:sz w:val="20"/>
          <w:szCs w:val="24"/>
        </w:rPr>
        <w:t>Dunham</w:t>
      </w:r>
      <w:r w:rsidRPr="00CC00F4">
        <w:rPr>
          <w:rFonts w:ascii="Arial" w:eastAsia="Cambria" w:hAnsi="Arial" w:cs="Arial"/>
          <w:color w:val="000000" w:themeColor="text1"/>
          <w:sz w:val="20"/>
          <w:szCs w:val="24"/>
        </w:rPr>
        <w:t xml:space="preserve"> </w:t>
      </w:r>
      <w:r w:rsidRPr="00CC00F4">
        <w:rPr>
          <w:rFonts w:ascii="Arial" w:eastAsia="Cambria" w:hAnsi="Arial" w:cs="Arial"/>
          <w:color w:val="000000" w:themeColor="text1"/>
          <w:sz w:val="20"/>
          <w:szCs w:val="20"/>
        </w:rPr>
        <w:t xml:space="preserve">is not required to offer the products of any particular insurance company. Commissions generated by insurance sales do not offset regular advisory fees. This may cause a conflict of interest in recommending certain products of the insurance companies. Clients are under no obligation to implement any recommendations made by </w:t>
      </w:r>
      <w:r w:rsidRPr="00CC00F4">
        <w:rPr>
          <w:rFonts w:ascii="Arial" w:eastAsia="Cambria" w:hAnsi="Arial" w:cs="Arial"/>
          <w:noProof/>
          <w:color w:val="000000" w:themeColor="text1"/>
          <w:sz w:val="20"/>
          <w:szCs w:val="24"/>
        </w:rPr>
        <w:t>Mr.</w:t>
      </w:r>
      <w:r w:rsidRPr="00CC00F4">
        <w:rPr>
          <w:rFonts w:ascii="Arial" w:eastAsia="Cambria" w:hAnsi="Arial" w:cs="Arial"/>
          <w:color w:val="000000" w:themeColor="text1"/>
          <w:sz w:val="20"/>
          <w:szCs w:val="24"/>
        </w:rPr>
        <w:t xml:space="preserve"> </w:t>
      </w:r>
      <w:r w:rsidRPr="00CC00F4">
        <w:rPr>
          <w:rFonts w:ascii="Arial" w:eastAsia="Cambria" w:hAnsi="Arial" w:cs="Arial"/>
          <w:noProof/>
          <w:color w:val="000000" w:themeColor="text1"/>
          <w:sz w:val="20"/>
          <w:szCs w:val="24"/>
        </w:rPr>
        <w:t>Dunham</w:t>
      </w:r>
      <w:r w:rsidR="00091AF0">
        <w:rPr>
          <w:rFonts w:ascii="Arial" w:eastAsia="Cambria" w:hAnsi="Arial" w:cs="Arial"/>
          <w:color w:val="000000" w:themeColor="text1"/>
          <w:sz w:val="20"/>
          <w:szCs w:val="24"/>
        </w:rPr>
        <w:t>.</w:t>
      </w:r>
    </w:p>
    <w:p w14:paraId="0E10C574" w14:textId="77777777" w:rsidR="00DB5092" w:rsidRDefault="00DB5092" w:rsidP="00DB5092">
      <w:pPr>
        <w:pStyle w:val="NoSpacing"/>
        <w:rPr>
          <w:rFonts w:ascii="Arial" w:eastAsia="Cambria" w:hAnsi="Arial" w:cs="Arial"/>
          <w:color w:val="000000" w:themeColor="text1"/>
          <w:sz w:val="20"/>
          <w:szCs w:val="20"/>
        </w:rPr>
      </w:pPr>
    </w:p>
    <w:p w14:paraId="3473A9B1" w14:textId="77777777" w:rsidR="00DB5092" w:rsidRPr="00CC00F4" w:rsidRDefault="00DB5092" w:rsidP="00DB5092">
      <w:pPr>
        <w:pStyle w:val="ADVSectionHeader"/>
        <w:spacing w:after="0"/>
        <w:rPr>
          <w:rFonts w:cs="Arial"/>
          <w:color w:val="000000" w:themeColor="text1"/>
        </w:rPr>
      </w:pPr>
      <w:bookmarkStart w:id="172" w:name="_Toc406665866"/>
      <w:r>
        <w:rPr>
          <w:rFonts w:cs="Arial"/>
          <w:color w:val="000000" w:themeColor="text1"/>
        </w:rPr>
        <w:t>Capstone Retirement Services, LLC</w:t>
      </w:r>
      <w:bookmarkEnd w:id="172"/>
    </w:p>
    <w:p w14:paraId="5441A7C4" w14:textId="77777777" w:rsidR="00DB5092" w:rsidRPr="00B57538" w:rsidRDefault="00DB5092" w:rsidP="00DB5092">
      <w:pPr>
        <w:rPr>
          <w:color w:val="000000" w:themeColor="text1"/>
          <w:szCs w:val="20"/>
        </w:rPr>
      </w:pPr>
      <w:r w:rsidRPr="00B57538">
        <w:rPr>
          <w:color w:val="000000" w:themeColor="text1"/>
          <w:szCs w:val="20"/>
        </w:rPr>
        <w:t xml:space="preserve">Mr. Dunham is a 50% owner of Capstone Retirement Services, LLC (“CRS”). CRS offers third party administrator (“TPA”) services. This presents a conflict as Mr. Dunham may benefit from additional revenues generated from CRS. Clients of CFG are not obligated to engage CRS for TPA or related services. </w:t>
      </w:r>
    </w:p>
    <w:p w14:paraId="75CDFA71" w14:textId="77777777" w:rsidR="00DB5092" w:rsidRPr="00CC00F4" w:rsidRDefault="00DB5092" w:rsidP="00DB5092">
      <w:pPr>
        <w:pStyle w:val="Heading1"/>
      </w:pPr>
    </w:p>
    <w:p w14:paraId="7A0DC4FF" w14:textId="77777777" w:rsidR="00DB5092" w:rsidRPr="00CC00F4" w:rsidRDefault="00DB5092" w:rsidP="00DB5092">
      <w:pPr>
        <w:pStyle w:val="Heading1"/>
      </w:pPr>
      <w:bookmarkStart w:id="173" w:name="_Toc406665867"/>
      <w:r w:rsidRPr="00CC00F4">
        <w:t>Item 5 – Additional Compensation</w:t>
      </w:r>
      <w:bookmarkEnd w:id="173"/>
    </w:p>
    <w:p w14:paraId="7D4B65E4" w14:textId="77777777" w:rsidR="00DB5092" w:rsidRPr="00CC00F4" w:rsidRDefault="00DB5092" w:rsidP="00DB5092">
      <w:pPr>
        <w:pBdr>
          <w:top w:val="single" w:sz="6" w:space="1" w:color="244061"/>
        </w:pBdr>
        <w:spacing w:line="120" w:lineRule="exact"/>
        <w:rPr>
          <w:rFonts w:eastAsia="Times New Roman" w:cs="Arial"/>
          <w:color w:val="000000" w:themeColor="text1"/>
        </w:rPr>
      </w:pPr>
      <w:bookmarkStart w:id="174" w:name="_Toc161717010"/>
      <w:bookmarkStart w:id="175" w:name="_Toc161717120"/>
    </w:p>
    <w:p w14:paraId="5090D463" w14:textId="77777777" w:rsidR="00DB5092" w:rsidRPr="00CC00F4" w:rsidRDefault="00DB5092" w:rsidP="00DB5092">
      <w:pPr>
        <w:autoSpaceDE w:val="0"/>
        <w:autoSpaceDN w:val="0"/>
        <w:adjustRightInd w:val="0"/>
        <w:rPr>
          <w:rFonts w:cs="Arial"/>
        </w:rPr>
      </w:pPr>
      <w:r w:rsidRPr="00CC00F4">
        <w:rPr>
          <w:rFonts w:cs="Arial"/>
          <w:noProof/>
          <w:szCs w:val="20"/>
        </w:rPr>
        <w:t>Mr.</w:t>
      </w:r>
      <w:r w:rsidRPr="00CC00F4">
        <w:rPr>
          <w:rFonts w:cs="Arial"/>
          <w:szCs w:val="20"/>
        </w:rPr>
        <w:t xml:space="preserve"> </w:t>
      </w:r>
      <w:r w:rsidRPr="00CC00F4">
        <w:rPr>
          <w:rFonts w:cs="Arial"/>
          <w:noProof/>
          <w:szCs w:val="20"/>
        </w:rPr>
        <w:t>Dunham</w:t>
      </w:r>
      <w:r w:rsidRPr="00CC00F4">
        <w:rPr>
          <w:rFonts w:cs="Arial"/>
          <w:szCs w:val="20"/>
        </w:rPr>
        <w:t xml:space="preserve"> </w:t>
      </w:r>
      <w:r w:rsidRPr="00CC00F4">
        <w:rPr>
          <w:rFonts w:cs="Arial"/>
        </w:rPr>
        <w:t>has additional business a</w:t>
      </w:r>
      <w:r>
        <w:rPr>
          <w:rFonts w:cs="Arial"/>
        </w:rPr>
        <w:t xml:space="preserve">ctivities that are detailed in </w:t>
      </w:r>
      <w:r w:rsidRPr="00CC00F4">
        <w:rPr>
          <w:rFonts w:cs="Arial"/>
        </w:rPr>
        <w:t>Item 4 above.</w:t>
      </w:r>
    </w:p>
    <w:p w14:paraId="5F30BDD8" w14:textId="77777777" w:rsidR="00DB5092" w:rsidRPr="00CC00F4" w:rsidRDefault="00DB5092" w:rsidP="00DB5092">
      <w:pPr>
        <w:pStyle w:val="Heading1"/>
      </w:pPr>
    </w:p>
    <w:p w14:paraId="6BEFE62D" w14:textId="77777777" w:rsidR="00DB5092" w:rsidRPr="00CC00F4" w:rsidRDefault="00DB5092" w:rsidP="00DB5092">
      <w:pPr>
        <w:pStyle w:val="Heading1"/>
      </w:pPr>
      <w:bookmarkStart w:id="176" w:name="_Toc406665868"/>
      <w:r w:rsidRPr="00CC00F4">
        <w:t>Item 6 – Supervision</w:t>
      </w:r>
      <w:bookmarkEnd w:id="174"/>
      <w:bookmarkEnd w:id="175"/>
      <w:bookmarkEnd w:id="176"/>
    </w:p>
    <w:p w14:paraId="6D5E3CF6" w14:textId="77777777" w:rsidR="00DB5092" w:rsidRPr="00CC00F4" w:rsidRDefault="00DB5092" w:rsidP="00DB5092">
      <w:pPr>
        <w:pBdr>
          <w:top w:val="single" w:sz="6" w:space="1" w:color="244061"/>
        </w:pBdr>
        <w:spacing w:line="120" w:lineRule="exact"/>
        <w:rPr>
          <w:rFonts w:eastAsia="Times New Roman" w:cs="Arial"/>
          <w:color w:val="000000" w:themeColor="text1"/>
        </w:rPr>
      </w:pPr>
    </w:p>
    <w:p w14:paraId="5355A9DE" w14:textId="77777777" w:rsidR="00DB5092" w:rsidRPr="00CC00F4" w:rsidRDefault="00DB5092" w:rsidP="00DB5092">
      <w:pPr>
        <w:tabs>
          <w:tab w:val="left" w:pos="-748"/>
          <w:tab w:val="left" w:pos="-273"/>
          <w:tab w:val="left" w:pos="-28"/>
          <w:tab w:val="left" w:pos="62"/>
          <w:tab w:val="left" w:pos="1412"/>
          <w:tab w:val="left" w:pos="2132"/>
          <w:tab w:val="left" w:pos="2852"/>
        </w:tabs>
        <w:suppressAutoHyphens/>
        <w:rPr>
          <w:rFonts w:eastAsia="Times New Roman" w:cs="Arial"/>
        </w:rPr>
      </w:pPr>
      <w:r w:rsidRPr="00CC00F4">
        <w:rPr>
          <w:rFonts w:cs="Arial"/>
          <w:noProof/>
          <w:szCs w:val="20"/>
        </w:rPr>
        <w:t>Mr.</w:t>
      </w:r>
      <w:r w:rsidRPr="00CC00F4">
        <w:rPr>
          <w:rFonts w:cs="Arial"/>
          <w:szCs w:val="20"/>
        </w:rPr>
        <w:t xml:space="preserve"> </w:t>
      </w:r>
      <w:r w:rsidRPr="00CC00F4">
        <w:rPr>
          <w:rFonts w:cs="Arial"/>
          <w:noProof/>
          <w:szCs w:val="20"/>
        </w:rPr>
        <w:t>Dunham</w:t>
      </w:r>
      <w:r w:rsidRPr="00CC00F4">
        <w:rPr>
          <w:rFonts w:cs="Arial"/>
          <w:szCs w:val="20"/>
        </w:rPr>
        <w:t xml:space="preserve"> </w:t>
      </w:r>
      <w:r w:rsidRPr="00CC00F4">
        <w:rPr>
          <w:rFonts w:eastAsia="Times New Roman" w:cs="Arial"/>
        </w:rPr>
        <w:t xml:space="preserve">serves as </w:t>
      </w:r>
      <w:r>
        <w:rPr>
          <w:rFonts w:eastAsia="Times New Roman" w:cs="Arial"/>
        </w:rPr>
        <w:t>the</w:t>
      </w:r>
      <w:r w:rsidRPr="00CC00F4">
        <w:rPr>
          <w:rFonts w:eastAsia="Times New Roman" w:cs="Arial"/>
        </w:rPr>
        <w:t xml:space="preserve"> </w:t>
      </w:r>
      <w:r w:rsidRPr="00CC00F4">
        <w:rPr>
          <w:rFonts w:cs="Arial"/>
          <w:noProof/>
        </w:rPr>
        <w:t>President</w:t>
      </w:r>
      <w:r w:rsidRPr="00CC00F4">
        <w:rPr>
          <w:rFonts w:cs="Arial"/>
        </w:rPr>
        <w:t xml:space="preserve"> and Chief Compliance Officer of </w:t>
      </w:r>
      <w:r w:rsidRPr="00CC00F4">
        <w:rPr>
          <w:rFonts w:cs="Arial"/>
          <w:noProof/>
          <w:szCs w:val="20"/>
        </w:rPr>
        <w:t>CFG</w:t>
      </w:r>
      <w:r w:rsidRPr="00CC00F4">
        <w:rPr>
          <w:rFonts w:eastAsia="Times New Roman" w:cs="Arial"/>
        </w:rPr>
        <w:t xml:space="preserve">. </w:t>
      </w:r>
      <w:r w:rsidRPr="00CC00F4">
        <w:rPr>
          <w:rFonts w:cs="Arial"/>
          <w:noProof/>
          <w:szCs w:val="20"/>
        </w:rPr>
        <w:t>Mr.</w:t>
      </w:r>
      <w:r w:rsidRPr="00CC00F4">
        <w:rPr>
          <w:rFonts w:cs="Arial"/>
          <w:szCs w:val="20"/>
        </w:rPr>
        <w:t xml:space="preserve"> </w:t>
      </w:r>
      <w:r w:rsidRPr="00CC00F4">
        <w:rPr>
          <w:rFonts w:cs="Arial"/>
          <w:noProof/>
          <w:szCs w:val="20"/>
        </w:rPr>
        <w:t>Dunham</w:t>
      </w:r>
      <w:r w:rsidRPr="00CC00F4">
        <w:rPr>
          <w:rFonts w:eastAsia="Times New Roman" w:cs="Arial"/>
        </w:rPr>
        <w:t xml:space="preserve"> can be reached at </w:t>
      </w:r>
      <w:r w:rsidRPr="00CC00F4">
        <w:rPr>
          <w:rFonts w:cs="Arial"/>
          <w:noProof/>
        </w:rPr>
        <w:t>(405) 848-4646</w:t>
      </w:r>
      <w:r w:rsidRPr="00CC00F4">
        <w:rPr>
          <w:rFonts w:eastAsia="Times New Roman" w:cs="Arial"/>
        </w:rPr>
        <w:t xml:space="preserve">. </w:t>
      </w:r>
    </w:p>
    <w:p w14:paraId="18629745" w14:textId="77777777" w:rsidR="00DB5092" w:rsidRPr="00CC00F4" w:rsidRDefault="00DB5092" w:rsidP="00DB5092">
      <w:pPr>
        <w:tabs>
          <w:tab w:val="left" w:pos="-748"/>
          <w:tab w:val="left" w:pos="-273"/>
          <w:tab w:val="left" w:pos="-28"/>
          <w:tab w:val="left" w:pos="62"/>
          <w:tab w:val="left" w:pos="1412"/>
          <w:tab w:val="left" w:pos="2132"/>
          <w:tab w:val="left" w:pos="2852"/>
        </w:tabs>
        <w:suppressAutoHyphens/>
        <w:rPr>
          <w:rFonts w:eastAsia="Times New Roman" w:cs="Arial"/>
        </w:rPr>
      </w:pPr>
    </w:p>
    <w:p w14:paraId="195201F1" w14:textId="77777777" w:rsidR="00DB5092" w:rsidRPr="00CC00F4" w:rsidRDefault="00DB5092" w:rsidP="00DB5092">
      <w:pPr>
        <w:tabs>
          <w:tab w:val="left" w:pos="-748"/>
          <w:tab w:val="left" w:pos="-273"/>
          <w:tab w:val="left" w:pos="-28"/>
          <w:tab w:val="left" w:pos="62"/>
          <w:tab w:val="left" w:pos="1412"/>
          <w:tab w:val="left" w:pos="2132"/>
          <w:tab w:val="left" w:pos="2852"/>
        </w:tabs>
        <w:suppressAutoHyphens/>
        <w:rPr>
          <w:rFonts w:eastAsia="Times New Roman" w:cs="Arial"/>
        </w:rPr>
      </w:pPr>
      <w:r w:rsidRPr="00CC00F4">
        <w:rPr>
          <w:rFonts w:cs="Arial"/>
          <w:noProof/>
          <w:szCs w:val="20"/>
        </w:rPr>
        <w:t>CFG</w:t>
      </w:r>
      <w:r w:rsidRPr="00CC00F4">
        <w:rPr>
          <w:rFonts w:cs="Arial"/>
          <w:szCs w:val="20"/>
        </w:rPr>
        <w:t xml:space="preserve"> </w:t>
      </w:r>
      <w:r w:rsidRPr="00CC00F4">
        <w:rPr>
          <w:rFonts w:eastAsia="Times New Roman" w:cs="Arial"/>
        </w:rPr>
        <w:t xml:space="preserve">has </w:t>
      </w:r>
      <w:r>
        <w:rPr>
          <w:rFonts w:eastAsia="Times New Roman" w:cs="Arial"/>
        </w:rPr>
        <w:t>implemented a Code of Ethics, an</w:t>
      </w:r>
      <w:r w:rsidRPr="00CC00F4">
        <w:rPr>
          <w:rFonts w:eastAsia="Times New Roman" w:cs="Arial"/>
        </w:rPr>
        <w:t xml:space="preserve"> internal compliance</w:t>
      </w:r>
      <w:r>
        <w:rPr>
          <w:rFonts w:eastAsia="Times New Roman" w:cs="Arial"/>
        </w:rPr>
        <w:t xml:space="preserve"> document</w:t>
      </w:r>
      <w:r w:rsidRPr="00CC00F4">
        <w:rPr>
          <w:rFonts w:eastAsia="Times New Roman" w:cs="Arial"/>
        </w:rPr>
        <w:t xml:space="preserve"> that guide</w:t>
      </w:r>
      <w:r>
        <w:rPr>
          <w:rFonts w:eastAsia="Times New Roman" w:cs="Arial"/>
        </w:rPr>
        <w:t>s</w:t>
      </w:r>
      <w:r w:rsidRPr="00CC00F4">
        <w:rPr>
          <w:rFonts w:eastAsia="Times New Roman" w:cs="Arial"/>
        </w:rPr>
        <w:t xml:space="preserve"> each Supervised Person in meeting their fiduciary obligations to Clients of </w:t>
      </w:r>
      <w:r w:rsidRPr="00CC00F4">
        <w:rPr>
          <w:rFonts w:cs="Arial"/>
          <w:noProof/>
          <w:szCs w:val="20"/>
        </w:rPr>
        <w:t>CFG</w:t>
      </w:r>
      <w:r w:rsidRPr="00CC00F4">
        <w:rPr>
          <w:rFonts w:eastAsia="Times New Roman" w:cs="Arial"/>
        </w:rPr>
        <w:t xml:space="preserve">. Further, </w:t>
      </w:r>
      <w:r w:rsidRPr="00CC00F4">
        <w:rPr>
          <w:rFonts w:cs="Arial"/>
          <w:noProof/>
          <w:szCs w:val="20"/>
        </w:rPr>
        <w:t>CFG</w:t>
      </w:r>
      <w:r w:rsidRPr="00CC00F4">
        <w:rPr>
          <w:rFonts w:cs="Arial"/>
          <w:szCs w:val="20"/>
        </w:rPr>
        <w:t xml:space="preserve"> </w:t>
      </w:r>
      <w:r w:rsidRPr="00CC00F4">
        <w:rPr>
          <w:rFonts w:eastAsia="Times New Roman" w:cs="Arial"/>
        </w:rPr>
        <w:t xml:space="preserve">is subject to regulatory oversight by various agencies. These agencies require registration by </w:t>
      </w:r>
      <w:r w:rsidRPr="00CC00F4">
        <w:rPr>
          <w:rFonts w:cs="Arial"/>
          <w:noProof/>
          <w:szCs w:val="20"/>
        </w:rPr>
        <w:t>CFG</w:t>
      </w:r>
      <w:r w:rsidRPr="00CC00F4">
        <w:rPr>
          <w:rFonts w:cs="Arial"/>
          <w:szCs w:val="20"/>
        </w:rPr>
        <w:t xml:space="preserve"> </w:t>
      </w:r>
      <w:r w:rsidRPr="00CC00F4">
        <w:rPr>
          <w:rFonts w:eastAsia="Times New Roman" w:cs="Arial"/>
        </w:rPr>
        <w:t>and its Supervised Persons. As a registered entity,</w:t>
      </w:r>
      <w:r w:rsidRPr="00CC00F4">
        <w:rPr>
          <w:rFonts w:cs="Arial"/>
          <w:szCs w:val="20"/>
        </w:rPr>
        <w:t xml:space="preserve"> </w:t>
      </w:r>
      <w:r w:rsidRPr="00CC00F4">
        <w:rPr>
          <w:rFonts w:cs="Arial"/>
          <w:noProof/>
          <w:szCs w:val="20"/>
        </w:rPr>
        <w:t>CFG</w:t>
      </w:r>
      <w:r w:rsidRPr="00CC00F4">
        <w:rPr>
          <w:rFonts w:cs="Arial"/>
          <w:szCs w:val="20"/>
        </w:rPr>
        <w:t xml:space="preserve"> </w:t>
      </w:r>
      <w:r w:rsidRPr="00CC00F4">
        <w:rPr>
          <w:rFonts w:eastAsia="Times New Roman" w:cs="Arial"/>
        </w:rPr>
        <w:t xml:space="preserve">is subject to examinations by regulators, which may be announced or unannounced. </w:t>
      </w:r>
      <w:r w:rsidRPr="00CC00F4">
        <w:rPr>
          <w:rFonts w:cs="Arial"/>
          <w:noProof/>
          <w:szCs w:val="20"/>
        </w:rPr>
        <w:t>CFG</w:t>
      </w:r>
      <w:r w:rsidRPr="00CC00F4">
        <w:rPr>
          <w:rFonts w:cs="Arial"/>
          <w:szCs w:val="20"/>
        </w:rPr>
        <w:t xml:space="preserve"> </w:t>
      </w:r>
      <w:r w:rsidRPr="00CC00F4">
        <w:rPr>
          <w:rFonts w:eastAsia="Times New Roman" w:cs="Arial"/>
        </w:rPr>
        <w:t>is required to periodically update the information provided to these agencies and to provide various reports regarding the business activities and assets of the Advisor.</w:t>
      </w:r>
    </w:p>
    <w:bookmarkEnd w:id="165"/>
    <w:p w14:paraId="7A214626" w14:textId="77777777" w:rsidR="00DB5092" w:rsidRPr="00CC00F4" w:rsidRDefault="00DB5092" w:rsidP="00DB5092">
      <w:pPr>
        <w:pStyle w:val="Heading1"/>
      </w:pPr>
    </w:p>
    <w:p w14:paraId="698D2A92" w14:textId="77777777" w:rsidR="00DB5092" w:rsidRPr="00CC00F4" w:rsidRDefault="00DB5092" w:rsidP="00DB5092">
      <w:pPr>
        <w:autoSpaceDE w:val="0"/>
        <w:autoSpaceDN w:val="0"/>
        <w:adjustRightInd w:val="0"/>
        <w:jc w:val="both"/>
        <w:rPr>
          <w:rFonts w:cs="Arial"/>
        </w:rPr>
      </w:pPr>
    </w:p>
    <w:p w14:paraId="62F70BD6" w14:textId="77777777" w:rsidR="00DB5092" w:rsidRPr="007431E7" w:rsidRDefault="00DB5092" w:rsidP="002404C2">
      <w:pPr>
        <w:rPr>
          <w:color w:val="000000" w:themeColor="text1"/>
        </w:rPr>
      </w:pPr>
    </w:p>
    <w:sectPr w:rsidR="00DB5092" w:rsidRPr="007431E7" w:rsidSect="002404C2">
      <w:headerReference w:type="default" r:id="rId14"/>
      <w:footerReference w:type="even" r:id="rId15"/>
      <w:footerReference w:type="default" r:id="rId16"/>
      <w:pgSz w:w="12240" w:h="15840"/>
      <w:pgMar w:top="0" w:right="1080" w:bottom="0" w:left="1152" w:header="432" w:footer="720" w:gutter="0"/>
      <w:pgBorders w:offsetFrom="page">
        <w:top w:val="single" w:sz="6" w:space="20" w:color="auto"/>
        <w:left w:val="single" w:sz="6" w:space="21" w:color="auto"/>
        <w:bottom w:val="single" w:sz="6" w:space="20" w:color="auto"/>
        <w:right w:val="single" w:sz="6" w:space="20" w:color="auto"/>
      </w:pgBorders>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3BB1" w14:textId="77777777" w:rsidR="00935778" w:rsidRDefault="00935778">
      <w:r>
        <w:separator/>
      </w:r>
    </w:p>
  </w:endnote>
  <w:endnote w:type="continuationSeparator" w:id="0">
    <w:p w14:paraId="32741A08" w14:textId="77777777" w:rsidR="00935778" w:rsidRDefault="0093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7C3C" w14:textId="77777777" w:rsidR="00DB5092" w:rsidRDefault="00DB5092" w:rsidP="00240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AC1B2" w14:textId="77777777" w:rsidR="00DB5092" w:rsidRDefault="00DB5092" w:rsidP="002404C2">
    <w:pPr>
      <w:pStyle w:val="Footer"/>
      <w:ind w:right="360"/>
    </w:pPr>
  </w:p>
  <w:p w14:paraId="35759079" w14:textId="77777777" w:rsidR="00DB5092" w:rsidRDefault="00DB5092"/>
  <w:p w14:paraId="7A343E61" w14:textId="77777777" w:rsidR="00DB5092" w:rsidRDefault="00DB5092"/>
  <w:p w14:paraId="414A19EE" w14:textId="77777777" w:rsidR="00DB5092" w:rsidRDefault="00DB50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229" w14:textId="76654BEF" w:rsidR="00DB5092" w:rsidRPr="008017CF" w:rsidRDefault="00DB5092" w:rsidP="002404C2">
    <w:pPr>
      <w:pStyle w:val="Footer"/>
      <w:pBdr>
        <w:top w:val="single" w:sz="6" w:space="1" w:color="244061"/>
      </w:pBdr>
      <w:tabs>
        <w:tab w:val="left" w:pos="9990"/>
      </w:tabs>
      <w:ind w:right="18"/>
      <w:jc w:val="center"/>
      <w:rPr>
        <w:rFonts w:cs="Arial"/>
        <w:b/>
        <w:color w:val="244061"/>
        <w:sz w:val="16"/>
      </w:rPr>
    </w:pPr>
    <w:r>
      <w:rPr>
        <w:rFonts w:cs="Arial"/>
        <w:b/>
        <w:noProof/>
        <w:color w:val="244061"/>
        <w:sz w:val="16"/>
      </w:rPr>
      <w:t>Capstone Financial Group</w:t>
    </w:r>
    <w:r w:rsidRPr="008017CF">
      <w:rPr>
        <w:rFonts w:cs="Arial"/>
        <w:b/>
        <w:color w:val="244061"/>
        <w:sz w:val="16"/>
      </w:rPr>
      <w:t>, Inc</w:t>
    </w:r>
    <w:r>
      <w:rPr>
        <w:rFonts w:cs="Arial"/>
        <w:b/>
        <w:color w:val="244061"/>
        <w:sz w:val="16"/>
      </w:rPr>
      <w:t>.</w:t>
    </w:r>
  </w:p>
  <w:p w14:paraId="3AD51716" w14:textId="77777777" w:rsidR="00DB5092" w:rsidRPr="008017CF" w:rsidRDefault="00DB5092" w:rsidP="002404C2">
    <w:pPr>
      <w:jc w:val="center"/>
      <w:rPr>
        <w:rFonts w:cs="Arial"/>
        <w:color w:val="244061"/>
        <w:sz w:val="16"/>
      </w:rPr>
    </w:pPr>
    <w:r>
      <w:rPr>
        <w:rFonts w:cs="Arial"/>
        <w:noProof/>
        <w:color w:val="244061"/>
        <w:sz w:val="16"/>
      </w:rPr>
      <w:t>13919 Quail Pointe</w:t>
    </w:r>
    <w:r w:rsidRPr="008017CF">
      <w:rPr>
        <w:rFonts w:cs="Arial"/>
        <w:color w:val="244061"/>
        <w:sz w:val="16"/>
      </w:rPr>
      <w:t xml:space="preserve"> Drive</w:t>
    </w:r>
    <w:r>
      <w:rPr>
        <w:rFonts w:cs="Arial"/>
        <w:color w:val="244061"/>
        <w:sz w:val="16"/>
      </w:rPr>
      <w:t xml:space="preserve">, </w:t>
    </w:r>
    <w:r>
      <w:rPr>
        <w:rFonts w:cs="Arial"/>
        <w:noProof/>
        <w:color w:val="244061"/>
        <w:sz w:val="16"/>
      </w:rPr>
      <w:t>Oklahoma City</w:t>
    </w:r>
    <w:r w:rsidRPr="008017CF">
      <w:rPr>
        <w:rFonts w:cs="Arial"/>
        <w:color w:val="244061"/>
        <w:sz w:val="16"/>
      </w:rPr>
      <w:t xml:space="preserve">, </w:t>
    </w:r>
    <w:r>
      <w:rPr>
        <w:rFonts w:cs="Arial"/>
        <w:noProof/>
        <w:color w:val="244061"/>
        <w:sz w:val="16"/>
      </w:rPr>
      <w:t>OK</w:t>
    </w:r>
    <w:r w:rsidRPr="008017CF">
      <w:rPr>
        <w:rFonts w:cs="Arial"/>
        <w:color w:val="244061"/>
        <w:sz w:val="16"/>
      </w:rPr>
      <w:t xml:space="preserve">  </w:t>
    </w:r>
    <w:r>
      <w:rPr>
        <w:rFonts w:cs="Arial"/>
        <w:noProof/>
        <w:color w:val="244061"/>
        <w:sz w:val="16"/>
      </w:rPr>
      <w:t>73134</w:t>
    </w:r>
  </w:p>
  <w:p w14:paraId="1BE378D1" w14:textId="77777777" w:rsidR="00DB5092" w:rsidRPr="008017CF" w:rsidRDefault="00DB5092" w:rsidP="002404C2">
    <w:pPr>
      <w:jc w:val="center"/>
      <w:rPr>
        <w:rFonts w:cs="Arial"/>
        <w:color w:val="244061"/>
        <w:sz w:val="16"/>
      </w:rPr>
    </w:pPr>
    <w:r w:rsidRPr="008017CF">
      <w:rPr>
        <w:rFonts w:cs="Arial"/>
        <w:color w:val="244061"/>
        <w:sz w:val="16"/>
      </w:rPr>
      <w:t xml:space="preserve">Phone: </w:t>
    </w:r>
    <w:r>
      <w:rPr>
        <w:rFonts w:cs="Arial"/>
        <w:noProof/>
        <w:color w:val="244061"/>
        <w:sz w:val="16"/>
      </w:rPr>
      <w:t>(405) 848-4646</w:t>
    </w:r>
    <w:r>
      <w:rPr>
        <w:rFonts w:cs="Arial"/>
        <w:color w:val="244061"/>
        <w:sz w:val="16"/>
      </w:rPr>
      <w:t xml:space="preserve"> * </w:t>
    </w:r>
    <w:r w:rsidRPr="008017CF">
      <w:rPr>
        <w:rFonts w:cs="Arial"/>
        <w:color w:val="244061"/>
        <w:sz w:val="16"/>
      </w:rPr>
      <w:t xml:space="preserve">Fax: </w:t>
    </w:r>
    <w:r>
      <w:rPr>
        <w:rFonts w:cs="Arial"/>
        <w:noProof/>
        <w:color w:val="244061"/>
        <w:sz w:val="16"/>
      </w:rPr>
      <w:t>(405) 608-0839</w:t>
    </w:r>
  </w:p>
  <w:p w14:paraId="009EAAE5" w14:textId="77777777" w:rsidR="00DB5092" w:rsidRPr="008017CF" w:rsidRDefault="00DB5092" w:rsidP="002404C2">
    <w:pPr>
      <w:pStyle w:val="Footer"/>
      <w:framePr w:w="726" w:wrap="around" w:vAnchor="text" w:hAnchor="page" w:x="1141" w:y="250"/>
      <w:rPr>
        <w:rFonts w:cs="Arial"/>
        <w:b/>
        <w:color w:val="244061"/>
        <w:sz w:val="16"/>
      </w:rPr>
    </w:pPr>
    <w:r w:rsidRPr="008017CF">
      <w:rPr>
        <w:rFonts w:cs="Arial"/>
        <w:b/>
        <w:color w:val="244061"/>
        <w:sz w:val="16"/>
      </w:rPr>
      <w:t xml:space="preserve">Page  </w:t>
    </w:r>
    <w:r w:rsidRPr="008017CF">
      <w:rPr>
        <w:rFonts w:cs="Arial"/>
        <w:b/>
        <w:color w:val="244061"/>
        <w:sz w:val="16"/>
      </w:rPr>
      <w:fldChar w:fldCharType="begin"/>
    </w:r>
    <w:r w:rsidRPr="008017CF">
      <w:rPr>
        <w:rFonts w:cs="Arial"/>
        <w:b/>
        <w:color w:val="244061"/>
        <w:sz w:val="16"/>
      </w:rPr>
      <w:instrText xml:space="preserve">PAGE  </w:instrText>
    </w:r>
    <w:r w:rsidRPr="008017CF">
      <w:rPr>
        <w:rFonts w:cs="Arial"/>
        <w:b/>
        <w:color w:val="244061"/>
        <w:sz w:val="16"/>
      </w:rPr>
      <w:fldChar w:fldCharType="separate"/>
    </w:r>
    <w:r w:rsidR="00C20F38">
      <w:rPr>
        <w:rFonts w:cs="Arial"/>
        <w:b/>
        <w:noProof/>
        <w:color w:val="244061"/>
        <w:sz w:val="16"/>
      </w:rPr>
      <w:t>15</w:t>
    </w:r>
    <w:r w:rsidRPr="008017CF">
      <w:rPr>
        <w:rFonts w:cs="Arial"/>
        <w:b/>
        <w:color w:val="244061"/>
        <w:sz w:val="16"/>
      </w:rPr>
      <w:fldChar w:fldCharType="end"/>
    </w:r>
  </w:p>
  <w:p w14:paraId="620EB2CF" w14:textId="77777777" w:rsidR="00DB5092" w:rsidRDefault="00DB5092" w:rsidP="002404C2">
    <w:pPr>
      <w:jc w:val="center"/>
    </w:pPr>
    <w:r>
      <w:rPr>
        <w:rFonts w:cs="Arial"/>
        <w:noProof/>
        <w:color w:val="244061"/>
        <w:sz w:val="16"/>
      </w:rPr>
      <w:t>www.capfinancial.com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5178" w14:textId="77777777" w:rsidR="00935778" w:rsidRDefault="00935778">
      <w:r>
        <w:separator/>
      </w:r>
    </w:p>
  </w:footnote>
  <w:footnote w:type="continuationSeparator" w:id="0">
    <w:p w14:paraId="041FDACE" w14:textId="77777777" w:rsidR="00935778" w:rsidRDefault="0093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A8EC" w14:textId="77777777" w:rsidR="00DB5092" w:rsidRDefault="00DB5092" w:rsidP="002404C2">
    <w:pPr>
      <w:pStyle w:val="Header"/>
      <w:jc w:val="right"/>
    </w:pPr>
  </w:p>
  <w:p w14:paraId="75E662C9" w14:textId="77777777" w:rsidR="00DB5092" w:rsidRDefault="00DB5092"/>
  <w:p w14:paraId="2268BF5E" w14:textId="77777777" w:rsidR="00DB5092" w:rsidRDefault="00DB5092"/>
  <w:p w14:paraId="278246DA" w14:textId="77777777" w:rsidR="00DB5092" w:rsidRDefault="00DB5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92D"/>
    <w:multiLevelType w:val="multilevel"/>
    <w:tmpl w:val="2AE0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65719"/>
    <w:multiLevelType w:val="multilevel"/>
    <w:tmpl w:val="24E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50C"/>
    <w:multiLevelType w:val="multilevel"/>
    <w:tmpl w:val="11E8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2004"/>
    <w:multiLevelType w:val="multilevel"/>
    <w:tmpl w:val="E094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15A16"/>
    <w:multiLevelType w:val="hybridMultilevel"/>
    <w:tmpl w:val="9A145808"/>
    <w:lvl w:ilvl="0" w:tplc="5024C580">
      <w:start w:val="1"/>
      <w:numFmt w:val="bullet"/>
      <w:lvlText w:val=""/>
      <w:lvlJc w:val="left"/>
      <w:pPr>
        <w:ind w:left="720" w:hanging="360"/>
      </w:pPr>
      <w:rPr>
        <w:rFonts w:ascii="Symbol" w:hAnsi="Symbol" w:hint="default"/>
      </w:rPr>
    </w:lvl>
    <w:lvl w:ilvl="1" w:tplc="5292127C" w:tentative="1">
      <w:start w:val="1"/>
      <w:numFmt w:val="bullet"/>
      <w:lvlText w:val="o"/>
      <w:lvlJc w:val="left"/>
      <w:pPr>
        <w:ind w:left="1440" w:hanging="360"/>
      </w:pPr>
      <w:rPr>
        <w:rFonts w:ascii="Courier New" w:hAnsi="Courier New" w:cs="Courier New" w:hint="default"/>
      </w:rPr>
    </w:lvl>
    <w:lvl w:ilvl="2" w:tplc="9142F6F6" w:tentative="1">
      <w:start w:val="1"/>
      <w:numFmt w:val="bullet"/>
      <w:lvlText w:val=""/>
      <w:lvlJc w:val="left"/>
      <w:pPr>
        <w:ind w:left="2160" w:hanging="360"/>
      </w:pPr>
      <w:rPr>
        <w:rFonts w:ascii="Wingdings" w:hAnsi="Wingdings" w:hint="default"/>
      </w:rPr>
    </w:lvl>
    <w:lvl w:ilvl="3" w:tplc="C60EB6C0" w:tentative="1">
      <w:start w:val="1"/>
      <w:numFmt w:val="bullet"/>
      <w:lvlText w:val=""/>
      <w:lvlJc w:val="left"/>
      <w:pPr>
        <w:ind w:left="2880" w:hanging="360"/>
      </w:pPr>
      <w:rPr>
        <w:rFonts w:ascii="Symbol" w:hAnsi="Symbol" w:hint="default"/>
      </w:rPr>
    </w:lvl>
    <w:lvl w:ilvl="4" w:tplc="989E7D3C" w:tentative="1">
      <w:start w:val="1"/>
      <w:numFmt w:val="bullet"/>
      <w:lvlText w:val="o"/>
      <w:lvlJc w:val="left"/>
      <w:pPr>
        <w:ind w:left="3600" w:hanging="360"/>
      </w:pPr>
      <w:rPr>
        <w:rFonts w:ascii="Courier New" w:hAnsi="Courier New" w:cs="Courier New" w:hint="default"/>
      </w:rPr>
    </w:lvl>
    <w:lvl w:ilvl="5" w:tplc="EC9E0874" w:tentative="1">
      <w:start w:val="1"/>
      <w:numFmt w:val="bullet"/>
      <w:lvlText w:val=""/>
      <w:lvlJc w:val="left"/>
      <w:pPr>
        <w:ind w:left="4320" w:hanging="360"/>
      </w:pPr>
      <w:rPr>
        <w:rFonts w:ascii="Wingdings" w:hAnsi="Wingdings" w:hint="default"/>
      </w:rPr>
    </w:lvl>
    <w:lvl w:ilvl="6" w:tplc="AC04A080" w:tentative="1">
      <w:start w:val="1"/>
      <w:numFmt w:val="bullet"/>
      <w:lvlText w:val=""/>
      <w:lvlJc w:val="left"/>
      <w:pPr>
        <w:ind w:left="5040" w:hanging="360"/>
      </w:pPr>
      <w:rPr>
        <w:rFonts w:ascii="Symbol" w:hAnsi="Symbol" w:hint="default"/>
      </w:rPr>
    </w:lvl>
    <w:lvl w:ilvl="7" w:tplc="CD7ED228" w:tentative="1">
      <w:start w:val="1"/>
      <w:numFmt w:val="bullet"/>
      <w:lvlText w:val="o"/>
      <w:lvlJc w:val="left"/>
      <w:pPr>
        <w:ind w:left="5760" w:hanging="360"/>
      </w:pPr>
      <w:rPr>
        <w:rFonts w:ascii="Courier New" w:hAnsi="Courier New" w:cs="Courier New" w:hint="default"/>
      </w:rPr>
    </w:lvl>
    <w:lvl w:ilvl="8" w:tplc="E6CE011C" w:tentative="1">
      <w:start w:val="1"/>
      <w:numFmt w:val="bullet"/>
      <w:lvlText w:val=""/>
      <w:lvlJc w:val="left"/>
      <w:pPr>
        <w:ind w:left="6480" w:hanging="360"/>
      </w:pPr>
      <w:rPr>
        <w:rFonts w:ascii="Wingdings" w:hAnsi="Wingdings" w:hint="default"/>
      </w:rPr>
    </w:lvl>
  </w:abstractNum>
  <w:abstractNum w:abstractNumId="5" w15:restartNumberingAfterBreak="0">
    <w:nsid w:val="151C0E19"/>
    <w:multiLevelType w:val="multilevel"/>
    <w:tmpl w:val="011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719E0"/>
    <w:multiLevelType w:val="multilevel"/>
    <w:tmpl w:val="D7CA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C0BA4"/>
    <w:multiLevelType w:val="hybridMultilevel"/>
    <w:tmpl w:val="8ADCBDBC"/>
    <w:lvl w:ilvl="0" w:tplc="EA2AF418">
      <w:start w:val="1"/>
      <w:numFmt w:val="bullet"/>
      <w:lvlText w:val=""/>
      <w:lvlJc w:val="left"/>
      <w:pPr>
        <w:ind w:left="720" w:hanging="360"/>
      </w:pPr>
      <w:rPr>
        <w:rFonts w:ascii="Symbol" w:hAnsi="Symbol" w:hint="default"/>
      </w:rPr>
    </w:lvl>
    <w:lvl w:ilvl="1" w:tplc="F28A24BC" w:tentative="1">
      <w:start w:val="1"/>
      <w:numFmt w:val="bullet"/>
      <w:lvlText w:val="o"/>
      <w:lvlJc w:val="left"/>
      <w:pPr>
        <w:ind w:left="1440" w:hanging="360"/>
      </w:pPr>
      <w:rPr>
        <w:rFonts w:ascii="Courier New" w:hAnsi="Courier New" w:hint="default"/>
      </w:rPr>
    </w:lvl>
    <w:lvl w:ilvl="2" w:tplc="CA7693D4" w:tentative="1">
      <w:start w:val="1"/>
      <w:numFmt w:val="bullet"/>
      <w:lvlText w:val=""/>
      <w:lvlJc w:val="left"/>
      <w:pPr>
        <w:ind w:left="2160" w:hanging="360"/>
      </w:pPr>
      <w:rPr>
        <w:rFonts w:ascii="Wingdings" w:hAnsi="Wingdings" w:hint="default"/>
      </w:rPr>
    </w:lvl>
    <w:lvl w:ilvl="3" w:tplc="BC3242F8" w:tentative="1">
      <w:start w:val="1"/>
      <w:numFmt w:val="bullet"/>
      <w:lvlText w:val=""/>
      <w:lvlJc w:val="left"/>
      <w:pPr>
        <w:ind w:left="2880" w:hanging="360"/>
      </w:pPr>
      <w:rPr>
        <w:rFonts w:ascii="Symbol" w:hAnsi="Symbol" w:hint="default"/>
      </w:rPr>
    </w:lvl>
    <w:lvl w:ilvl="4" w:tplc="B15CBDFA" w:tentative="1">
      <w:start w:val="1"/>
      <w:numFmt w:val="bullet"/>
      <w:lvlText w:val="o"/>
      <w:lvlJc w:val="left"/>
      <w:pPr>
        <w:ind w:left="3600" w:hanging="360"/>
      </w:pPr>
      <w:rPr>
        <w:rFonts w:ascii="Courier New" w:hAnsi="Courier New" w:hint="default"/>
      </w:rPr>
    </w:lvl>
    <w:lvl w:ilvl="5" w:tplc="D3085E36" w:tentative="1">
      <w:start w:val="1"/>
      <w:numFmt w:val="bullet"/>
      <w:lvlText w:val=""/>
      <w:lvlJc w:val="left"/>
      <w:pPr>
        <w:ind w:left="4320" w:hanging="360"/>
      </w:pPr>
      <w:rPr>
        <w:rFonts w:ascii="Wingdings" w:hAnsi="Wingdings" w:hint="default"/>
      </w:rPr>
    </w:lvl>
    <w:lvl w:ilvl="6" w:tplc="C18CC2DC" w:tentative="1">
      <w:start w:val="1"/>
      <w:numFmt w:val="bullet"/>
      <w:lvlText w:val=""/>
      <w:lvlJc w:val="left"/>
      <w:pPr>
        <w:ind w:left="5040" w:hanging="360"/>
      </w:pPr>
      <w:rPr>
        <w:rFonts w:ascii="Symbol" w:hAnsi="Symbol" w:hint="default"/>
      </w:rPr>
    </w:lvl>
    <w:lvl w:ilvl="7" w:tplc="24227F74" w:tentative="1">
      <w:start w:val="1"/>
      <w:numFmt w:val="bullet"/>
      <w:lvlText w:val="o"/>
      <w:lvlJc w:val="left"/>
      <w:pPr>
        <w:ind w:left="5760" w:hanging="360"/>
      </w:pPr>
      <w:rPr>
        <w:rFonts w:ascii="Courier New" w:hAnsi="Courier New" w:hint="default"/>
      </w:rPr>
    </w:lvl>
    <w:lvl w:ilvl="8" w:tplc="E558EEFC" w:tentative="1">
      <w:start w:val="1"/>
      <w:numFmt w:val="bullet"/>
      <w:lvlText w:val=""/>
      <w:lvlJc w:val="left"/>
      <w:pPr>
        <w:ind w:left="6480" w:hanging="360"/>
      </w:pPr>
      <w:rPr>
        <w:rFonts w:ascii="Wingdings" w:hAnsi="Wingdings" w:hint="default"/>
      </w:rPr>
    </w:lvl>
  </w:abstractNum>
  <w:abstractNum w:abstractNumId="8" w15:restartNumberingAfterBreak="0">
    <w:nsid w:val="3D6B70BB"/>
    <w:multiLevelType w:val="multilevel"/>
    <w:tmpl w:val="F0F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F63F8"/>
    <w:multiLevelType w:val="multilevel"/>
    <w:tmpl w:val="A6A47A8A"/>
    <w:name w:val="zzmpStandard||Standard|2|3|1|1|0|9||1|0|1||1|0|1||1|0|1||1|0|0||1|0|0||1|0|0||1|0|0||1|0|0||"/>
    <w:lvl w:ilvl="0">
      <w:start w:val="1"/>
      <w:numFmt w:val="decimal"/>
      <w:pStyle w:val="StandardL1"/>
      <w:lvlText w:val="%1."/>
      <w:lvlJc w:val="left"/>
      <w:pPr>
        <w:tabs>
          <w:tab w:val="num" w:pos="36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421218"/>
    <w:multiLevelType w:val="multilevel"/>
    <w:tmpl w:val="C0BE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F29D9"/>
    <w:multiLevelType w:val="hybridMultilevel"/>
    <w:tmpl w:val="E4D6A378"/>
    <w:lvl w:ilvl="0" w:tplc="4FD6240E">
      <w:start w:val="1"/>
      <w:numFmt w:val="bullet"/>
      <w:lvlText w:val=""/>
      <w:lvlJc w:val="left"/>
      <w:pPr>
        <w:ind w:left="720" w:hanging="360"/>
      </w:pPr>
      <w:rPr>
        <w:rFonts w:ascii="Symbol" w:hAnsi="Symbol" w:hint="default"/>
      </w:rPr>
    </w:lvl>
    <w:lvl w:ilvl="1" w:tplc="9B84C770" w:tentative="1">
      <w:start w:val="1"/>
      <w:numFmt w:val="bullet"/>
      <w:lvlText w:val="o"/>
      <w:lvlJc w:val="left"/>
      <w:pPr>
        <w:ind w:left="1440" w:hanging="360"/>
      </w:pPr>
      <w:rPr>
        <w:rFonts w:ascii="Courier New" w:hAnsi="Courier New" w:cs="Courier New" w:hint="default"/>
      </w:rPr>
    </w:lvl>
    <w:lvl w:ilvl="2" w:tplc="B7C213EE" w:tentative="1">
      <w:start w:val="1"/>
      <w:numFmt w:val="bullet"/>
      <w:lvlText w:val=""/>
      <w:lvlJc w:val="left"/>
      <w:pPr>
        <w:ind w:left="2160" w:hanging="360"/>
      </w:pPr>
      <w:rPr>
        <w:rFonts w:ascii="Wingdings" w:hAnsi="Wingdings" w:hint="default"/>
      </w:rPr>
    </w:lvl>
    <w:lvl w:ilvl="3" w:tplc="E9B68960" w:tentative="1">
      <w:start w:val="1"/>
      <w:numFmt w:val="bullet"/>
      <w:lvlText w:val=""/>
      <w:lvlJc w:val="left"/>
      <w:pPr>
        <w:ind w:left="2880" w:hanging="360"/>
      </w:pPr>
      <w:rPr>
        <w:rFonts w:ascii="Symbol" w:hAnsi="Symbol" w:hint="default"/>
      </w:rPr>
    </w:lvl>
    <w:lvl w:ilvl="4" w:tplc="CCC4133C" w:tentative="1">
      <w:start w:val="1"/>
      <w:numFmt w:val="bullet"/>
      <w:lvlText w:val="o"/>
      <w:lvlJc w:val="left"/>
      <w:pPr>
        <w:ind w:left="3600" w:hanging="360"/>
      </w:pPr>
      <w:rPr>
        <w:rFonts w:ascii="Courier New" w:hAnsi="Courier New" w:cs="Courier New" w:hint="default"/>
      </w:rPr>
    </w:lvl>
    <w:lvl w:ilvl="5" w:tplc="6D001EDA" w:tentative="1">
      <w:start w:val="1"/>
      <w:numFmt w:val="bullet"/>
      <w:lvlText w:val=""/>
      <w:lvlJc w:val="left"/>
      <w:pPr>
        <w:ind w:left="4320" w:hanging="360"/>
      </w:pPr>
      <w:rPr>
        <w:rFonts w:ascii="Wingdings" w:hAnsi="Wingdings" w:hint="default"/>
      </w:rPr>
    </w:lvl>
    <w:lvl w:ilvl="6" w:tplc="1A766300" w:tentative="1">
      <w:start w:val="1"/>
      <w:numFmt w:val="bullet"/>
      <w:lvlText w:val=""/>
      <w:lvlJc w:val="left"/>
      <w:pPr>
        <w:ind w:left="5040" w:hanging="360"/>
      </w:pPr>
      <w:rPr>
        <w:rFonts w:ascii="Symbol" w:hAnsi="Symbol" w:hint="default"/>
      </w:rPr>
    </w:lvl>
    <w:lvl w:ilvl="7" w:tplc="5CD24AD8" w:tentative="1">
      <w:start w:val="1"/>
      <w:numFmt w:val="bullet"/>
      <w:lvlText w:val="o"/>
      <w:lvlJc w:val="left"/>
      <w:pPr>
        <w:ind w:left="5760" w:hanging="360"/>
      </w:pPr>
      <w:rPr>
        <w:rFonts w:ascii="Courier New" w:hAnsi="Courier New" w:cs="Courier New" w:hint="default"/>
      </w:rPr>
    </w:lvl>
    <w:lvl w:ilvl="8" w:tplc="94C01AD4" w:tentative="1">
      <w:start w:val="1"/>
      <w:numFmt w:val="bullet"/>
      <w:lvlText w:val=""/>
      <w:lvlJc w:val="left"/>
      <w:pPr>
        <w:ind w:left="6480" w:hanging="360"/>
      </w:pPr>
      <w:rPr>
        <w:rFonts w:ascii="Wingdings" w:hAnsi="Wingdings" w:hint="default"/>
      </w:rPr>
    </w:lvl>
  </w:abstractNum>
  <w:abstractNum w:abstractNumId="12" w15:restartNumberingAfterBreak="0">
    <w:nsid w:val="4BB81802"/>
    <w:multiLevelType w:val="multilevel"/>
    <w:tmpl w:val="0409001D"/>
    <w:styleLink w:val="TOCSubHeadings"/>
    <w:lvl w:ilvl="0">
      <w:start w:val="2"/>
      <w:numFmt w:val="decimal"/>
      <w:lvlText w:val="%1)"/>
      <w:lvlJc w:val="left"/>
      <w:pPr>
        <w:ind w:left="360" w:hanging="360"/>
      </w:pPr>
    </w:lvl>
    <w:lvl w:ilvl="1">
      <w:start w:val="1"/>
      <w:numFmt w:val="lowerLetter"/>
      <w:lvlText w:val="%2)"/>
      <w:lvlJc w:val="left"/>
      <w:pPr>
        <w:ind w:left="720" w:hanging="360"/>
      </w:pPr>
      <w:rPr>
        <w:rFonts w:ascii="Arial" w:hAnsi="Arial"/>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876EAB"/>
    <w:multiLevelType w:val="multilevel"/>
    <w:tmpl w:val="CF1E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130BE"/>
    <w:multiLevelType w:val="hybridMultilevel"/>
    <w:tmpl w:val="4C90B828"/>
    <w:lvl w:ilvl="0" w:tplc="55701D7C">
      <w:start w:val="1"/>
      <w:numFmt w:val="bullet"/>
      <w:lvlText w:val=""/>
      <w:lvlJc w:val="left"/>
      <w:pPr>
        <w:ind w:left="720" w:hanging="360"/>
      </w:pPr>
      <w:rPr>
        <w:rFonts w:ascii="Symbol" w:hAnsi="Symbol" w:hint="default"/>
      </w:rPr>
    </w:lvl>
    <w:lvl w:ilvl="1" w:tplc="9FE21858" w:tentative="1">
      <w:start w:val="1"/>
      <w:numFmt w:val="bullet"/>
      <w:lvlText w:val="o"/>
      <w:lvlJc w:val="left"/>
      <w:pPr>
        <w:ind w:left="1440" w:hanging="360"/>
      </w:pPr>
      <w:rPr>
        <w:rFonts w:ascii="Courier New" w:hAnsi="Courier New" w:cs="Courier New" w:hint="default"/>
      </w:rPr>
    </w:lvl>
    <w:lvl w:ilvl="2" w:tplc="4C0273A2" w:tentative="1">
      <w:start w:val="1"/>
      <w:numFmt w:val="bullet"/>
      <w:lvlText w:val=""/>
      <w:lvlJc w:val="left"/>
      <w:pPr>
        <w:ind w:left="2160" w:hanging="360"/>
      </w:pPr>
      <w:rPr>
        <w:rFonts w:ascii="Wingdings" w:hAnsi="Wingdings" w:hint="default"/>
      </w:rPr>
    </w:lvl>
    <w:lvl w:ilvl="3" w:tplc="855CA3EE" w:tentative="1">
      <w:start w:val="1"/>
      <w:numFmt w:val="bullet"/>
      <w:lvlText w:val=""/>
      <w:lvlJc w:val="left"/>
      <w:pPr>
        <w:ind w:left="2880" w:hanging="360"/>
      </w:pPr>
      <w:rPr>
        <w:rFonts w:ascii="Symbol" w:hAnsi="Symbol" w:hint="default"/>
      </w:rPr>
    </w:lvl>
    <w:lvl w:ilvl="4" w:tplc="8716C6DC" w:tentative="1">
      <w:start w:val="1"/>
      <w:numFmt w:val="bullet"/>
      <w:lvlText w:val="o"/>
      <w:lvlJc w:val="left"/>
      <w:pPr>
        <w:ind w:left="3600" w:hanging="360"/>
      </w:pPr>
      <w:rPr>
        <w:rFonts w:ascii="Courier New" w:hAnsi="Courier New" w:cs="Courier New" w:hint="default"/>
      </w:rPr>
    </w:lvl>
    <w:lvl w:ilvl="5" w:tplc="7A66FF98" w:tentative="1">
      <w:start w:val="1"/>
      <w:numFmt w:val="bullet"/>
      <w:lvlText w:val=""/>
      <w:lvlJc w:val="left"/>
      <w:pPr>
        <w:ind w:left="4320" w:hanging="360"/>
      </w:pPr>
      <w:rPr>
        <w:rFonts w:ascii="Wingdings" w:hAnsi="Wingdings" w:hint="default"/>
      </w:rPr>
    </w:lvl>
    <w:lvl w:ilvl="6" w:tplc="2A00CA86" w:tentative="1">
      <w:start w:val="1"/>
      <w:numFmt w:val="bullet"/>
      <w:lvlText w:val=""/>
      <w:lvlJc w:val="left"/>
      <w:pPr>
        <w:ind w:left="5040" w:hanging="360"/>
      </w:pPr>
      <w:rPr>
        <w:rFonts w:ascii="Symbol" w:hAnsi="Symbol" w:hint="default"/>
      </w:rPr>
    </w:lvl>
    <w:lvl w:ilvl="7" w:tplc="23327A7E" w:tentative="1">
      <w:start w:val="1"/>
      <w:numFmt w:val="bullet"/>
      <w:lvlText w:val="o"/>
      <w:lvlJc w:val="left"/>
      <w:pPr>
        <w:ind w:left="5760" w:hanging="360"/>
      </w:pPr>
      <w:rPr>
        <w:rFonts w:ascii="Courier New" w:hAnsi="Courier New" w:cs="Courier New" w:hint="default"/>
      </w:rPr>
    </w:lvl>
    <w:lvl w:ilvl="8" w:tplc="8F0660C6" w:tentative="1">
      <w:start w:val="1"/>
      <w:numFmt w:val="bullet"/>
      <w:lvlText w:val=""/>
      <w:lvlJc w:val="left"/>
      <w:pPr>
        <w:ind w:left="6480" w:hanging="360"/>
      </w:pPr>
      <w:rPr>
        <w:rFonts w:ascii="Wingdings" w:hAnsi="Wingdings" w:hint="default"/>
      </w:rPr>
    </w:lvl>
  </w:abstractNum>
  <w:abstractNum w:abstractNumId="15" w15:restartNumberingAfterBreak="0">
    <w:nsid w:val="53FC3DA8"/>
    <w:multiLevelType w:val="multilevel"/>
    <w:tmpl w:val="0EFC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C6748"/>
    <w:multiLevelType w:val="hybridMultilevel"/>
    <w:tmpl w:val="26248244"/>
    <w:lvl w:ilvl="0" w:tplc="5234F97C">
      <w:start w:val="1"/>
      <w:numFmt w:val="bullet"/>
      <w:lvlText w:val=""/>
      <w:lvlJc w:val="left"/>
      <w:pPr>
        <w:ind w:left="720" w:hanging="360"/>
      </w:pPr>
      <w:rPr>
        <w:rFonts w:ascii="Symbol" w:hAnsi="Symbol" w:hint="default"/>
      </w:rPr>
    </w:lvl>
    <w:lvl w:ilvl="1" w:tplc="9BCA0630" w:tentative="1">
      <w:start w:val="1"/>
      <w:numFmt w:val="bullet"/>
      <w:lvlText w:val="o"/>
      <w:lvlJc w:val="left"/>
      <w:pPr>
        <w:ind w:left="1440" w:hanging="360"/>
      </w:pPr>
      <w:rPr>
        <w:rFonts w:ascii="Courier New" w:hAnsi="Courier New" w:hint="default"/>
      </w:rPr>
    </w:lvl>
    <w:lvl w:ilvl="2" w:tplc="9CD4D86A" w:tentative="1">
      <w:start w:val="1"/>
      <w:numFmt w:val="bullet"/>
      <w:lvlText w:val=""/>
      <w:lvlJc w:val="left"/>
      <w:pPr>
        <w:ind w:left="2160" w:hanging="360"/>
      </w:pPr>
      <w:rPr>
        <w:rFonts w:ascii="Wingdings" w:hAnsi="Wingdings" w:hint="default"/>
      </w:rPr>
    </w:lvl>
    <w:lvl w:ilvl="3" w:tplc="DF42625A" w:tentative="1">
      <w:start w:val="1"/>
      <w:numFmt w:val="bullet"/>
      <w:lvlText w:val=""/>
      <w:lvlJc w:val="left"/>
      <w:pPr>
        <w:ind w:left="2880" w:hanging="360"/>
      </w:pPr>
      <w:rPr>
        <w:rFonts w:ascii="Symbol" w:hAnsi="Symbol" w:hint="default"/>
      </w:rPr>
    </w:lvl>
    <w:lvl w:ilvl="4" w:tplc="8342E9A6" w:tentative="1">
      <w:start w:val="1"/>
      <w:numFmt w:val="bullet"/>
      <w:lvlText w:val="o"/>
      <w:lvlJc w:val="left"/>
      <w:pPr>
        <w:ind w:left="3600" w:hanging="360"/>
      </w:pPr>
      <w:rPr>
        <w:rFonts w:ascii="Courier New" w:hAnsi="Courier New" w:hint="default"/>
      </w:rPr>
    </w:lvl>
    <w:lvl w:ilvl="5" w:tplc="3C0C013E" w:tentative="1">
      <w:start w:val="1"/>
      <w:numFmt w:val="bullet"/>
      <w:lvlText w:val=""/>
      <w:lvlJc w:val="left"/>
      <w:pPr>
        <w:ind w:left="4320" w:hanging="360"/>
      </w:pPr>
      <w:rPr>
        <w:rFonts w:ascii="Wingdings" w:hAnsi="Wingdings" w:hint="default"/>
      </w:rPr>
    </w:lvl>
    <w:lvl w:ilvl="6" w:tplc="EF68249E" w:tentative="1">
      <w:start w:val="1"/>
      <w:numFmt w:val="bullet"/>
      <w:lvlText w:val=""/>
      <w:lvlJc w:val="left"/>
      <w:pPr>
        <w:ind w:left="5040" w:hanging="360"/>
      </w:pPr>
      <w:rPr>
        <w:rFonts w:ascii="Symbol" w:hAnsi="Symbol" w:hint="default"/>
      </w:rPr>
    </w:lvl>
    <w:lvl w:ilvl="7" w:tplc="136ECE26" w:tentative="1">
      <w:start w:val="1"/>
      <w:numFmt w:val="bullet"/>
      <w:lvlText w:val="o"/>
      <w:lvlJc w:val="left"/>
      <w:pPr>
        <w:ind w:left="5760" w:hanging="360"/>
      </w:pPr>
      <w:rPr>
        <w:rFonts w:ascii="Courier New" w:hAnsi="Courier New" w:hint="default"/>
      </w:rPr>
    </w:lvl>
    <w:lvl w:ilvl="8" w:tplc="2FDA43CE" w:tentative="1">
      <w:start w:val="1"/>
      <w:numFmt w:val="bullet"/>
      <w:lvlText w:val=""/>
      <w:lvlJc w:val="left"/>
      <w:pPr>
        <w:ind w:left="6480" w:hanging="360"/>
      </w:pPr>
      <w:rPr>
        <w:rFonts w:ascii="Wingdings" w:hAnsi="Wingdings" w:hint="default"/>
      </w:rPr>
    </w:lvl>
  </w:abstractNum>
  <w:abstractNum w:abstractNumId="17" w15:restartNumberingAfterBreak="0">
    <w:nsid w:val="63EA454C"/>
    <w:multiLevelType w:val="multilevel"/>
    <w:tmpl w:val="79C87D3C"/>
    <w:name w:val="Bylaws"/>
    <w:lvl w:ilvl="0">
      <w:start w:val="1"/>
      <w:numFmt w:val="upperRoman"/>
      <w:pStyle w:val="BylawsL1"/>
      <w:suff w:val="nothing"/>
      <w:lvlText w:val="ARTICLE %1"/>
      <w:lvlJc w:val="left"/>
      <w:rPr>
        <w:rFonts w:ascii="CG Times" w:hAnsi="CG Times" w:cs="Times New Roman"/>
        <w:b w:val="0"/>
        <w:i w:val="0"/>
        <w:caps/>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lvlText w:val="Section %2."/>
      <w:lvlJc w:val="left"/>
      <w:pPr>
        <w:tabs>
          <w:tab w:val="num" w:pos="2160"/>
        </w:tabs>
        <w:ind w:firstLine="72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firstLine="144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ylawsL4"/>
      <w:lvlText w:val="(%4)"/>
      <w:lvlJc w:val="left"/>
      <w:pPr>
        <w:tabs>
          <w:tab w:val="num" w:pos="2880"/>
        </w:tabs>
        <w:ind w:firstLine="216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ylawsL5"/>
      <w:lvlText w:val="(%5)"/>
      <w:lvlJc w:val="left"/>
      <w:pPr>
        <w:tabs>
          <w:tab w:val="num" w:pos="3600"/>
        </w:tabs>
        <w:ind w:firstLine="288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BB6720C"/>
    <w:multiLevelType w:val="multilevel"/>
    <w:tmpl w:val="EF0C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33FB3"/>
    <w:multiLevelType w:val="hybridMultilevel"/>
    <w:tmpl w:val="CB5C0756"/>
    <w:lvl w:ilvl="0" w:tplc="812C19B2">
      <w:start w:val="1"/>
      <w:numFmt w:val="bullet"/>
      <w:lvlText w:val=""/>
      <w:lvlJc w:val="left"/>
      <w:pPr>
        <w:ind w:left="773" w:hanging="360"/>
      </w:pPr>
      <w:rPr>
        <w:rFonts w:ascii="Symbol" w:hAnsi="Symbol" w:hint="default"/>
      </w:rPr>
    </w:lvl>
    <w:lvl w:ilvl="1" w:tplc="352E890A" w:tentative="1">
      <w:start w:val="1"/>
      <w:numFmt w:val="bullet"/>
      <w:lvlText w:val="o"/>
      <w:lvlJc w:val="left"/>
      <w:pPr>
        <w:ind w:left="1493" w:hanging="360"/>
      </w:pPr>
      <w:rPr>
        <w:rFonts w:ascii="Courier New" w:hAnsi="Courier New" w:cs="Courier New" w:hint="default"/>
      </w:rPr>
    </w:lvl>
    <w:lvl w:ilvl="2" w:tplc="D494DF24" w:tentative="1">
      <w:start w:val="1"/>
      <w:numFmt w:val="bullet"/>
      <w:lvlText w:val=""/>
      <w:lvlJc w:val="left"/>
      <w:pPr>
        <w:ind w:left="2213" w:hanging="360"/>
      </w:pPr>
      <w:rPr>
        <w:rFonts w:ascii="Wingdings" w:hAnsi="Wingdings" w:hint="default"/>
      </w:rPr>
    </w:lvl>
    <w:lvl w:ilvl="3" w:tplc="0666F9B4" w:tentative="1">
      <w:start w:val="1"/>
      <w:numFmt w:val="bullet"/>
      <w:lvlText w:val=""/>
      <w:lvlJc w:val="left"/>
      <w:pPr>
        <w:ind w:left="2933" w:hanging="360"/>
      </w:pPr>
      <w:rPr>
        <w:rFonts w:ascii="Symbol" w:hAnsi="Symbol" w:hint="default"/>
      </w:rPr>
    </w:lvl>
    <w:lvl w:ilvl="4" w:tplc="038A087A" w:tentative="1">
      <w:start w:val="1"/>
      <w:numFmt w:val="bullet"/>
      <w:lvlText w:val="o"/>
      <w:lvlJc w:val="left"/>
      <w:pPr>
        <w:ind w:left="3653" w:hanging="360"/>
      </w:pPr>
      <w:rPr>
        <w:rFonts w:ascii="Courier New" w:hAnsi="Courier New" w:cs="Courier New" w:hint="default"/>
      </w:rPr>
    </w:lvl>
    <w:lvl w:ilvl="5" w:tplc="923A5614" w:tentative="1">
      <w:start w:val="1"/>
      <w:numFmt w:val="bullet"/>
      <w:lvlText w:val=""/>
      <w:lvlJc w:val="left"/>
      <w:pPr>
        <w:ind w:left="4373" w:hanging="360"/>
      </w:pPr>
      <w:rPr>
        <w:rFonts w:ascii="Wingdings" w:hAnsi="Wingdings" w:hint="default"/>
      </w:rPr>
    </w:lvl>
    <w:lvl w:ilvl="6" w:tplc="A56213E6" w:tentative="1">
      <w:start w:val="1"/>
      <w:numFmt w:val="bullet"/>
      <w:lvlText w:val=""/>
      <w:lvlJc w:val="left"/>
      <w:pPr>
        <w:ind w:left="5093" w:hanging="360"/>
      </w:pPr>
      <w:rPr>
        <w:rFonts w:ascii="Symbol" w:hAnsi="Symbol" w:hint="default"/>
      </w:rPr>
    </w:lvl>
    <w:lvl w:ilvl="7" w:tplc="C79A115C" w:tentative="1">
      <w:start w:val="1"/>
      <w:numFmt w:val="bullet"/>
      <w:lvlText w:val="o"/>
      <w:lvlJc w:val="left"/>
      <w:pPr>
        <w:ind w:left="5813" w:hanging="360"/>
      </w:pPr>
      <w:rPr>
        <w:rFonts w:ascii="Courier New" w:hAnsi="Courier New" w:cs="Courier New" w:hint="default"/>
      </w:rPr>
    </w:lvl>
    <w:lvl w:ilvl="8" w:tplc="5A9EEEC0" w:tentative="1">
      <w:start w:val="1"/>
      <w:numFmt w:val="bullet"/>
      <w:lvlText w:val=""/>
      <w:lvlJc w:val="left"/>
      <w:pPr>
        <w:ind w:left="6533" w:hanging="360"/>
      </w:pPr>
      <w:rPr>
        <w:rFonts w:ascii="Wingdings" w:hAnsi="Wingdings" w:hint="default"/>
      </w:rPr>
    </w:lvl>
  </w:abstractNum>
  <w:num w:numId="1">
    <w:abstractNumId w:val="17"/>
  </w:num>
  <w:num w:numId="2">
    <w:abstractNumId w:val="9"/>
  </w:num>
  <w:num w:numId="3">
    <w:abstractNumId w:val="7"/>
  </w:num>
  <w:num w:numId="4">
    <w:abstractNumId w:val="12"/>
  </w:num>
  <w:num w:numId="5">
    <w:abstractNumId w:val="19"/>
  </w:num>
  <w:num w:numId="6">
    <w:abstractNumId w:val="10"/>
  </w:num>
  <w:num w:numId="7">
    <w:abstractNumId w:val="3"/>
  </w:num>
  <w:num w:numId="8">
    <w:abstractNumId w:val="1"/>
  </w:num>
  <w:num w:numId="9">
    <w:abstractNumId w:val="15"/>
  </w:num>
  <w:num w:numId="10">
    <w:abstractNumId w:val="0"/>
  </w:num>
  <w:num w:numId="11">
    <w:abstractNumId w:val="6"/>
  </w:num>
  <w:num w:numId="12">
    <w:abstractNumId w:val="8"/>
  </w:num>
  <w:num w:numId="13">
    <w:abstractNumId w:val="5"/>
  </w:num>
  <w:num w:numId="14">
    <w:abstractNumId w:val="2"/>
  </w:num>
  <w:num w:numId="15">
    <w:abstractNumId w:val="16"/>
  </w:num>
  <w:num w:numId="16">
    <w:abstractNumId w:val="11"/>
  </w:num>
  <w:num w:numId="17">
    <w:abstractNumId w:val="14"/>
  </w:num>
  <w:num w:numId="18">
    <w:abstractNumId w:val="4"/>
  </w:num>
  <w:num w:numId="19">
    <w:abstractNumId w:val="13"/>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D0"/>
    <w:rsid w:val="00014C79"/>
    <w:rsid w:val="00091AF0"/>
    <w:rsid w:val="00106B54"/>
    <w:rsid w:val="002404C2"/>
    <w:rsid w:val="003C6A29"/>
    <w:rsid w:val="003C7318"/>
    <w:rsid w:val="004012CC"/>
    <w:rsid w:val="005670C4"/>
    <w:rsid w:val="005F072E"/>
    <w:rsid w:val="00630C58"/>
    <w:rsid w:val="006E2661"/>
    <w:rsid w:val="007044CD"/>
    <w:rsid w:val="00756BF8"/>
    <w:rsid w:val="008F206A"/>
    <w:rsid w:val="009144CB"/>
    <w:rsid w:val="00935778"/>
    <w:rsid w:val="009E28D0"/>
    <w:rsid w:val="00A6477C"/>
    <w:rsid w:val="00B7049E"/>
    <w:rsid w:val="00BD3220"/>
    <w:rsid w:val="00C20F38"/>
    <w:rsid w:val="00C43C74"/>
    <w:rsid w:val="00D82EA8"/>
    <w:rsid w:val="00D93DD2"/>
    <w:rsid w:val="00DB5092"/>
    <w:rsid w:val="00E04413"/>
    <w:rsid w:val="00E61358"/>
    <w:rsid w:val="00E76690"/>
    <w:rsid w:val="00E96181"/>
    <w:rsid w:val="00E96674"/>
    <w:rsid w:val="00EE65C1"/>
    <w:rsid w:val="00F17CE5"/>
    <w:rsid w:val="00F40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9A5CA"/>
  <w15:docId w15:val="{2609BB64-A8E1-1247-B88E-25E16335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986"/>
    <w:rPr>
      <w:rFonts w:ascii="Arial" w:hAnsi="Arial"/>
      <w:szCs w:val="24"/>
    </w:rPr>
  </w:style>
  <w:style w:type="paragraph" w:styleId="Heading1">
    <w:name w:val="heading 1"/>
    <w:basedOn w:val="Normal"/>
    <w:next w:val="Normal"/>
    <w:link w:val="Heading1Char"/>
    <w:autoRedefine/>
    <w:uiPriority w:val="99"/>
    <w:qFormat/>
    <w:rsid w:val="00335F99"/>
    <w:pPr>
      <w:widowControl w:val="0"/>
      <w:outlineLvl w:val="0"/>
    </w:pPr>
    <w:rPr>
      <w:rFonts w:eastAsia="Times New Roman" w:cs="Arial"/>
      <w:b/>
      <w:color w:val="000000" w:themeColor="text1"/>
      <w:sz w:val="22"/>
      <w:szCs w:val="22"/>
    </w:rPr>
  </w:style>
  <w:style w:type="paragraph" w:styleId="Heading2">
    <w:name w:val="heading 2"/>
    <w:basedOn w:val="Normal"/>
    <w:next w:val="Normal"/>
    <w:link w:val="Heading2Char"/>
    <w:uiPriority w:val="99"/>
    <w:qFormat/>
    <w:rsid w:val="00443E25"/>
    <w:pPr>
      <w:widowControl w:val="0"/>
      <w:outlineLvl w:val="1"/>
    </w:pPr>
    <w:rPr>
      <w:rFonts w:ascii="CG Times" w:hAnsi="CG Times"/>
      <w:snapToGrid w:val="0"/>
      <w:szCs w:val="20"/>
    </w:rPr>
  </w:style>
  <w:style w:type="paragraph" w:styleId="Heading3">
    <w:name w:val="heading 3"/>
    <w:basedOn w:val="Normal"/>
    <w:next w:val="Normal"/>
    <w:link w:val="Heading3Char"/>
    <w:uiPriority w:val="99"/>
    <w:qFormat/>
    <w:rsid w:val="00443E25"/>
    <w:pPr>
      <w:widowControl w:val="0"/>
      <w:outlineLvl w:val="2"/>
    </w:pPr>
    <w:rPr>
      <w:rFonts w:ascii="CG Times" w:hAnsi="CG Times"/>
      <w:snapToGrid w:val="0"/>
      <w:szCs w:val="20"/>
    </w:rPr>
  </w:style>
  <w:style w:type="paragraph" w:styleId="Heading4">
    <w:name w:val="heading 4"/>
    <w:basedOn w:val="Normal"/>
    <w:next w:val="Normal"/>
    <w:link w:val="Heading4Char"/>
    <w:uiPriority w:val="99"/>
    <w:qFormat/>
    <w:rsid w:val="00443E25"/>
    <w:pPr>
      <w:widowControl w:val="0"/>
      <w:outlineLvl w:val="3"/>
    </w:pPr>
    <w:rPr>
      <w:rFonts w:ascii="CG Times" w:hAnsi="CG Times"/>
      <w:snapToGrid w:val="0"/>
      <w:szCs w:val="20"/>
    </w:rPr>
  </w:style>
  <w:style w:type="paragraph" w:styleId="Heading5">
    <w:name w:val="heading 5"/>
    <w:basedOn w:val="Normal"/>
    <w:next w:val="Normal"/>
    <w:link w:val="Heading5Char"/>
    <w:uiPriority w:val="99"/>
    <w:qFormat/>
    <w:rsid w:val="00443E25"/>
    <w:pPr>
      <w:widowControl w:val="0"/>
      <w:outlineLvl w:val="4"/>
    </w:pPr>
    <w:rPr>
      <w:rFonts w:ascii="CG Times" w:hAnsi="CG Times"/>
      <w:snapToGrid w:val="0"/>
      <w:szCs w:val="20"/>
    </w:rPr>
  </w:style>
  <w:style w:type="paragraph" w:styleId="Heading6">
    <w:name w:val="heading 6"/>
    <w:basedOn w:val="Normal"/>
    <w:next w:val="Normal"/>
    <w:link w:val="Heading6Char"/>
    <w:uiPriority w:val="99"/>
    <w:qFormat/>
    <w:rsid w:val="00443E25"/>
    <w:pPr>
      <w:widowControl w:val="0"/>
      <w:outlineLvl w:val="5"/>
    </w:pPr>
    <w:rPr>
      <w:rFonts w:ascii="CG Times" w:hAnsi="CG Times"/>
      <w:snapToGrid w:val="0"/>
      <w:szCs w:val="20"/>
    </w:rPr>
  </w:style>
  <w:style w:type="paragraph" w:styleId="Heading7">
    <w:name w:val="heading 7"/>
    <w:basedOn w:val="Normal"/>
    <w:next w:val="Normal"/>
    <w:link w:val="Heading7Char"/>
    <w:uiPriority w:val="99"/>
    <w:qFormat/>
    <w:rsid w:val="00443E25"/>
    <w:pPr>
      <w:widowControl w:val="0"/>
      <w:outlineLvl w:val="6"/>
    </w:pPr>
    <w:rPr>
      <w:rFonts w:ascii="CG Times" w:hAnsi="CG Times"/>
      <w:snapToGrid w:val="0"/>
      <w:szCs w:val="20"/>
    </w:rPr>
  </w:style>
  <w:style w:type="paragraph" w:styleId="Heading8">
    <w:name w:val="heading 8"/>
    <w:basedOn w:val="Normal"/>
    <w:next w:val="Normal"/>
    <w:link w:val="Heading8Char"/>
    <w:uiPriority w:val="99"/>
    <w:qFormat/>
    <w:rsid w:val="00443E25"/>
    <w:pPr>
      <w:widowControl w:val="0"/>
      <w:outlineLvl w:val="7"/>
    </w:pPr>
    <w:rPr>
      <w:rFonts w:ascii="CG Times" w:hAnsi="CG Times"/>
      <w:snapToGrid w:val="0"/>
      <w:szCs w:val="20"/>
    </w:rPr>
  </w:style>
  <w:style w:type="paragraph" w:styleId="Heading9">
    <w:name w:val="heading 9"/>
    <w:basedOn w:val="Normal"/>
    <w:next w:val="Normal"/>
    <w:link w:val="Heading9Char"/>
    <w:uiPriority w:val="99"/>
    <w:qFormat/>
    <w:rsid w:val="00443E25"/>
    <w:pPr>
      <w:keepNext/>
      <w:widowControl w:val="0"/>
      <w:tabs>
        <w:tab w:val="left" w:pos="-748"/>
        <w:tab w:val="left" w:pos="-273"/>
        <w:tab w:val="left" w:pos="-28"/>
        <w:tab w:val="left" w:pos="692"/>
        <w:tab w:val="left" w:pos="1412"/>
        <w:tab w:val="left" w:pos="2132"/>
        <w:tab w:val="left" w:pos="2852"/>
      </w:tabs>
      <w:suppressAutoHyphens/>
      <w:spacing w:after="28"/>
      <w:ind w:right="62"/>
      <w:jc w:val="both"/>
      <w:outlineLvl w:val="8"/>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5F99"/>
    <w:rPr>
      <w:rFonts w:ascii="Arial" w:eastAsia="Times New Roman" w:hAnsi="Arial" w:cs="Arial"/>
      <w:b/>
      <w:color w:val="000000" w:themeColor="text1"/>
      <w:sz w:val="22"/>
      <w:szCs w:val="22"/>
    </w:rPr>
  </w:style>
  <w:style w:type="character" w:customStyle="1" w:styleId="Heading2Char">
    <w:name w:val="Heading 2 Char"/>
    <w:link w:val="Heading2"/>
    <w:uiPriority w:val="99"/>
    <w:locked/>
    <w:rsid w:val="00443E25"/>
    <w:rPr>
      <w:rFonts w:ascii="CG Times" w:hAnsi="CG Times" w:cs="Times New Roman"/>
      <w:snapToGrid w:val="0"/>
      <w:sz w:val="20"/>
      <w:szCs w:val="20"/>
    </w:rPr>
  </w:style>
  <w:style w:type="character" w:customStyle="1" w:styleId="Heading3Char">
    <w:name w:val="Heading 3 Char"/>
    <w:link w:val="Heading3"/>
    <w:uiPriority w:val="99"/>
    <w:locked/>
    <w:rsid w:val="00443E25"/>
    <w:rPr>
      <w:rFonts w:ascii="CG Times" w:hAnsi="CG Times" w:cs="Times New Roman"/>
      <w:snapToGrid w:val="0"/>
      <w:sz w:val="20"/>
      <w:szCs w:val="20"/>
    </w:rPr>
  </w:style>
  <w:style w:type="character" w:customStyle="1" w:styleId="Heading4Char">
    <w:name w:val="Heading 4 Char"/>
    <w:link w:val="Heading4"/>
    <w:uiPriority w:val="99"/>
    <w:locked/>
    <w:rsid w:val="00443E25"/>
    <w:rPr>
      <w:rFonts w:ascii="CG Times" w:hAnsi="CG Times" w:cs="Times New Roman"/>
      <w:snapToGrid w:val="0"/>
      <w:sz w:val="20"/>
      <w:szCs w:val="20"/>
    </w:rPr>
  </w:style>
  <w:style w:type="character" w:customStyle="1" w:styleId="Heading5Char">
    <w:name w:val="Heading 5 Char"/>
    <w:link w:val="Heading5"/>
    <w:uiPriority w:val="99"/>
    <w:locked/>
    <w:rsid w:val="00443E25"/>
    <w:rPr>
      <w:rFonts w:ascii="CG Times" w:hAnsi="CG Times" w:cs="Times New Roman"/>
      <w:snapToGrid w:val="0"/>
      <w:sz w:val="20"/>
      <w:szCs w:val="20"/>
    </w:rPr>
  </w:style>
  <w:style w:type="character" w:customStyle="1" w:styleId="Heading6Char">
    <w:name w:val="Heading 6 Char"/>
    <w:link w:val="Heading6"/>
    <w:uiPriority w:val="99"/>
    <w:locked/>
    <w:rsid w:val="00443E25"/>
    <w:rPr>
      <w:rFonts w:ascii="CG Times" w:hAnsi="CG Times" w:cs="Times New Roman"/>
      <w:snapToGrid w:val="0"/>
      <w:sz w:val="20"/>
      <w:szCs w:val="20"/>
    </w:rPr>
  </w:style>
  <w:style w:type="character" w:customStyle="1" w:styleId="Heading7Char">
    <w:name w:val="Heading 7 Char"/>
    <w:link w:val="Heading7"/>
    <w:uiPriority w:val="99"/>
    <w:locked/>
    <w:rsid w:val="00443E25"/>
    <w:rPr>
      <w:rFonts w:ascii="CG Times" w:hAnsi="CG Times" w:cs="Times New Roman"/>
      <w:snapToGrid w:val="0"/>
      <w:sz w:val="20"/>
      <w:szCs w:val="20"/>
    </w:rPr>
  </w:style>
  <w:style w:type="character" w:customStyle="1" w:styleId="Heading8Char">
    <w:name w:val="Heading 8 Char"/>
    <w:link w:val="Heading8"/>
    <w:uiPriority w:val="99"/>
    <w:locked/>
    <w:rsid w:val="00443E25"/>
    <w:rPr>
      <w:rFonts w:ascii="CG Times" w:hAnsi="CG Times" w:cs="Times New Roman"/>
      <w:snapToGrid w:val="0"/>
      <w:sz w:val="20"/>
      <w:szCs w:val="20"/>
    </w:rPr>
  </w:style>
  <w:style w:type="character" w:customStyle="1" w:styleId="Heading9Char">
    <w:name w:val="Heading 9 Char"/>
    <w:link w:val="Heading9"/>
    <w:uiPriority w:val="99"/>
    <w:locked/>
    <w:rsid w:val="00443E25"/>
    <w:rPr>
      <w:rFonts w:ascii="CG Times" w:hAnsi="CG Times" w:cs="Times New Roman"/>
      <w:b/>
      <w:snapToGrid w:val="0"/>
      <w:spacing w:val="-3"/>
      <w:sz w:val="20"/>
      <w:szCs w:val="20"/>
    </w:rPr>
  </w:style>
  <w:style w:type="paragraph" w:styleId="NormalWeb">
    <w:name w:val="Normal (Web)"/>
    <w:basedOn w:val="Normal"/>
    <w:uiPriority w:val="99"/>
    <w:rsid w:val="00FF6AE6"/>
    <w:pPr>
      <w:spacing w:beforeLines="1" w:afterLines="1"/>
    </w:pPr>
    <w:rPr>
      <w:rFonts w:ascii="Times" w:hAnsi="Times"/>
      <w:szCs w:val="20"/>
    </w:rPr>
  </w:style>
  <w:style w:type="paragraph" w:styleId="Header">
    <w:name w:val="header"/>
    <w:basedOn w:val="Normal"/>
    <w:link w:val="HeaderChar"/>
    <w:rsid w:val="00335F99"/>
    <w:pPr>
      <w:tabs>
        <w:tab w:val="center" w:pos="4320"/>
        <w:tab w:val="right" w:pos="8640"/>
      </w:tabs>
      <w:jc w:val="center"/>
    </w:pPr>
    <w:rPr>
      <w:b/>
      <w:sz w:val="36"/>
      <w:szCs w:val="20"/>
    </w:rPr>
  </w:style>
  <w:style w:type="character" w:customStyle="1" w:styleId="HeaderChar">
    <w:name w:val="Header Char"/>
    <w:link w:val="Header"/>
    <w:locked/>
    <w:rsid w:val="00335F99"/>
    <w:rPr>
      <w:rFonts w:ascii="Arial" w:hAnsi="Arial"/>
      <w:b/>
      <w:sz w:val="36"/>
    </w:rPr>
  </w:style>
  <w:style w:type="paragraph" w:styleId="Footer">
    <w:name w:val="footer"/>
    <w:basedOn w:val="Normal"/>
    <w:link w:val="FooterChar"/>
    <w:uiPriority w:val="99"/>
    <w:rsid w:val="00FA1AEB"/>
    <w:pPr>
      <w:tabs>
        <w:tab w:val="center" w:pos="4320"/>
        <w:tab w:val="right" w:pos="8640"/>
      </w:tabs>
    </w:pPr>
    <w:rPr>
      <w:szCs w:val="20"/>
    </w:rPr>
  </w:style>
  <w:style w:type="character" w:customStyle="1" w:styleId="FooterChar">
    <w:name w:val="Footer Char"/>
    <w:link w:val="Footer"/>
    <w:uiPriority w:val="99"/>
    <w:semiHidden/>
    <w:locked/>
    <w:rsid w:val="00FA1AEB"/>
    <w:rPr>
      <w:rFonts w:cs="Times New Roman"/>
    </w:rPr>
  </w:style>
  <w:style w:type="character" w:styleId="Hyperlink">
    <w:name w:val="Hyperlink"/>
    <w:uiPriority w:val="99"/>
    <w:rsid w:val="00FA1AEB"/>
    <w:rPr>
      <w:rFonts w:cs="Times New Roman"/>
      <w:color w:val="0000FF"/>
      <w:u w:val="single"/>
    </w:rPr>
  </w:style>
  <w:style w:type="paragraph" w:customStyle="1" w:styleId="MediumGrid1-Accent21">
    <w:name w:val="Medium Grid 1 - Accent 21"/>
    <w:basedOn w:val="Normal"/>
    <w:uiPriority w:val="99"/>
    <w:qFormat/>
    <w:rsid w:val="002743D8"/>
    <w:pPr>
      <w:ind w:left="720"/>
      <w:contextualSpacing/>
    </w:pPr>
  </w:style>
  <w:style w:type="character" w:styleId="Strong">
    <w:name w:val="Strong"/>
    <w:uiPriority w:val="99"/>
    <w:qFormat/>
    <w:rsid w:val="003B0B38"/>
    <w:rPr>
      <w:rFonts w:cs="Times New Roman"/>
      <w:b/>
    </w:rPr>
  </w:style>
  <w:style w:type="character" w:styleId="Emphasis">
    <w:name w:val="Emphasis"/>
    <w:uiPriority w:val="99"/>
    <w:qFormat/>
    <w:rsid w:val="003B0B38"/>
    <w:rPr>
      <w:rFonts w:cs="Times New Roman"/>
      <w:i/>
    </w:rPr>
  </w:style>
  <w:style w:type="character" w:styleId="FollowedHyperlink">
    <w:name w:val="FollowedHyperlink"/>
    <w:uiPriority w:val="99"/>
    <w:rsid w:val="00761C26"/>
    <w:rPr>
      <w:rFonts w:cs="Times New Roman"/>
      <w:color w:val="800080"/>
      <w:u w:val="single"/>
    </w:rPr>
  </w:style>
  <w:style w:type="paragraph" w:styleId="EndnoteText">
    <w:name w:val="endnote text"/>
    <w:basedOn w:val="Normal"/>
    <w:link w:val="EndnoteTextChar"/>
    <w:uiPriority w:val="99"/>
    <w:rsid w:val="00443E25"/>
    <w:pPr>
      <w:widowControl w:val="0"/>
    </w:pPr>
    <w:rPr>
      <w:rFonts w:ascii="CG Times" w:hAnsi="CG Times"/>
      <w:snapToGrid w:val="0"/>
      <w:szCs w:val="20"/>
    </w:rPr>
  </w:style>
  <w:style w:type="character" w:customStyle="1" w:styleId="EndnoteTextChar">
    <w:name w:val="Endnote Text Char"/>
    <w:link w:val="EndnoteText"/>
    <w:uiPriority w:val="99"/>
    <w:locked/>
    <w:rsid w:val="00443E25"/>
    <w:rPr>
      <w:rFonts w:ascii="CG Times" w:hAnsi="CG Times" w:cs="Times New Roman"/>
      <w:snapToGrid w:val="0"/>
      <w:sz w:val="20"/>
      <w:szCs w:val="20"/>
    </w:rPr>
  </w:style>
  <w:style w:type="character" w:styleId="EndnoteReference">
    <w:name w:val="endnote reference"/>
    <w:uiPriority w:val="99"/>
    <w:rsid w:val="00443E25"/>
    <w:rPr>
      <w:rFonts w:cs="Times New Roman"/>
      <w:vertAlign w:val="superscript"/>
    </w:rPr>
  </w:style>
  <w:style w:type="paragraph" w:styleId="FootnoteText">
    <w:name w:val="footnote text"/>
    <w:basedOn w:val="Normal"/>
    <w:link w:val="FootnoteTextChar"/>
    <w:uiPriority w:val="99"/>
    <w:rsid w:val="00443E25"/>
    <w:pPr>
      <w:widowControl w:val="0"/>
    </w:pPr>
    <w:rPr>
      <w:rFonts w:ascii="CG Times" w:hAnsi="CG Times"/>
      <w:snapToGrid w:val="0"/>
      <w:szCs w:val="20"/>
    </w:rPr>
  </w:style>
  <w:style w:type="character" w:customStyle="1" w:styleId="FootnoteTextChar">
    <w:name w:val="Footnote Text Char"/>
    <w:link w:val="FootnoteText"/>
    <w:uiPriority w:val="99"/>
    <w:locked/>
    <w:rsid w:val="00443E25"/>
    <w:rPr>
      <w:rFonts w:ascii="CG Times" w:hAnsi="CG Times" w:cs="Times New Roman"/>
      <w:snapToGrid w:val="0"/>
      <w:sz w:val="20"/>
      <w:szCs w:val="20"/>
    </w:rPr>
  </w:style>
  <w:style w:type="character" w:styleId="FootnoteReference">
    <w:name w:val="footnote reference"/>
    <w:uiPriority w:val="99"/>
    <w:rsid w:val="00443E25"/>
    <w:rPr>
      <w:rFonts w:cs="Times New Roman"/>
      <w:vertAlign w:val="superscript"/>
    </w:rPr>
  </w:style>
  <w:style w:type="paragraph" w:styleId="TOC1">
    <w:name w:val="toc 1"/>
    <w:basedOn w:val="Normal"/>
    <w:next w:val="Normal"/>
    <w:autoRedefine/>
    <w:uiPriority w:val="39"/>
    <w:rsid w:val="00C65D5F"/>
    <w:pPr>
      <w:tabs>
        <w:tab w:val="right" w:leader="dot" w:pos="9998"/>
      </w:tabs>
      <w:spacing w:before="20" w:after="20"/>
    </w:pPr>
    <w:rPr>
      <w:b/>
      <w:color w:val="000000"/>
    </w:rPr>
  </w:style>
  <w:style w:type="paragraph" w:styleId="CommentSubject">
    <w:name w:val="annotation subject"/>
    <w:basedOn w:val="CommentText"/>
    <w:next w:val="CommentText"/>
    <w:link w:val="CommentSubjectChar"/>
    <w:rsid w:val="00012F57"/>
    <w:pPr>
      <w:widowControl/>
    </w:pPr>
    <w:rPr>
      <w:rFonts w:ascii="Arial" w:hAnsi="Arial"/>
      <w:b/>
      <w:bCs/>
      <w:snapToGrid/>
    </w:rPr>
  </w:style>
  <w:style w:type="paragraph" w:styleId="TOC3">
    <w:name w:val="toc 3"/>
    <w:basedOn w:val="Normal"/>
    <w:next w:val="Normal"/>
    <w:autoRedefine/>
    <w:uiPriority w:val="39"/>
    <w:rsid w:val="00443E25"/>
    <w:pPr>
      <w:ind w:left="240"/>
    </w:pPr>
    <w:rPr>
      <w:rFonts w:ascii="Cambria" w:hAnsi="Cambria"/>
      <w:i/>
      <w:sz w:val="22"/>
      <w:szCs w:val="22"/>
    </w:rPr>
  </w:style>
  <w:style w:type="paragraph" w:styleId="TOC4">
    <w:name w:val="toc 4"/>
    <w:basedOn w:val="Normal"/>
    <w:next w:val="Normal"/>
    <w:autoRedefine/>
    <w:uiPriority w:val="39"/>
    <w:rsid w:val="00443E25"/>
    <w:pPr>
      <w:pBdr>
        <w:between w:val="double" w:sz="6" w:space="0" w:color="auto"/>
      </w:pBdr>
      <w:ind w:left="480"/>
    </w:pPr>
    <w:rPr>
      <w:rFonts w:ascii="Cambria" w:hAnsi="Cambria"/>
      <w:szCs w:val="20"/>
    </w:rPr>
  </w:style>
  <w:style w:type="paragraph" w:styleId="TOC5">
    <w:name w:val="toc 5"/>
    <w:basedOn w:val="Normal"/>
    <w:next w:val="Normal"/>
    <w:autoRedefine/>
    <w:uiPriority w:val="39"/>
    <w:rsid w:val="00443E25"/>
    <w:pPr>
      <w:pBdr>
        <w:between w:val="double" w:sz="6" w:space="0" w:color="auto"/>
      </w:pBdr>
      <w:ind w:left="720"/>
    </w:pPr>
    <w:rPr>
      <w:rFonts w:ascii="Cambria" w:hAnsi="Cambria"/>
      <w:szCs w:val="20"/>
    </w:rPr>
  </w:style>
  <w:style w:type="paragraph" w:styleId="TOC6">
    <w:name w:val="toc 6"/>
    <w:basedOn w:val="Normal"/>
    <w:next w:val="Normal"/>
    <w:autoRedefine/>
    <w:uiPriority w:val="39"/>
    <w:rsid w:val="00443E25"/>
    <w:pPr>
      <w:pBdr>
        <w:between w:val="double" w:sz="6" w:space="0" w:color="auto"/>
      </w:pBdr>
      <w:ind w:left="960"/>
    </w:pPr>
    <w:rPr>
      <w:rFonts w:ascii="Cambria" w:hAnsi="Cambria"/>
      <w:szCs w:val="20"/>
    </w:rPr>
  </w:style>
  <w:style w:type="paragraph" w:styleId="TOC7">
    <w:name w:val="toc 7"/>
    <w:basedOn w:val="Normal"/>
    <w:next w:val="Normal"/>
    <w:autoRedefine/>
    <w:uiPriority w:val="39"/>
    <w:rsid w:val="00443E25"/>
    <w:pPr>
      <w:pBdr>
        <w:between w:val="double" w:sz="6" w:space="0" w:color="auto"/>
      </w:pBdr>
      <w:ind w:left="1200"/>
    </w:pPr>
    <w:rPr>
      <w:rFonts w:ascii="Cambria" w:hAnsi="Cambria"/>
      <w:szCs w:val="20"/>
    </w:rPr>
  </w:style>
  <w:style w:type="paragraph" w:styleId="TOC8">
    <w:name w:val="toc 8"/>
    <w:basedOn w:val="Normal"/>
    <w:next w:val="Normal"/>
    <w:autoRedefine/>
    <w:uiPriority w:val="39"/>
    <w:rsid w:val="00443E25"/>
    <w:pPr>
      <w:pBdr>
        <w:between w:val="double" w:sz="6" w:space="0" w:color="auto"/>
      </w:pBdr>
      <w:ind w:left="1440"/>
    </w:pPr>
    <w:rPr>
      <w:rFonts w:ascii="Cambria" w:hAnsi="Cambria"/>
      <w:szCs w:val="20"/>
    </w:rPr>
  </w:style>
  <w:style w:type="paragraph" w:styleId="TOC9">
    <w:name w:val="toc 9"/>
    <w:basedOn w:val="Normal"/>
    <w:next w:val="Normal"/>
    <w:autoRedefine/>
    <w:uiPriority w:val="39"/>
    <w:rsid w:val="00443E25"/>
    <w:pPr>
      <w:pBdr>
        <w:between w:val="double" w:sz="6" w:space="0" w:color="auto"/>
      </w:pBdr>
      <w:ind w:left="1680"/>
    </w:pPr>
    <w:rPr>
      <w:rFonts w:ascii="Cambria" w:hAnsi="Cambria"/>
      <w:szCs w:val="20"/>
    </w:rPr>
  </w:style>
  <w:style w:type="paragraph" w:styleId="Index1">
    <w:name w:val="index 1"/>
    <w:basedOn w:val="Normal"/>
    <w:next w:val="Normal"/>
    <w:autoRedefine/>
    <w:uiPriority w:val="99"/>
    <w:rsid w:val="00443E25"/>
    <w:pPr>
      <w:widowControl w:val="0"/>
      <w:tabs>
        <w:tab w:val="right" w:leader="dot" w:pos="9360"/>
      </w:tabs>
      <w:suppressAutoHyphens/>
      <w:ind w:left="1440" w:right="720" w:hanging="1440"/>
    </w:pPr>
    <w:rPr>
      <w:rFonts w:ascii="CG Times" w:eastAsia="Times New Roman" w:hAnsi="CG Times"/>
      <w:sz w:val="16"/>
      <w:szCs w:val="20"/>
    </w:rPr>
  </w:style>
  <w:style w:type="paragraph" w:styleId="Index2">
    <w:name w:val="index 2"/>
    <w:basedOn w:val="Normal"/>
    <w:next w:val="Normal"/>
    <w:autoRedefine/>
    <w:uiPriority w:val="99"/>
    <w:rsid w:val="00443E25"/>
    <w:pPr>
      <w:widowControl w:val="0"/>
      <w:tabs>
        <w:tab w:val="right" w:leader="dot" w:pos="9360"/>
      </w:tabs>
      <w:suppressAutoHyphens/>
      <w:ind w:left="1440" w:right="720" w:hanging="720"/>
    </w:pPr>
    <w:rPr>
      <w:rFonts w:ascii="CG Times" w:eastAsia="Times New Roman" w:hAnsi="CG Times"/>
      <w:sz w:val="16"/>
      <w:szCs w:val="20"/>
    </w:rPr>
  </w:style>
  <w:style w:type="paragraph" w:styleId="TOAHeading">
    <w:name w:val="toa heading"/>
    <w:basedOn w:val="Normal"/>
    <w:next w:val="Normal"/>
    <w:uiPriority w:val="99"/>
    <w:rsid w:val="00443E25"/>
    <w:pPr>
      <w:widowControl w:val="0"/>
      <w:tabs>
        <w:tab w:val="right" w:pos="9360"/>
      </w:tabs>
      <w:suppressAutoHyphens/>
    </w:pPr>
    <w:rPr>
      <w:rFonts w:ascii="CG Times" w:eastAsia="Times New Roman" w:hAnsi="CG Times"/>
      <w:sz w:val="16"/>
      <w:szCs w:val="20"/>
    </w:rPr>
  </w:style>
  <w:style w:type="paragraph" w:styleId="Caption">
    <w:name w:val="caption"/>
    <w:basedOn w:val="Normal"/>
    <w:next w:val="Normal"/>
    <w:uiPriority w:val="99"/>
    <w:qFormat/>
    <w:rsid w:val="00443E25"/>
    <w:pPr>
      <w:widowControl w:val="0"/>
    </w:pPr>
    <w:rPr>
      <w:rFonts w:ascii="CG Times" w:eastAsia="Times New Roman" w:hAnsi="CG Times"/>
      <w:szCs w:val="20"/>
    </w:rPr>
  </w:style>
  <w:style w:type="character" w:customStyle="1" w:styleId="EquationCaption">
    <w:name w:val="_Equation Caption"/>
    <w:uiPriority w:val="99"/>
    <w:rsid w:val="00443E25"/>
  </w:style>
  <w:style w:type="paragraph" w:styleId="BodyText">
    <w:name w:val="Body Text"/>
    <w:basedOn w:val="Normal"/>
    <w:link w:val="BodyTextChar"/>
    <w:uiPriority w:val="99"/>
    <w:rsid w:val="00443E25"/>
    <w:pPr>
      <w:widowControl w:val="0"/>
    </w:pPr>
    <w:rPr>
      <w:rFonts w:ascii="CG Times" w:hAnsi="CG Times"/>
      <w:snapToGrid w:val="0"/>
      <w:szCs w:val="20"/>
    </w:rPr>
  </w:style>
  <w:style w:type="character" w:customStyle="1" w:styleId="BodyTextChar">
    <w:name w:val="Body Text Char"/>
    <w:link w:val="BodyText"/>
    <w:uiPriority w:val="99"/>
    <w:locked/>
    <w:rsid w:val="00443E25"/>
    <w:rPr>
      <w:rFonts w:ascii="CG Times" w:hAnsi="CG Times" w:cs="Times New Roman"/>
      <w:snapToGrid w:val="0"/>
      <w:sz w:val="20"/>
      <w:szCs w:val="20"/>
    </w:rPr>
  </w:style>
  <w:style w:type="character" w:styleId="CommentReference">
    <w:name w:val="annotation reference"/>
    <w:uiPriority w:val="99"/>
    <w:rsid w:val="00443E25"/>
    <w:rPr>
      <w:rFonts w:cs="Times New Roman"/>
      <w:sz w:val="16"/>
    </w:rPr>
  </w:style>
  <w:style w:type="paragraph" w:styleId="CommentText">
    <w:name w:val="annotation text"/>
    <w:basedOn w:val="Normal"/>
    <w:link w:val="CommentTextChar"/>
    <w:uiPriority w:val="99"/>
    <w:rsid w:val="00443E25"/>
    <w:pPr>
      <w:widowControl w:val="0"/>
    </w:pPr>
    <w:rPr>
      <w:rFonts w:ascii="CG Times" w:hAnsi="CG Times"/>
      <w:snapToGrid w:val="0"/>
      <w:szCs w:val="20"/>
    </w:rPr>
  </w:style>
  <w:style w:type="character" w:customStyle="1" w:styleId="CommentTextChar">
    <w:name w:val="Comment Text Char"/>
    <w:link w:val="CommentText"/>
    <w:uiPriority w:val="99"/>
    <w:locked/>
    <w:rsid w:val="00443E25"/>
    <w:rPr>
      <w:rFonts w:ascii="CG Times" w:hAnsi="CG Times" w:cs="Times New Roman"/>
      <w:snapToGrid w:val="0"/>
      <w:sz w:val="20"/>
      <w:szCs w:val="20"/>
    </w:rPr>
  </w:style>
  <w:style w:type="paragraph" w:customStyle="1" w:styleId="NumContinue">
    <w:name w:val="Num Continue"/>
    <w:basedOn w:val="BodyText"/>
    <w:uiPriority w:val="99"/>
    <w:rsid w:val="00443E25"/>
    <w:pPr>
      <w:tabs>
        <w:tab w:val="left" w:pos="-9559"/>
        <w:tab w:val="left" w:pos="-9175"/>
        <w:tab w:val="left" w:pos="-8851"/>
        <w:tab w:val="left" w:pos="-8527"/>
        <w:tab w:val="left" w:pos="-8131"/>
        <w:tab w:val="left" w:pos="-7555"/>
        <w:tab w:val="left" w:pos="-5575"/>
        <w:tab w:val="left" w:pos="-4855"/>
        <w:tab w:val="left" w:pos="-4135"/>
        <w:tab w:val="left" w:pos="-3415"/>
        <w:tab w:val="left" w:pos="-2695"/>
        <w:tab w:val="left" w:pos="-1975"/>
        <w:tab w:val="left" w:pos="-1255"/>
        <w:tab w:val="left" w:pos="-535"/>
        <w:tab w:val="left" w:pos="505"/>
        <w:tab w:val="left" w:pos="793"/>
        <w:tab w:val="left" w:pos="1625"/>
      </w:tabs>
      <w:suppressAutoHyphens/>
      <w:spacing w:after="240"/>
    </w:pPr>
  </w:style>
  <w:style w:type="paragraph" w:customStyle="1" w:styleId="BylawsL1">
    <w:name w:val="Bylaws_L1"/>
    <w:basedOn w:val="Normal"/>
    <w:next w:val="NumContinue"/>
    <w:uiPriority w:val="99"/>
    <w:rsid w:val="00443E25"/>
    <w:pPr>
      <w:numPr>
        <w:numId w:val="1"/>
      </w:numPr>
      <w:spacing w:after="240"/>
      <w:jc w:val="center"/>
      <w:outlineLvl w:val="0"/>
    </w:pPr>
    <w:rPr>
      <w:rFonts w:ascii="CG Times" w:eastAsia="Times New Roman" w:hAnsi="CG Times"/>
      <w:sz w:val="16"/>
      <w:szCs w:val="20"/>
    </w:rPr>
  </w:style>
  <w:style w:type="paragraph" w:customStyle="1" w:styleId="BylawsL2">
    <w:name w:val="Bylaws_L2"/>
    <w:basedOn w:val="BylawsL1"/>
    <w:next w:val="NumContinue"/>
    <w:uiPriority w:val="99"/>
    <w:rsid w:val="00443E25"/>
    <w:pPr>
      <w:numPr>
        <w:ilvl w:val="1"/>
      </w:numPr>
      <w:jc w:val="left"/>
      <w:outlineLvl w:val="1"/>
    </w:pPr>
  </w:style>
  <w:style w:type="paragraph" w:customStyle="1" w:styleId="BylawsL3">
    <w:name w:val="Bylaws_L3"/>
    <w:basedOn w:val="BylawsL2"/>
    <w:next w:val="NumContinue"/>
    <w:uiPriority w:val="99"/>
    <w:rsid w:val="00443E25"/>
    <w:pPr>
      <w:numPr>
        <w:ilvl w:val="2"/>
      </w:numPr>
      <w:outlineLvl w:val="2"/>
    </w:pPr>
  </w:style>
  <w:style w:type="paragraph" w:customStyle="1" w:styleId="BylawsL4">
    <w:name w:val="Bylaws_L4"/>
    <w:basedOn w:val="BylawsL3"/>
    <w:next w:val="NumContinue"/>
    <w:uiPriority w:val="99"/>
    <w:rsid w:val="00443E25"/>
    <w:pPr>
      <w:numPr>
        <w:ilvl w:val="3"/>
      </w:numPr>
      <w:outlineLvl w:val="3"/>
    </w:pPr>
  </w:style>
  <w:style w:type="paragraph" w:customStyle="1" w:styleId="BylawsL5">
    <w:name w:val="Bylaws_L5"/>
    <w:basedOn w:val="BylawsL4"/>
    <w:next w:val="NumContinue"/>
    <w:uiPriority w:val="99"/>
    <w:rsid w:val="00443E25"/>
    <w:pPr>
      <w:numPr>
        <w:ilvl w:val="4"/>
      </w:numPr>
      <w:outlineLvl w:val="4"/>
    </w:pPr>
  </w:style>
  <w:style w:type="paragraph" w:styleId="BodyText2">
    <w:name w:val="Body Text 2"/>
    <w:basedOn w:val="Normal"/>
    <w:link w:val="BodyText2Char"/>
    <w:uiPriority w:val="99"/>
    <w:rsid w:val="00443E25"/>
    <w:pPr>
      <w:widowControl w:val="0"/>
      <w:tabs>
        <w:tab w:val="left" w:pos="-748"/>
        <w:tab w:val="left" w:pos="-273"/>
        <w:tab w:val="left" w:pos="-28"/>
        <w:tab w:val="left" w:pos="692"/>
        <w:tab w:val="left" w:pos="1412"/>
        <w:tab w:val="left" w:pos="2132"/>
        <w:tab w:val="left" w:pos="2852"/>
      </w:tabs>
      <w:suppressAutoHyphens/>
      <w:spacing w:after="28"/>
      <w:ind w:right="152"/>
    </w:pPr>
    <w:rPr>
      <w:rFonts w:ascii="CG Times" w:hAnsi="CG Times"/>
      <w:snapToGrid w:val="0"/>
      <w:spacing w:val="-3"/>
      <w:szCs w:val="20"/>
    </w:rPr>
  </w:style>
  <w:style w:type="character" w:customStyle="1" w:styleId="BodyText2Char">
    <w:name w:val="Body Text 2 Char"/>
    <w:link w:val="BodyText2"/>
    <w:uiPriority w:val="99"/>
    <w:locked/>
    <w:rsid w:val="00443E25"/>
    <w:rPr>
      <w:rFonts w:ascii="CG Times" w:hAnsi="CG Times" w:cs="Times New Roman"/>
      <w:snapToGrid w:val="0"/>
      <w:spacing w:val="-3"/>
      <w:sz w:val="20"/>
      <w:szCs w:val="20"/>
    </w:rPr>
  </w:style>
  <w:style w:type="paragraph" w:styleId="BodyText3">
    <w:name w:val="Body Text 3"/>
    <w:basedOn w:val="Normal"/>
    <w:link w:val="BodyText3Char"/>
    <w:uiPriority w:val="99"/>
    <w:rsid w:val="00443E25"/>
    <w:pPr>
      <w:widowControl w:val="0"/>
      <w:tabs>
        <w:tab w:val="left" w:pos="-748"/>
        <w:tab w:val="left" w:pos="-273"/>
        <w:tab w:val="left" w:pos="-28"/>
        <w:tab w:val="left" w:pos="692"/>
        <w:tab w:val="left" w:pos="1412"/>
        <w:tab w:val="left" w:pos="2132"/>
        <w:tab w:val="left" w:pos="2852"/>
      </w:tabs>
      <w:suppressAutoHyphens/>
      <w:ind w:right="158"/>
      <w:jc w:val="both"/>
    </w:pPr>
    <w:rPr>
      <w:rFonts w:ascii="CG Times" w:hAnsi="CG Times"/>
      <w:snapToGrid w:val="0"/>
      <w:spacing w:val="-3"/>
      <w:szCs w:val="20"/>
    </w:rPr>
  </w:style>
  <w:style w:type="character" w:customStyle="1" w:styleId="BodyText3Char">
    <w:name w:val="Body Text 3 Char"/>
    <w:link w:val="BodyText3"/>
    <w:uiPriority w:val="99"/>
    <w:locked/>
    <w:rsid w:val="00443E25"/>
    <w:rPr>
      <w:rFonts w:ascii="CG Times" w:hAnsi="CG Times" w:cs="Times New Roman"/>
      <w:snapToGrid w:val="0"/>
      <w:spacing w:val="-3"/>
      <w:sz w:val="20"/>
      <w:szCs w:val="20"/>
    </w:rPr>
  </w:style>
  <w:style w:type="paragraph" w:customStyle="1" w:styleId="StandardL1">
    <w:name w:val="Standard_L1"/>
    <w:basedOn w:val="Normal"/>
    <w:next w:val="Normal"/>
    <w:uiPriority w:val="99"/>
    <w:rsid w:val="00443E25"/>
    <w:pPr>
      <w:numPr>
        <w:numId w:val="2"/>
      </w:numPr>
      <w:outlineLvl w:val="0"/>
    </w:pPr>
    <w:rPr>
      <w:rFonts w:eastAsia="Times New Roman"/>
      <w:szCs w:val="20"/>
    </w:rPr>
  </w:style>
  <w:style w:type="paragraph" w:customStyle="1" w:styleId="StandardL2">
    <w:name w:val="Standard_L2"/>
    <w:basedOn w:val="StandardL1"/>
    <w:next w:val="Normal"/>
    <w:uiPriority w:val="99"/>
    <w:rsid w:val="00443E25"/>
    <w:pPr>
      <w:numPr>
        <w:ilvl w:val="1"/>
      </w:numPr>
      <w:tabs>
        <w:tab w:val="num" w:pos="2160"/>
      </w:tabs>
      <w:ind w:left="1440" w:hanging="720"/>
      <w:outlineLvl w:val="1"/>
    </w:pPr>
  </w:style>
  <w:style w:type="paragraph" w:customStyle="1" w:styleId="StandardL3">
    <w:name w:val="Standard_L3"/>
    <w:basedOn w:val="StandardL2"/>
    <w:next w:val="Normal"/>
    <w:uiPriority w:val="99"/>
    <w:rsid w:val="00443E25"/>
    <w:pPr>
      <w:numPr>
        <w:ilvl w:val="2"/>
      </w:numPr>
      <w:tabs>
        <w:tab w:val="clear" w:pos="2160"/>
      </w:tabs>
      <w:ind w:left="2160"/>
      <w:outlineLvl w:val="2"/>
    </w:pPr>
  </w:style>
  <w:style w:type="paragraph" w:customStyle="1" w:styleId="StandardL4">
    <w:name w:val="Standard_L4"/>
    <w:basedOn w:val="StandardL3"/>
    <w:next w:val="Normal"/>
    <w:uiPriority w:val="99"/>
    <w:rsid w:val="00443E25"/>
    <w:pPr>
      <w:numPr>
        <w:ilvl w:val="3"/>
      </w:numPr>
      <w:ind w:left="2880"/>
      <w:outlineLvl w:val="3"/>
    </w:pPr>
  </w:style>
  <w:style w:type="paragraph" w:customStyle="1" w:styleId="StandardL5">
    <w:name w:val="Standard_L5"/>
    <w:basedOn w:val="StandardL4"/>
    <w:next w:val="Normal"/>
    <w:uiPriority w:val="99"/>
    <w:rsid w:val="00443E25"/>
    <w:pPr>
      <w:numPr>
        <w:ilvl w:val="4"/>
      </w:numPr>
      <w:ind w:left="3600"/>
      <w:outlineLvl w:val="4"/>
    </w:pPr>
  </w:style>
  <w:style w:type="paragraph" w:customStyle="1" w:styleId="StandardL6">
    <w:name w:val="Standard_L6"/>
    <w:basedOn w:val="StandardL5"/>
    <w:next w:val="Normal"/>
    <w:uiPriority w:val="99"/>
    <w:rsid w:val="00443E25"/>
    <w:pPr>
      <w:numPr>
        <w:ilvl w:val="5"/>
      </w:numPr>
      <w:tabs>
        <w:tab w:val="num" w:pos="0"/>
      </w:tabs>
      <w:ind w:left="4320"/>
      <w:outlineLvl w:val="5"/>
    </w:pPr>
  </w:style>
  <w:style w:type="paragraph" w:customStyle="1" w:styleId="StandardL7">
    <w:name w:val="Standard_L7"/>
    <w:basedOn w:val="StandardL6"/>
    <w:next w:val="Normal"/>
    <w:uiPriority w:val="99"/>
    <w:rsid w:val="00443E25"/>
    <w:pPr>
      <w:numPr>
        <w:ilvl w:val="6"/>
      </w:numPr>
      <w:tabs>
        <w:tab w:val="num" w:pos="0"/>
        <w:tab w:val="num" w:pos="4320"/>
      </w:tabs>
      <w:ind w:left="5040"/>
      <w:outlineLvl w:val="6"/>
    </w:pPr>
  </w:style>
  <w:style w:type="paragraph" w:customStyle="1" w:styleId="StandardL8">
    <w:name w:val="Standard_L8"/>
    <w:basedOn w:val="StandardL7"/>
    <w:next w:val="Normal"/>
    <w:uiPriority w:val="99"/>
    <w:rsid w:val="00443E25"/>
    <w:pPr>
      <w:numPr>
        <w:ilvl w:val="7"/>
      </w:numPr>
      <w:tabs>
        <w:tab w:val="num" w:pos="0"/>
        <w:tab w:val="num" w:pos="4320"/>
      </w:tabs>
      <w:ind w:left="5760"/>
      <w:outlineLvl w:val="7"/>
    </w:pPr>
  </w:style>
  <w:style w:type="paragraph" w:customStyle="1" w:styleId="StandardL9">
    <w:name w:val="Standard_L9"/>
    <w:basedOn w:val="StandardL8"/>
    <w:next w:val="Normal"/>
    <w:uiPriority w:val="99"/>
    <w:rsid w:val="00443E25"/>
    <w:pPr>
      <w:numPr>
        <w:ilvl w:val="8"/>
      </w:numPr>
      <w:tabs>
        <w:tab w:val="num" w:pos="0"/>
        <w:tab w:val="num" w:pos="4320"/>
      </w:tabs>
      <w:ind w:left="6480"/>
      <w:outlineLvl w:val="8"/>
    </w:pPr>
  </w:style>
  <w:style w:type="paragraph" w:styleId="BalloonText">
    <w:name w:val="Balloon Text"/>
    <w:basedOn w:val="Normal"/>
    <w:link w:val="BalloonTextChar"/>
    <w:uiPriority w:val="99"/>
    <w:rsid w:val="00443E25"/>
    <w:pPr>
      <w:widowControl w:val="0"/>
    </w:pPr>
    <w:rPr>
      <w:rFonts w:ascii="Tahoma" w:hAnsi="Tahoma"/>
      <w:snapToGrid w:val="0"/>
      <w:sz w:val="16"/>
      <w:szCs w:val="16"/>
    </w:rPr>
  </w:style>
  <w:style w:type="character" w:customStyle="1" w:styleId="BalloonTextChar">
    <w:name w:val="Balloon Text Char"/>
    <w:link w:val="BalloonText"/>
    <w:uiPriority w:val="99"/>
    <w:locked/>
    <w:rsid w:val="00443E25"/>
    <w:rPr>
      <w:rFonts w:ascii="Tahoma" w:hAnsi="Tahoma" w:cs="Tahoma"/>
      <w:snapToGrid w:val="0"/>
      <w:sz w:val="16"/>
      <w:szCs w:val="16"/>
    </w:rPr>
  </w:style>
  <w:style w:type="paragraph" w:customStyle="1" w:styleId="tabletext">
    <w:name w:val="table text"/>
    <w:basedOn w:val="Normal"/>
    <w:uiPriority w:val="99"/>
    <w:rsid w:val="00443E25"/>
    <w:pPr>
      <w:spacing w:line="200" w:lineRule="exact"/>
    </w:pPr>
    <w:rPr>
      <w:rFonts w:eastAsia="Times New Roman"/>
      <w:sz w:val="16"/>
      <w:szCs w:val="16"/>
    </w:rPr>
  </w:style>
  <w:style w:type="paragraph" w:styleId="DocumentMap">
    <w:name w:val="Document Map"/>
    <w:basedOn w:val="Normal"/>
    <w:link w:val="DocumentMapChar"/>
    <w:uiPriority w:val="99"/>
    <w:rsid w:val="00443E25"/>
    <w:pPr>
      <w:widowControl w:val="0"/>
      <w:shd w:val="clear" w:color="auto" w:fill="000080"/>
    </w:pPr>
    <w:rPr>
      <w:rFonts w:ascii="Tahoma" w:hAnsi="Tahoma"/>
      <w:snapToGrid w:val="0"/>
      <w:szCs w:val="20"/>
    </w:rPr>
  </w:style>
  <w:style w:type="character" w:customStyle="1" w:styleId="DocumentMapChar">
    <w:name w:val="Document Map Char"/>
    <w:link w:val="DocumentMap"/>
    <w:uiPriority w:val="99"/>
    <w:locked/>
    <w:rsid w:val="00443E25"/>
    <w:rPr>
      <w:rFonts w:ascii="Tahoma" w:hAnsi="Tahoma" w:cs="Tahoma"/>
      <w:snapToGrid w:val="0"/>
      <w:sz w:val="20"/>
      <w:szCs w:val="20"/>
      <w:shd w:val="clear" w:color="auto" w:fill="000080"/>
    </w:rPr>
  </w:style>
  <w:style w:type="character" w:styleId="PageNumber">
    <w:name w:val="page number"/>
    <w:uiPriority w:val="99"/>
    <w:rsid w:val="00443E25"/>
    <w:rPr>
      <w:rFonts w:cs="Times New Roman"/>
    </w:rPr>
  </w:style>
  <w:style w:type="character" w:customStyle="1" w:styleId="printhistred">
    <w:name w:val="printhistred"/>
    <w:uiPriority w:val="99"/>
    <w:rsid w:val="00D5613A"/>
    <w:rPr>
      <w:rFonts w:cs="Times New Roman"/>
    </w:rPr>
  </w:style>
  <w:style w:type="paragraph" w:styleId="TOCHeading">
    <w:name w:val="TOC Heading"/>
    <w:basedOn w:val="Heading1"/>
    <w:next w:val="Normal"/>
    <w:uiPriority w:val="99"/>
    <w:qFormat/>
    <w:rsid w:val="00A3123C"/>
    <w:pPr>
      <w:keepNext/>
      <w:keepLines/>
      <w:widowControl/>
      <w:spacing w:before="480" w:line="276" w:lineRule="auto"/>
      <w:outlineLvl w:val="9"/>
    </w:pPr>
    <w:rPr>
      <w:rFonts w:ascii="Calibri" w:hAnsi="Calibri"/>
      <w:b w:val="0"/>
      <w:bCs/>
      <w:color w:val="365F91"/>
      <w:sz w:val="28"/>
      <w:szCs w:val="28"/>
    </w:rPr>
  </w:style>
  <w:style w:type="table" w:styleId="TableGrid">
    <w:name w:val="Table Grid"/>
    <w:basedOn w:val="TableNormal"/>
    <w:uiPriority w:val="99"/>
    <w:rsid w:val="00042C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D2CF4"/>
  </w:style>
  <w:style w:type="paragraph" w:styleId="BlockText">
    <w:name w:val="Block Text"/>
    <w:basedOn w:val="Normal"/>
    <w:rsid w:val="00690F1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s>
      <w:spacing w:line="226" w:lineRule="auto"/>
      <w:ind w:left="284" w:right="284"/>
      <w:jc w:val="both"/>
    </w:pPr>
    <w:rPr>
      <w:rFonts w:eastAsia="Times New Roman"/>
      <w:sz w:val="18"/>
      <w:szCs w:val="20"/>
    </w:rPr>
  </w:style>
  <w:style w:type="paragraph" w:customStyle="1" w:styleId="Default">
    <w:name w:val="Default"/>
    <w:rsid w:val="00B358D9"/>
    <w:pPr>
      <w:widowControl w:val="0"/>
      <w:autoSpaceDE w:val="0"/>
      <w:autoSpaceDN w:val="0"/>
      <w:adjustRightInd w:val="0"/>
    </w:pPr>
    <w:rPr>
      <w:rFonts w:ascii="Times New Roman" w:eastAsia="Times New Roman" w:hAnsi="Times New Roman"/>
      <w:color w:val="000000"/>
      <w:sz w:val="24"/>
      <w:szCs w:val="24"/>
    </w:rPr>
  </w:style>
  <w:style w:type="paragraph" w:customStyle="1" w:styleId="Body-1">
    <w:name w:val="Body-1"/>
    <w:basedOn w:val="BodyText"/>
    <w:rsid w:val="00564240"/>
    <w:rPr>
      <w:rFonts w:ascii="Times New Roman" w:hAnsi="Times New Roman"/>
    </w:rPr>
  </w:style>
  <w:style w:type="paragraph" w:customStyle="1" w:styleId="IAReview">
    <w:name w:val="IAReview"/>
    <w:basedOn w:val="Normal"/>
    <w:rsid w:val="00DC6F01"/>
    <w:pPr>
      <w:jc w:val="both"/>
    </w:pPr>
    <w:rPr>
      <w:rFonts w:eastAsia="Calibri"/>
    </w:rPr>
  </w:style>
  <w:style w:type="character" w:customStyle="1" w:styleId="apple-converted-space">
    <w:name w:val="apple-converted-space"/>
    <w:basedOn w:val="DefaultParagraphFont"/>
    <w:rsid w:val="005C1263"/>
  </w:style>
  <w:style w:type="paragraph" w:customStyle="1" w:styleId="ADVSubheading">
    <w:name w:val="ADV_Subheading"/>
    <w:basedOn w:val="Heading2"/>
    <w:next w:val="Normal"/>
    <w:autoRedefine/>
    <w:qFormat/>
    <w:rsid w:val="00796698"/>
    <w:pPr>
      <w:tabs>
        <w:tab w:val="left" w:pos="-748"/>
        <w:tab w:val="left" w:pos="-273"/>
        <w:tab w:val="left" w:pos="-28"/>
        <w:tab w:val="left" w:pos="692"/>
        <w:tab w:val="left" w:pos="1412"/>
        <w:tab w:val="left" w:pos="2132"/>
        <w:tab w:val="left" w:pos="2852"/>
      </w:tabs>
      <w:suppressAutoHyphens/>
      <w:spacing w:after="60"/>
    </w:pPr>
    <w:rPr>
      <w:rFonts w:ascii="Arial" w:hAnsi="Arial"/>
      <w:b/>
    </w:rPr>
  </w:style>
  <w:style w:type="paragraph" w:customStyle="1" w:styleId="ADVSectionHeader">
    <w:name w:val="ADV_SectionHeader"/>
    <w:basedOn w:val="Normal"/>
    <w:next w:val="Normal"/>
    <w:autoRedefine/>
    <w:qFormat/>
    <w:rsid w:val="00D775B9"/>
    <w:pPr>
      <w:tabs>
        <w:tab w:val="left" w:pos="-748"/>
        <w:tab w:val="left" w:pos="-273"/>
        <w:tab w:val="left" w:pos="-28"/>
        <w:tab w:val="left" w:pos="692"/>
        <w:tab w:val="left" w:pos="1412"/>
        <w:tab w:val="left" w:pos="2132"/>
        <w:tab w:val="left" w:pos="2852"/>
      </w:tabs>
      <w:suppressAutoHyphens/>
      <w:spacing w:after="60"/>
    </w:pPr>
    <w:rPr>
      <w:b/>
      <w:spacing w:val="-2"/>
      <w:sz w:val="22"/>
    </w:rPr>
  </w:style>
  <w:style w:type="paragraph" w:styleId="TOC2">
    <w:name w:val="toc 2"/>
    <w:basedOn w:val="Normal"/>
    <w:next w:val="Normal"/>
    <w:autoRedefine/>
    <w:uiPriority w:val="39"/>
    <w:rsid w:val="00C65D5F"/>
    <w:pPr>
      <w:tabs>
        <w:tab w:val="right" w:leader="dot" w:pos="9998"/>
      </w:tabs>
      <w:spacing w:before="20" w:after="20"/>
      <w:ind w:left="432"/>
    </w:pPr>
    <w:rPr>
      <w:noProof/>
      <w:sz w:val="18"/>
      <w:szCs w:val="22"/>
    </w:rPr>
  </w:style>
  <w:style w:type="paragraph" w:customStyle="1" w:styleId="MediumGrid1-Accent210">
    <w:name w:val="Medium Grid 1 - Accent 21_0"/>
    <w:basedOn w:val="Normal"/>
    <w:uiPriority w:val="99"/>
    <w:qFormat/>
    <w:rsid w:val="00EC169E"/>
    <w:pPr>
      <w:ind w:left="720"/>
      <w:contextualSpacing/>
    </w:pPr>
  </w:style>
  <w:style w:type="paragraph" w:customStyle="1" w:styleId="TOCHeading1">
    <w:name w:val="TOC Heading1"/>
    <w:basedOn w:val="Heading1"/>
    <w:next w:val="Normal"/>
    <w:uiPriority w:val="99"/>
    <w:qFormat/>
    <w:rsid w:val="000936DD"/>
    <w:pPr>
      <w:keepNext/>
      <w:keepLines/>
      <w:widowControl/>
      <w:spacing w:before="480" w:line="276" w:lineRule="auto"/>
      <w:jc w:val="center"/>
      <w:outlineLvl w:val="9"/>
    </w:pPr>
    <w:rPr>
      <w:bCs/>
      <w:color w:val="365F91"/>
      <w:sz w:val="40"/>
      <w:szCs w:val="28"/>
    </w:rPr>
  </w:style>
  <w:style w:type="paragraph" w:customStyle="1" w:styleId="TOC20">
    <w:name w:val="TOC 2_0"/>
    <w:basedOn w:val="Normal"/>
    <w:next w:val="Normal"/>
    <w:autoRedefine/>
    <w:uiPriority w:val="39"/>
    <w:rsid w:val="004823D7"/>
    <w:pPr>
      <w:tabs>
        <w:tab w:val="right" w:leader="dot" w:pos="9998"/>
      </w:tabs>
      <w:ind w:left="432"/>
    </w:pPr>
    <w:rPr>
      <w:sz w:val="18"/>
      <w:szCs w:val="22"/>
    </w:rPr>
  </w:style>
  <w:style w:type="paragraph" w:styleId="ListParagraph">
    <w:name w:val="List Paragraph"/>
    <w:basedOn w:val="Normal"/>
    <w:qFormat/>
    <w:rsid w:val="00EC169E"/>
    <w:pPr>
      <w:ind w:left="720"/>
      <w:contextualSpacing/>
    </w:pPr>
  </w:style>
  <w:style w:type="paragraph" w:styleId="NoSpacing">
    <w:name w:val="No Spacing"/>
    <w:uiPriority w:val="1"/>
    <w:qFormat/>
    <w:rsid w:val="00837D45"/>
    <w:rPr>
      <w:rFonts w:ascii="Calibri" w:eastAsia="Calibri" w:hAnsi="Calibri"/>
      <w:sz w:val="22"/>
      <w:szCs w:val="22"/>
    </w:rPr>
  </w:style>
  <w:style w:type="paragraph" w:styleId="Revision">
    <w:name w:val="Revision"/>
    <w:hidden/>
    <w:rsid w:val="009F2078"/>
    <w:rPr>
      <w:rFonts w:ascii="Arial" w:hAnsi="Arial"/>
      <w:szCs w:val="24"/>
    </w:rPr>
  </w:style>
  <w:style w:type="character" w:customStyle="1" w:styleId="CommentSubjectChar">
    <w:name w:val="Comment Subject Char"/>
    <w:link w:val="CommentSubject"/>
    <w:rsid w:val="00012F57"/>
    <w:rPr>
      <w:rFonts w:ascii="Arial" w:hAnsi="Arial" w:cs="Times New Roman"/>
      <w:b/>
      <w:bCs/>
      <w:snapToGrid/>
      <w:sz w:val="20"/>
      <w:szCs w:val="20"/>
    </w:rPr>
  </w:style>
  <w:style w:type="paragraph" w:customStyle="1" w:styleId="CoverPagesTOC">
    <w:name w:val="CoverPagesTOC"/>
    <w:basedOn w:val="Heading1"/>
    <w:next w:val="Normal"/>
    <w:qFormat/>
    <w:rsid w:val="00184C43"/>
    <w:pPr>
      <w:jc w:val="center"/>
    </w:pPr>
    <w:rPr>
      <w:color w:val="003366"/>
      <w:sz w:val="36"/>
    </w:rPr>
  </w:style>
  <w:style w:type="numbering" w:customStyle="1" w:styleId="TOCSubHeadings">
    <w:name w:val="TOCSubHeadings"/>
    <w:basedOn w:val="NoList"/>
    <w:rsid w:val="002D7BDD"/>
    <w:pPr>
      <w:numPr>
        <w:numId w:val="4"/>
      </w:numPr>
    </w:pPr>
  </w:style>
  <w:style w:type="paragraph" w:customStyle="1" w:styleId="Style6">
    <w:name w:val="Style 6"/>
    <w:uiPriority w:val="99"/>
    <w:rsid w:val="00B5503E"/>
    <w:pPr>
      <w:widowControl w:val="0"/>
      <w:autoSpaceDE w:val="0"/>
      <w:autoSpaceDN w:val="0"/>
      <w:ind w:left="2520" w:right="72"/>
      <w:jc w:val="both"/>
    </w:pPr>
    <w:rPr>
      <w:rFonts w:ascii="Garamond" w:eastAsia="Times New Roman" w:hAnsi="Garamond" w:cs="Garamond"/>
    </w:rPr>
  </w:style>
  <w:style w:type="character" w:customStyle="1" w:styleId="tl8wme">
    <w:name w:val="tl8wme"/>
    <w:basedOn w:val="DefaultParagraphFont"/>
    <w:rsid w:val="005A69CC"/>
  </w:style>
  <w:style w:type="character" w:customStyle="1" w:styleId="ur">
    <w:name w:val="ur"/>
    <w:basedOn w:val="DefaultParagraphFont"/>
    <w:rsid w:val="00904BA7"/>
  </w:style>
  <w:style w:type="character" w:customStyle="1" w:styleId="vpqmgb">
    <w:name w:val="vpqmgb"/>
    <w:basedOn w:val="DefaultParagraphFont"/>
    <w:rsid w:val="00904BA7"/>
  </w:style>
  <w:style w:type="character" w:customStyle="1" w:styleId="sv">
    <w:name w:val="sv"/>
    <w:basedOn w:val="DefaultParagraphFont"/>
    <w:rsid w:val="0090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907">
      <w:bodyDiv w:val="1"/>
      <w:marLeft w:val="0"/>
      <w:marRight w:val="0"/>
      <w:marTop w:val="0"/>
      <w:marBottom w:val="0"/>
      <w:divBdr>
        <w:top w:val="none" w:sz="0" w:space="0" w:color="auto"/>
        <w:left w:val="none" w:sz="0" w:space="0" w:color="auto"/>
        <w:bottom w:val="none" w:sz="0" w:space="0" w:color="auto"/>
        <w:right w:val="none" w:sz="0" w:space="0" w:color="auto"/>
      </w:divBdr>
    </w:div>
    <w:div w:id="78389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viserinfo.sec.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viserinfo.se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iserinfo.se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viserinfo.sec.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C83B-DC30-F14B-A1B7-1A2DC5D391BB}">
  <ds:schemaRefs>
    <ds:schemaRef ds:uri="http://schemas.openxmlformats.org/officeDocument/2006/bibliography"/>
  </ds:schemaRefs>
</ds:datastoreItem>
</file>

<file path=customXml/itemProps2.xml><?xml version="1.0" encoding="utf-8"?>
<ds:datastoreItem xmlns:ds="http://schemas.openxmlformats.org/officeDocument/2006/customXml" ds:itemID="{D37EDD33-70C0-4EAA-BF8E-C0E27736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7730</Words>
  <Characters>44470</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FORM ADV PART 2 - BROCHURE</vt:lpstr>
    </vt:vector>
  </TitlesOfParts>
  <Company>AdvisorAssist.com</Company>
  <LinksUpToDate>false</LinksUpToDate>
  <CharactersWithSpaces>52096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ADV PART 2 - BROCHURE</dc:title>
  <dc:creator>Christopher Winn</dc:creator>
  <cp:lastModifiedBy>Michael Dunham</cp:lastModifiedBy>
  <cp:revision>2</cp:revision>
  <cp:lastPrinted>2011-08-06T06:15:00Z</cp:lastPrinted>
  <dcterms:created xsi:type="dcterms:W3CDTF">2019-05-16T18:32:00Z</dcterms:created>
  <dcterms:modified xsi:type="dcterms:W3CDTF">2019-05-16T18:32:00Z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1ALCOdlzWg5-svfBAOB2Bxwd-x7cv0i3SgRrpdks0fYw</vt:lpwstr>
  </property>
  <property fmtid="{D5CDD505-2E9C-101B-9397-08002B2CF9AE}" pid="3" name="Google.Documents.MergeIncapabilityFlags">
    <vt:i4>0</vt:i4>
  </property>
  <property fmtid="{D5CDD505-2E9C-101B-9397-08002B2CF9AE}" pid="4" name="Google.Documents.PluginVersion">
    <vt:lpwstr>2.0.1974.7364</vt:lpwstr>
  </property>
  <property fmtid="{D5CDD505-2E9C-101B-9397-08002B2CF9AE}" pid="5" name="Google.Documents.PreviousRevisionId">
    <vt:lpwstr>11356989847353246624</vt:lpwstr>
  </property>
  <property fmtid="{D5CDD505-2E9C-101B-9397-08002B2CF9AE}" pid="6" name="Google.Documents.RevisionId">
    <vt:lpwstr>13460447534962221652</vt:lpwstr>
  </property>
  <property fmtid="{D5CDD505-2E9C-101B-9397-08002B2CF9AE}" pid="7" name="Google.Documents.Tracking">
    <vt:lpwstr>false</vt:lpwstr>
  </property>
</Properties>
</file>