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6390" w14:textId="41CB2DCF" w:rsidR="00887693" w:rsidRDefault="00887693" w:rsidP="00887693">
      <w:r>
        <w:rPr>
          <w:noProof/>
        </w:rPr>
        <w:drawing>
          <wp:inline distT="0" distB="0" distL="0" distR="0" wp14:anchorId="2AA93E8F" wp14:editId="1EAFF259">
            <wp:extent cx="4000500" cy="2324100"/>
            <wp:effectExtent l="0" t="0" r="0" b="0"/>
            <wp:docPr id="1" name="Picture 1" descr="Exchange Traded Funds with Fidelity Investments — Colorado Business  Roundtable (COBR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hange Traded Funds with Fidelity Investments — Colorado Business  Roundtable (COBRT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F8687" w14:textId="29585D2A" w:rsidR="00887693" w:rsidRPr="00887693" w:rsidRDefault="00887693" w:rsidP="00887693">
      <w:pPr>
        <w:rPr>
          <w:rFonts w:eastAsia="Times New Roman"/>
          <w:sz w:val="28"/>
          <w:szCs w:val="28"/>
        </w:rPr>
      </w:pPr>
      <w:r w:rsidRPr="00887693">
        <w:rPr>
          <w:rFonts w:eastAsia="Times New Roman"/>
          <w:sz w:val="28"/>
          <w:szCs w:val="28"/>
        </w:rPr>
        <w:t xml:space="preserve">Great seeing everyone this </w:t>
      </w:r>
      <w:r w:rsidRPr="00887693">
        <w:rPr>
          <w:rFonts w:eastAsia="Times New Roman"/>
          <w:sz w:val="28"/>
          <w:szCs w:val="28"/>
        </w:rPr>
        <w:t>morning and</w:t>
      </w:r>
      <w:r w:rsidRPr="00887693">
        <w:rPr>
          <w:rFonts w:eastAsia="Times New Roman"/>
          <w:sz w:val="28"/>
          <w:szCs w:val="28"/>
        </w:rPr>
        <w:t xml:space="preserve"> looking forward to spending time with some of you tonight during dinner.  To follow up on today’s conversation, below is an overview of the items I referenced.  To access the rollover over service, please contact Katharine Yenke and she would be happy to coordinate the </w:t>
      </w:r>
    </w:p>
    <w:p w14:paraId="6FA8CD12" w14:textId="77777777" w:rsidR="00887693" w:rsidRPr="00887693" w:rsidRDefault="00887693" w:rsidP="00887693">
      <w:pPr>
        <w:rPr>
          <w:rFonts w:eastAsia="Times New Roman"/>
          <w:sz w:val="28"/>
          <w:szCs w:val="28"/>
        </w:rPr>
      </w:pPr>
      <w:r w:rsidRPr="00887693">
        <w:rPr>
          <w:rFonts w:eastAsia="Times New Roman"/>
          <w:sz w:val="28"/>
          <w:szCs w:val="28"/>
        </w:rPr>
        <w:t>I’ve attached the following pieces:</w:t>
      </w:r>
    </w:p>
    <w:p w14:paraId="39D01843" w14:textId="77777777" w:rsidR="00887693" w:rsidRPr="00887693" w:rsidRDefault="00887693" w:rsidP="00887693">
      <w:pPr>
        <w:rPr>
          <w:rFonts w:eastAsia="Times New Roman"/>
          <w:sz w:val="28"/>
          <w:szCs w:val="28"/>
        </w:rPr>
      </w:pPr>
      <w:r w:rsidRPr="00887693">
        <w:rPr>
          <w:rFonts w:eastAsia="Times New Roman"/>
          <w:sz w:val="28"/>
          <w:szCs w:val="28"/>
        </w:rPr>
        <w:t> </w:t>
      </w:r>
    </w:p>
    <w:p w14:paraId="7F3F8B64" w14:textId="77777777" w:rsidR="00887693" w:rsidRPr="00887693" w:rsidRDefault="00887693" w:rsidP="008876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87693">
        <w:rPr>
          <w:rFonts w:eastAsia="Times New Roman"/>
          <w:sz w:val="28"/>
          <w:szCs w:val="28"/>
        </w:rPr>
        <w:t>Value Stack Presentation</w:t>
      </w:r>
    </w:p>
    <w:p w14:paraId="43D37F5A" w14:textId="77777777" w:rsidR="00887693" w:rsidRPr="00887693" w:rsidRDefault="00887693" w:rsidP="008876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87693">
        <w:rPr>
          <w:rFonts w:eastAsia="Times New Roman"/>
          <w:sz w:val="28"/>
          <w:szCs w:val="28"/>
        </w:rPr>
        <w:t xml:space="preserve">Portfolio Quick Check Tool:  </w:t>
      </w:r>
      <w:hyperlink r:id="rId6" w:history="1">
        <w:r w:rsidRPr="00887693">
          <w:rPr>
            <w:rStyle w:val="Hyperlink"/>
            <w:rFonts w:eastAsia="Times New Roman"/>
            <w:color w:val="0563C1"/>
            <w:sz w:val="28"/>
            <w:szCs w:val="28"/>
          </w:rPr>
          <w:t>www.portfolioquickcheck.fidelity.com</w:t>
        </w:r>
      </w:hyperlink>
    </w:p>
    <w:p w14:paraId="23C97BA2" w14:textId="77777777" w:rsidR="00887693" w:rsidRPr="00887693" w:rsidRDefault="00887693" w:rsidP="008876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87693">
        <w:rPr>
          <w:rFonts w:eastAsia="Times New Roman"/>
          <w:sz w:val="28"/>
          <w:szCs w:val="28"/>
        </w:rPr>
        <w:t>FA Multi Asset Income (FAYZX) Flyer &amp; Presentation (see page 11 for the asymmetric risk profile, and page 17 which highlights the process in action)</w:t>
      </w:r>
    </w:p>
    <w:p w14:paraId="0398CAD3" w14:textId="77777777" w:rsidR="00887693" w:rsidRPr="00887693" w:rsidRDefault="00887693" w:rsidP="008876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87693">
        <w:rPr>
          <w:rFonts w:eastAsia="Times New Roman"/>
          <w:sz w:val="28"/>
          <w:szCs w:val="28"/>
        </w:rPr>
        <w:t>Fidelity 401k Rollover Concierge Service</w:t>
      </w:r>
    </w:p>
    <w:p w14:paraId="17A9B362" w14:textId="30B9DD97" w:rsidR="00887693" w:rsidRPr="00887693" w:rsidRDefault="00887693" w:rsidP="008876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87693">
        <w:rPr>
          <w:rFonts w:eastAsia="Times New Roman"/>
          <w:sz w:val="28"/>
          <w:szCs w:val="28"/>
        </w:rPr>
        <w:t>Money Funds:</w:t>
      </w:r>
      <w:r>
        <w:rPr>
          <w:rFonts w:eastAsia="Times New Roman"/>
          <w:sz w:val="28"/>
          <w:szCs w:val="28"/>
        </w:rPr>
        <w:t xml:space="preserve">  </w:t>
      </w:r>
    </w:p>
    <w:p w14:paraId="645368F4" w14:textId="77777777" w:rsidR="00887693" w:rsidRPr="00887693" w:rsidRDefault="00887693" w:rsidP="0088769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87693">
        <w:rPr>
          <w:rFonts w:eastAsia="Times New Roman"/>
          <w:sz w:val="28"/>
          <w:szCs w:val="28"/>
        </w:rPr>
        <w:t>Prime, FNSXX, 2.37%</w:t>
      </w:r>
    </w:p>
    <w:p w14:paraId="6EEE34E0" w14:textId="77777777" w:rsidR="00887693" w:rsidRPr="00887693" w:rsidRDefault="00887693" w:rsidP="0088769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87693">
        <w:rPr>
          <w:rFonts w:eastAsia="Times New Roman"/>
          <w:sz w:val="28"/>
          <w:szCs w:val="28"/>
        </w:rPr>
        <w:t>Government, FRGXX, 2.06%</w:t>
      </w:r>
    </w:p>
    <w:p w14:paraId="4CA2C1B4" w14:textId="726F63E5" w:rsidR="00887693" w:rsidRPr="00887693" w:rsidRDefault="00887693" w:rsidP="00887693">
      <w:pPr>
        <w:rPr>
          <w:rFonts w:eastAsia="Times New Roman"/>
          <w:sz w:val="28"/>
          <w:szCs w:val="28"/>
        </w:rPr>
      </w:pPr>
      <w:r w:rsidRPr="00887693">
        <w:rPr>
          <w:rFonts w:eastAsia="Times New Roman"/>
          <w:sz w:val="28"/>
          <w:szCs w:val="28"/>
        </w:rPr>
        <w:t> Thank you for your time and consideration!</w:t>
      </w:r>
    </w:p>
    <w:p w14:paraId="1AEE024A" w14:textId="77777777" w:rsidR="00887693" w:rsidRPr="00887693" w:rsidRDefault="00887693" w:rsidP="00887693">
      <w:pPr>
        <w:rPr>
          <w:rFonts w:eastAsia="Times New Roman"/>
          <w:sz w:val="28"/>
          <w:szCs w:val="28"/>
        </w:rPr>
      </w:pPr>
      <w:r w:rsidRPr="00887693">
        <w:rPr>
          <w:rFonts w:eastAsia="Times New Roman"/>
          <w:sz w:val="28"/>
          <w:szCs w:val="28"/>
        </w:rPr>
        <w:t> </w:t>
      </w:r>
    </w:p>
    <w:p w14:paraId="37DA99F0" w14:textId="77777777" w:rsidR="00887693" w:rsidRPr="00887693" w:rsidRDefault="00887693" w:rsidP="00887693">
      <w:pPr>
        <w:rPr>
          <w:rFonts w:eastAsia="Times New Roman"/>
          <w:sz w:val="28"/>
          <w:szCs w:val="28"/>
        </w:rPr>
      </w:pPr>
      <w:r w:rsidRPr="00887693">
        <w:rPr>
          <w:rFonts w:ascii="Times New Roman" w:eastAsia="Times New Roman" w:hAnsi="Times New Roman" w:cs="Times New Roman"/>
          <w:sz w:val="28"/>
          <w:szCs w:val="28"/>
        </w:rPr>
        <w:t xml:space="preserve">Gus Engel </w:t>
      </w:r>
      <w:r w:rsidRPr="00887693">
        <w:rPr>
          <w:rFonts w:ascii="Times New Roman" w:eastAsia="Times New Roman" w:hAnsi="Times New Roman" w:cs="Times New Roman"/>
          <w:sz w:val="28"/>
          <w:szCs w:val="28"/>
        </w:rPr>
        <w:br/>
        <w:t xml:space="preserve">Regional Director </w:t>
      </w:r>
      <w:r w:rsidRPr="00887693">
        <w:rPr>
          <w:rFonts w:ascii="Times New Roman" w:eastAsia="Times New Roman" w:hAnsi="Times New Roman" w:cs="Times New Roman"/>
          <w:sz w:val="28"/>
          <w:szCs w:val="28"/>
        </w:rPr>
        <w:br/>
        <w:t xml:space="preserve">Fidelity </w:t>
      </w:r>
      <w:proofErr w:type="spellStart"/>
      <w:r w:rsidRPr="00887693">
        <w:rPr>
          <w:rFonts w:ascii="Times New Roman" w:eastAsia="Times New Roman" w:hAnsi="Times New Roman" w:cs="Times New Roman"/>
          <w:sz w:val="28"/>
          <w:szCs w:val="28"/>
        </w:rPr>
        <w:t>Institutional</w:t>
      </w:r>
      <w:r w:rsidRPr="0088769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SM</w:t>
      </w:r>
      <w:proofErr w:type="spellEnd"/>
    </w:p>
    <w:p w14:paraId="585069D9" w14:textId="77777777" w:rsidR="00887693" w:rsidRPr="00887693" w:rsidRDefault="00887693" w:rsidP="00887693">
      <w:pPr>
        <w:rPr>
          <w:rFonts w:eastAsia="Times New Roman"/>
          <w:sz w:val="28"/>
          <w:szCs w:val="28"/>
        </w:rPr>
      </w:pPr>
      <w:r w:rsidRPr="00887693">
        <w:rPr>
          <w:rFonts w:ascii="Times New Roman" w:eastAsia="Times New Roman" w:hAnsi="Times New Roman" w:cs="Times New Roman"/>
          <w:sz w:val="28"/>
          <w:szCs w:val="28"/>
        </w:rPr>
        <w:t>500 Salem Street, OS3N</w:t>
      </w:r>
      <w:r w:rsidRPr="00887693">
        <w:rPr>
          <w:rFonts w:ascii="Times New Roman" w:eastAsia="Times New Roman" w:hAnsi="Times New Roman" w:cs="Times New Roman"/>
          <w:sz w:val="28"/>
          <w:szCs w:val="28"/>
        </w:rPr>
        <w:br/>
        <w:t xml:space="preserve">Smithfield RI 02917 </w:t>
      </w:r>
      <w:r w:rsidRPr="00887693">
        <w:rPr>
          <w:rFonts w:ascii="Times New Roman" w:eastAsia="Times New Roman" w:hAnsi="Times New Roman" w:cs="Times New Roman"/>
          <w:sz w:val="28"/>
          <w:szCs w:val="28"/>
        </w:rPr>
        <w:br/>
      </w:r>
      <w:hyperlink r:id="rId7" w:history="1">
        <w:r w:rsidRPr="0088769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gus.engel@fmr.com</w:t>
        </w:r>
      </w:hyperlink>
      <w:r w:rsidRPr="00887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693">
        <w:rPr>
          <w:rFonts w:ascii="Times New Roman" w:eastAsia="Times New Roman" w:hAnsi="Times New Roman" w:cs="Times New Roman"/>
          <w:sz w:val="28"/>
          <w:szCs w:val="28"/>
        </w:rPr>
        <w:br/>
        <w:t>Mobile:  412.480.8054</w:t>
      </w:r>
    </w:p>
    <w:p w14:paraId="1FF9859F" w14:textId="77777777" w:rsidR="00887693" w:rsidRPr="00887693" w:rsidRDefault="00887693" w:rsidP="00887693">
      <w:pPr>
        <w:rPr>
          <w:rFonts w:eastAsia="Times New Roman"/>
          <w:sz w:val="28"/>
          <w:szCs w:val="28"/>
        </w:rPr>
      </w:pPr>
      <w:proofErr w:type="spellStart"/>
      <w:r w:rsidRPr="00887693">
        <w:rPr>
          <w:rFonts w:ascii="Times New Roman" w:eastAsia="Times New Roman" w:hAnsi="Times New Roman" w:cs="Times New Roman"/>
          <w:sz w:val="28"/>
          <w:szCs w:val="28"/>
        </w:rPr>
        <w:t>Faxmail</w:t>
      </w:r>
      <w:proofErr w:type="spellEnd"/>
      <w:r w:rsidRPr="00887693">
        <w:rPr>
          <w:rFonts w:ascii="Times New Roman" w:eastAsia="Times New Roman" w:hAnsi="Times New Roman" w:cs="Times New Roman"/>
          <w:sz w:val="28"/>
          <w:szCs w:val="28"/>
        </w:rPr>
        <w:t>:  401.292.0591</w:t>
      </w:r>
    </w:p>
    <w:p w14:paraId="651247AE" w14:textId="77777777" w:rsidR="00887693" w:rsidRDefault="00887693" w:rsidP="0088769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E0B3C5" w14:textId="5BFF93BA" w:rsidR="00887693" w:rsidRDefault="00887693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 immediate assistance, please call Katharine Yenke at 401.757.5076 or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Katharine.Yenke@fmr.com</w:t>
        </w:r>
      </w:hyperlink>
    </w:p>
    <w:sectPr w:rsidR="00887693" w:rsidSect="008876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063A"/>
    <w:multiLevelType w:val="multilevel"/>
    <w:tmpl w:val="8DFA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4E3C41"/>
    <w:multiLevelType w:val="multilevel"/>
    <w:tmpl w:val="740EC9B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56441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2688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93"/>
    <w:rsid w:val="005F544A"/>
    <w:rsid w:val="008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1618"/>
  <w15:chartTrackingRefBased/>
  <w15:docId w15:val="{DC796404-0BED-4C5F-B554-8912E9F1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6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arine.Yenke@fm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s.engel@fm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folioquickcheck.fidelity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Miller</dc:creator>
  <cp:keywords/>
  <dc:description/>
  <cp:lastModifiedBy>Timothy Miller</cp:lastModifiedBy>
  <cp:revision>2</cp:revision>
  <dcterms:created xsi:type="dcterms:W3CDTF">2022-09-13T15:17:00Z</dcterms:created>
  <dcterms:modified xsi:type="dcterms:W3CDTF">2022-09-13T15:21:00Z</dcterms:modified>
</cp:coreProperties>
</file>