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5900" w14:textId="77777777" w:rsidR="0085088D" w:rsidRDefault="0085088D" w:rsidP="007F533D"/>
    <w:p w14:paraId="08D78D2B" w14:textId="77777777" w:rsidR="00103C10" w:rsidRDefault="00103C10" w:rsidP="00103C10">
      <w:r>
        <w:t>Good morning!</w:t>
      </w:r>
    </w:p>
    <w:p w14:paraId="504F5B19" w14:textId="77777777" w:rsidR="00103C10" w:rsidRDefault="00103C10" w:rsidP="00103C10"/>
    <w:p w14:paraId="0F66BBEE" w14:textId="77777777" w:rsidR="00103C10" w:rsidRDefault="00103C10" w:rsidP="00103C10">
      <w:r>
        <w:t xml:space="preserve">The rising and falling of the “cost of money” impacts financial decisions of American consumers.  For the last 30 years, the cost of borrowing (home mortgages, auto loans, business loans, lines of credit) has trended downward, setting the stage for a lower “normal” interest rate.  The yield on the 10-year Treasury note, considered the most popular debt instrument in the world, was yielding 9.06% on 4/18/89 (30 years ago), falling to 5.23% on 4/18/99 (20 years ago), to 2.98% on 4/18/09 (10 years ago), and finally to 2.56% on 4/18/19 (source: Treasury Department).       </w:t>
      </w:r>
    </w:p>
    <w:p w14:paraId="734457E0" w14:textId="77777777" w:rsidR="00103C10" w:rsidRDefault="00103C10" w:rsidP="00103C10"/>
    <w:p w14:paraId="1FEC11FB" w14:textId="77777777" w:rsidR="00103C10" w:rsidRDefault="00103C10" w:rsidP="00103C10">
      <w:r>
        <w:t>It happened in the United States within the last decade, but the numbers are unbelievable.  In the depths of the real estate crisis, American banks repossessed 1,050,500 homes in 2010, an average of 87,542 per month.  By calendar year 2018, only 230,305 homes were repossessed (equal to 19,192 per month).  Improvement in that statistic has continued into the 1</w:t>
      </w:r>
      <w:r>
        <w:rPr>
          <w:vertAlign w:val="superscript"/>
        </w:rPr>
        <w:t>st</w:t>
      </w:r>
      <w:r>
        <w:t xml:space="preserve"> quarter 2019 as US banks took back 35,787 homes, or 11,929 per month, a drop of 86% from the carnage of 2010 (source: ATTOM Data Solutions).                </w:t>
      </w:r>
    </w:p>
    <w:p w14:paraId="3E7A8959" w14:textId="77777777" w:rsidR="00103C10" w:rsidRDefault="00103C10" w:rsidP="00103C10"/>
    <w:p w14:paraId="7DF3F9E3" w14:textId="77777777" w:rsidR="00103C10" w:rsidRDefault="00103C10" w:rsidP="00103C10">
      <w:r>
        <w:t xml:space="preserve">The 1975 Congressional ban on most US crude oil exports, a reaction to the 1973 oil crisis in America, was designed to reduce our nation’s reliance on imported crude oil.  Congress and President Barack Obama lifted that ban in December 2015, setting the stage for a surge in crude oil exports.  For the week ending Friday 4/12/19, the United States exported 2.4 million barrels of crude oil per day.  Just 5 years earlier (4/11/14), the US was exporting only 67,000 barrels of crude oil per day or just 3% of its current export level (source: US Energy Information Administration).           </w:t>
      </w:r>
    </w:p>
    <w:p w14:paraId="13C68283" w14:textId="77777777" w:rsidR="00103C10" w:rsidRDefault="00103C10" w:rsidP="00103C10"/>
    <w:p w14:paraId="4189979C" w14:textId="77777777" w:rsidR="00103C10" w:rsidRDefault="00103C10" w:rsidP="00103C10">
      <w:r>
        <w:t>Notable Numbers for the Week:</w:t>
      </w:r>
    </w:p>
    <w:p w14:paraId="568A021A" w14:textId="77777777" w:rsidR="00103C10" w:rsidRDefault="00103C10" w:rsidP="00103C10">
      <w:pPr>
        <w:pStyle w:val="ListParagraph"/>
        <w:ind w:left="0"/>
        <w:rPr>
          <w:rFonts w:ascii="Arial" w:hAnsi="Arial" w:cs="Arial"/>
          <w:sz w:val="14"/>
          <w:szCs w:val="14"/>
        </w:rPr>
      </w:pPr>
    </w:p>
    <w:p w14:paraId="077F95C3" w14:textId="77777777" w:rsidR="00103C10" w:rsidRDefault="00103C10" w:rsidP="00103C10">
      <w:pPr>
        <w:numPr>
          <w:ilvl w:val="0"/>
          <w:numId w:val="1"/>
        </w:numPr>
        <w:rPr>
          <w:rFonts w:ascii="Arial" w:hAnsi="Arial" w:cs="Arial"/>
          <w:sz w:val="17"/>
          <w:szCs w:val="17"/>
        </w:rPr>
      </w:pPr>
      <w:r>
        <w:rPr>
          <w:rFonts w:ascii="Arial" w:hAnsi="Arial" w:cs="Arial"/>
          <w:b/>
          <w:i/>
          <w:sz w:val="17"/>
          <w:szCs w:val="17"/>
          <w:u w:val="single"/>
        </w:rPr>
        <w:t>A LOT IN A FEW</w:t>
      </w:r>
      <w:r>
        <w:rPr>
          <w:rFonts w:ascii="Arial" w:hAnsi="Arial" w:cs="Arial"/>
          <w:sz w:val="17"/>
          <w:szCs w:val="17"/>
        </w:rPr>
        <w:t xml:space="preserve"> - Half of the </w:t>
      </w:r>
      <w:r>
        <w:rPr>
          <w:rFonts w:ascii="Arial" w:hAnsi="Arial" w:cs="Arial"/>
          <w:b/>
          <w:sz w:val="17"/>
          <w:szCs w:val="17"/>
        </w:rPr>
        <w:t>net wealth created</w:t>
      </w:r>
      <w:r>
        <w:rPr>
          <w:rFonts w:ascii="Arial" w:hAnsi="Arial" w:cs="Arial"/>
          <w:sz w:val="17"/>
          <w:szCs w:val="17"/>
        </w:rPr>
        <w:t xml:space="preserve"> in the US stock market </w:t>
      </w:r>
      <w:r>
        <w:rPr>
          <w:rFonts w:ascii="Arial" w:hAnsi="Arial" w:cs="Arial"/>
          <w:b/>
          <w:sz w:val="17"/>
          <w:szCs w:val="17"/>
        </w:rPr>
        <w:t>going back to 1926</w:t>
      </w:r>
      <w:r>
        <w:rPr>
          <w:rFonts w:ascii="Arial" w:hAnsi="Arial" w:cs="Arial"/>
          <w:sz w:val="17"/>
          <w:szCs w:val="17"/>
        </w:rPr>
        <w:t xml:space="preserve"> was produced by just </w:t>
      </w:r>
      <w:r>
        <w:rPr>
          <w:rFonts w:ascii="Arial" w:hAnsi="Arial" w:cs="Arial"/>
          <w:b/>
          <w:sz w:val="17"/>
          <w:szCs w:val="17"/>
        </w:rPr>
        <w:t>90 publicly held companies</w:t>
      </w:r>
      <w:r>
        <w:rPr>
          <w:rFonts w:ascii="Arial" w:hAnsi="Arial" w:cs="Arial"/>
          <w:sz w:val="17"/>
          <w:szCs w:val="17"/>
        </w:rPr>
        <w:t xml:space="preserve"> (source: Hendrik </w:t>
      </w:r>
      <w:proofErr w:type="spellStart"/>
      <w:r>
        <w:rPr>
          <w:rFonts w:ascii="Arial" w:hAnsi="Arial" w:cs="Arial"/>
          <w:sz w:val="17"/>
          <w:szCs w:val="17"/>
        </w:rPr>
        <w:t>Bessembinder</w:t>
      </w:r>
      <w:proofErr w:type="spellEnd"/>
      <w:r>
        <w:rPr>
          <w:rFonts w:ascii="Arial" w:hAnsi="Arial" w:cs="Arial"/>
          <w:sz w:val="17"/>
          <w:szCs w:val="17"/>
        </w:rPr>
        <w:t xml:space="preserve">, Arizona State University).   </w:t>
      </w:r>
    </w:p>
    <w:p w14:paraId="44A1060C" w14:textId="77777777" w:rsidR="00103C10" w:rsidRDefault="00103C10" w:rsidP="00103C10">
      <w:pPr>
        <w:pStyle w:val="ListParagraph"/>
        <w:rPr>
          <w:rFonts w:ascii="Arial" w:hAnsi="Arial" w:cs="Arial"/>
          <w:sz w:val="14"/>
          <w:szCs w:val="14"/>
        </w:rPr>
      </w:pPr>
    </w:p>
    <w:p w14:paraId="7071DAA4" w14:textId="77777777" w:rsidR="00103C10" w:rsidRDefault="00103C10" w:rsidP="00103C10">
      <w:pPr>
        <w:numPr>
          <w:ilvl w:val="0"/>
          <w:numId w:val="1"/>
        </w:numPr>
        <w:rPr>
          <w:rFonts w:ascii="Arial" w:hAnsi="Arial" w:cs="Arial"/>
          <w:sz w:val="17"/>
          <w:szCs w:val="17"/>
        </w:rPr>
      </w:pPr>
      <w:r>
        <w:rPr>
          <w:rFonts w:ascii="Arial" w:hAnsi="Arial" w:cs="Arial"/>
          <w:b/>
          <w:i/>
          <w:sz w:val="17"/>
          <w:szCs w:val="17"/>
          <w:u w:val="single"/>
        </w:rPr>
        <w:t>NOT WHERE YOU’D THINK</w:t>
      </w:r>
      <w:r>
        <w:rPr>
          <w:rFonts w:ascii="Arial" w:hAnsi="Arial" w:cs="Arial"/>
          <w:sz w:val="17"/>
          <w:szCs w:val="17"/>
        </w:rPr>
        <w:t xml:space="preserve"> – The state of </w:t>
      </w:r>
      <w:r>
        <w:rPr>
          <w:rFonts w:ascii="Arial" w:hAnsi="Arial" w:cs="Arial"/>
          <w:b/>
          <w:sz w:val="17"/>
          <w:szCs w:val="17"/>
        </w:rPr>
        <w:t>North Dakota</w:t>
      </w:r>
      <w:r>
        <w:rPr>
          <w:rFonts w:ascii="Arial" w:hAnsi="Arial" w:cs="Arial"/>
          <w:sz w:val="17"/>
          <w:szCs w:val="17"/>
        </w:rPr>
        <w:t xml:space="preserve"> has the </w:t>
      </w:r>
      <w:r>
        <w:rPr>
          <w:rFonts w:ascii="Arial" w:hAnsi="Arial" w:cs="Arial"/>
          <w:b/>
          <w:sz w:val="17"/>
          <w:szCs w:val="17"/>
        </w:rPr>
        <w:t>highest percentage</w:t>
      </w:r>
      <w:r>
        <w:rPr>
          <w:rFonts w:ascii="Arial" w:hAnsi="Arial" w:cs="Arial"/>
          <w:sz w:val="17"/>
          <w:szCs w:val="17"/>
        </w:rPr>
        <w:t xml:space="preserve"> of adult residents who have a </w:t>
      </w:r>
      <w:r>
        <w:rPr>
          <w:rFonts w:ascii="Arial" w:hAnsi="Arial" w:cs="Arial"/>
          <w:b/>
          <w:sz w:val="17"/>
          <w:szCs w:val="17"/>
        </w:rPr>
        <w:t>net worth of at least $5 million</w:t>
      </w:r>
      <w:r>
        <w:rPr>
          <w:rFonts w:ascii="Arial" w:hAnsi="Arial" w:cs="Arial"/>
          <w:sz w:val="17"/>
          <w:szCs w:val="17"/>
        </w:rPr>
        <w:t xml:space="preserve"> (source: Internal Revenue Service).     </w:t>
      </w:r>
    </w:p>
    <w:p w14:paraId="5ADDAF13" w14:textId="77777777" w:rsidR="00103C10" w:rsidRDefault="00103C10" w:rsidP="00103C10">
      <w:pPr>
        <w:pStyle w:val="ListParagraph"/>
        <w:rPr>
          <w:rFonts w:ascii="Arial" w:hAnsi="Arial" w:cs="Arial"/>
          <w:sz w:val="14"/>
          <w:szCs w:val="14"/>
        </w:rPr>
      </w:pPr>
    </w:p>
    <w:p w14:paraId="05926285" w14:textId="77777777" w:rsidR="00103C10" w:rsidRDefault="00103C10" w:rsidP="00103C10">
      <w:pPr>
        <w:numPr>
          <w:ilvl w:val="0"/>
          <w:numId w:val="1"/>
        </w:numPr>
        <w:rPr>
          <w:rFonts w:ascii="Arial" w:hAnsi="Arial" w:cs="Arial"/>
          <w:sz w:val="17"/>
          <w:szCs w:val="17"/>
        </w:rPr>
      </w:pPr>
      <w:r>
        <w:rPr>
          <w:rFonts w:ascii="Arial" w:hAnsi="Arial" w:cs="Arial"/>
          <w:b/>
          <w:i/>
          <w:sz w:val="17"/>
          <w:szCs w:val="17"/>
          <w:u w:val="single"/>
        </w:rPr>
        <w:t>GOTTA HAVE IT</w:t>
      </w:r>
      <w:r>
        <w:rPr>
          <w:rFonts w:ascii="Arial" w:hAnsi="Arial" w:cs="Arial"/>
          <w:sz w:val="17"/>
          <w:szCs w:val="17"/>
        </w:rPr>
        <w:t xml:space="preserve"> – Americans pay “</w:t>
      </w:r>
      <w:r>
        <w:rPr>
          <w:rFonts w:ascii="Arial" w:hAnsi="Arial" w:cs="Arial"/>
          <w:b/>
          <w:sz w:val="17"/>
          <w:szCs w:val="17"/>
        </w:rPr>
        <w:t>out-of-pocket</w:t>
      </w:r>
      <w:r>
        <w:rPr>
          <w:rFonts w:ascii="Arial" w:hAnsi="Arial" w:cs="Arial"/>
          <w:sz w:val="17"/>
          <w:szCs w:val="17"/>
        </w:rPr>
        <w:t xml:space="preserve">” on average just 15% of the </w:t>
      </w:r>
      <w:r>
        <w:rPr>
          <w:rFonts w:ascii="Arial" w:hAnsi="Arial" w:cs="Arial"/>
          <w:b/>
          <w:sz w:val="17"/>
          <w:szCs w:val="17"/>
        </w:rPr>
        <w:t>total health care expenditures</w:t>
      </w:r>
      <w:r>
        <w:rPr>
          <w:rFonts w:ascii="Arial" w:hAnsi="Arial" w:cs="Arial"/>
          <w:sz w:val="17"/>
          <w:szCs w:val="17"/>
        </w:rPr>
        <w:t xml:space="preserve"> they generate in a year.  “</w:t>
      </w:r>
      <w:r>
        <w:rPr>
          <w:rFonts w:ascii="Arial" w:hAnsi="Arial" w:cs="Arial"/>
          <w:b/>
          <w:sz w:val="17"/>
          <w:szCs w:val="17"/>
        </w:rPr>
        <w:t>Out-of-pocket</w:t>
      </w:r>
      <w:r>
        <w:rPr>
          <w:rFonts w:ascii="Arial" w:hAnsi="Arial" w:cs="Arial"/>
          <w:sz w:val="17"/>
          <w:szCs w:val="17"/>
        </w:rPr>
        <w:t>” expenses include deductibles and co-payments for services and prescription drugs but</w:t>
      </w:r>
      <w:r>
        <w:rPr>
          <w:rFonts w:ascii="Arial" w:hAnsi="Arial" w:cs="Arial"/>
          <w:b/>
          <w:sz w:val="17"/>
          <w:szCs w:val="17"/>
        </w:rPr>
        <w:t xml:space="preserve"> does not include</w:t>
      </w:r>
      <w:r>
        <w:rPr>
          <w:rFonts w:ascii="Arial" w:hAnsi="Arial" w:cs="Arial"/>
          <w:sz w:val="17"/>
          <w:szCs w:val="17"/>
        </w:rPr>
        <w:t xml:space="preserve"> the cost of health insurance premiums.  The </w:t>
      </w:r>
      <w:r>
        <w:rPr>
          <w:rFonts w:ascii="Arial" w:hAnsi="Arial" w:cs="Arial"/>
          <w:b/>
          <w:sz w:val="17"/>
          <w:szCs w:val="17"/>
        </w:rPr>
        <w:t>remaining 85%</w:t>
      </w:r>
      <w:r>
        <w:rPr>
          <w:rFonts w:ascii="Arial" w:hAnsi="Arial" w:cs="Arial"/>
          <w:sz w:val="17"/>
          <w:szCs w:val="17"/>
        </w:rPr>
        <w:t xml:space="preserve"> of annual health care expenditures is </w:t>
      </w:r>
      <w:r>
        <w:rPr>
          <w:rFonts w:ascii="Arial" w:hAnsi="Arial" w:cs="Arial"/>
          <w:b/>
          <w:sz w:val="17"/>
          <w:szCs w:val="17"/>
        </w:rPr>
        <w:t>covered by insurance</w:t>
      </w:r>
      <w:r>
        <w:rPr>
          <w:rFonts w:ascii="Arial" w:hAnsi="Arial" w:cs="Arial"/>
          <w:sz w:val="17"/>
          <w:szCs w:val="17"/>
        </w:rPr>
        <w:t xml:space="preserve"> (source: Health Care Cost Institute).   </w:t>
      </w:r>
    </w:p>
    <w:p w14:paraId="5BDA2A08" w14:textId="77777777" w:rsidR="00103C10" w:rsidRDefault="00103C10" w:rsidP="00103C10">
      <w:pPr>
        <w:pStyle w:val="ListParagraph"/>
        <w:rPr>
          <w:rFonts w:ascii="Arial" w:hAnsi="Arial" w:cs="Arial"/>
          <w:sz w:val="14"/>
          <w:szCs w:val="14"/>
        </w:rPr>
      </w:pPr>
    </w:p>
    <w:p w14:paraId="5B8B6B11" w14:textId="77777777" w:rsidR="00103C10" w:rsidRDefault="00103C10" w:rsidP="00103C10">
      <w:pPr>
        <w:numPr>
          <w:ilvl w:val="0"/>
          <w:numId w:val="1"/>
        </w:numPr>
        <w:rPr>
          <w:rFonts w:ascii="Arial" w:hAnsi="Arial" w:cs="Arial"/>
          <w:sz w:val="17"/>
          <w:szCs w:val="17"/>
        </w:rPr>
      </w:pPr>
      <w:r>
        <w:rPr>
          <w:rFonts w:ascii="Arial" w:hAnsi="Arial" w:cs="Arial"/>
          <w:b/>
          <w:i/>
          <w:sz w:val="17"/>
          <w:szCs w:val="17"/>
          <w:u w:val="single"/>
        </w:rPr>
        <w:t>TALENT DROP-OFF</w:t>
      </w:r>
      <w:r>
        <w:rPr>
          <w:rFonts w:ascii="Arial" w:hAnsi="Arial" w:cs="Arial"/>
          <w:sz w:val="17"/>
          <w:szCs w:val="17"/>
        </w:rPr>
        <w:t xml:space="preserve"> - 44% of employers surveyed report they are “</w:t>
      </w:r>
      <w:r>
        <w:rPr>
          <w:rFonts w:ascii="Arial" w:hAnsi="Arial" w:cs="Arial"/>
          <w:b/>
          <w:sz w:val="17"/>
          <w:szCs w:val="17"/>
        </w:rPr>
        <w:t>having difficulty</w:t>
      </w:r>
      <w:r>
        <w:rPr>
          <w:rFonts w:ascii="Arial" w:hAnsi="Arial" w:cs="Arial"/>
          <w:sz w:val="17"/>
          <w:szCs w:val="17"/>
        </w:rPr>
        <w:t xml:space="preserve">” hiring new employees with </w:t>
      </w:r>
      <w:r>
        <w:rPr>
          <w:rFonts w:ascii="Arial" w:hAnsi="Arial" w:cs="Arial"/>
          <w:b/>
          <w:sz w:val="17"/>
          <w:szCs w:val="17"/>
        </w:rPr>
        <w:t>skills</w:t>
      </w:r>
      <w:r>
        <w:rPr>
          <w:rFonts w:ascii="Arial" w:hAnsi="Arial" w:cs="Arial"/>
          <w:sz w:val="17"/>
          <w:szCs w:val="17"/>
        </w:rPr>
        <w:t xml:space="preserve"> equal to that of the firm’s </w:t>
      </w:r>
      <w:r>
        <w:rPr>
          <w:rFonts w:ascii="Arial" w:hAnsi="Arial" w:cs="Arial"/>
          <w:b/>
          <w:sz w:val="17"/>
          <w:szCs w:val="17"/>
        </w:rPr>
        <w:t>retiring employees</w:t>
      </w:r>
      <w:r>
        <w:rPr>
          <w:rFonts w:ascii="Arial" w:hAnsi="Arial" w:cs="Arial"/>
          <w:sz w:val="17"/>
          <w:szCs w:val="17"/>
        </w:rPr>
        <w:t xml:space="preserve"> (source: Robert Clark, Willis Towers Watson). </w:t>
      </w:r>
    </w:p>
    <w:p w14:paraId="5BFFA0A0" w14:textId="09FE09E9" w:rsidR="004D7856" w:rsidRPr="0015354A" w:rsidRDefault="001F6B86" w:rsidP="001F6B86">
      <w:pPr>
        <w:ind w:left="360"/>
        <w:rPr>
          <w:rFonts w:ascii="Arial" w:hAnsi="Arial" w:cs="Arial"/>
          <w:i/>
          <w:sz w:val="17"/>
          <w:szCs w:val="17"/>
        </w:rPr>
      </w:pPr>
      <w:r>
        <w:rPr>
          <w:rFonts w:ascii="Arial" w:hAnsi="Arial" w:cs="Arial"/>
          <w:snapToGrid w:val="0"/>
          <w:color w:val="000000"/>
          <w:sz w:val="17"/>
          <w:szCs w:val="17"/>
        </w:rPr>
        <w:t xml:space="preserve">   </w:t>
      </w:r>
    </w:p>
    <w:p w14:paraId="78C1F71C" w14:textId="77777777" w:rsidR="008C2C61" w:rsidRPr="0015354A" w:rsidRDefault="008C2C61" w:rsidP="008C2C61">
      <w:pPr>
        <w:ind w:left="360"/>
        <w:rPr>
          <w:rFonts w:ascii="Arial" w:hAnsi="Arial" w:cs="Arial"/>
          <w:i/>
          <w:snapToGrid w:val="0"/>
          <w:color w:val="000000"/>
          <w:sz w:val="17"/>
          <w:szCs w:val="17"/>
        </w:rPr>
      </w:pPr>
    </w:p>
    <w:p w14:paraId="4431D6F8" w14:textId="77777777" w:rsidR="00FF0513" w:rsidRPr="0015354A" w:rsidRDefault="00FF0513" w:rsidP="00FF0513">
      <w:pPr>
        <w:rPr>
          <w:rFonts w:ascii="Arial" w:hAnsi="Arial" w:cs="Arial"/>
          <w:snapToGrid w:val="0"/>
          <w:color w:val="000000"/>
          <w:sz w:val="17"/>
          <w:szCs w:val="17"/>
        </w:rPr>
      </w:pPr>
    </w:p>
    <w:p w14:paraId="4710D437" w14:textId="529C731C" w:rsidR="004C230F" w:rsidRPr="00280368" w:rsidRDefault="00AE2DEF" w:rsidP="00280368">
      <w:pPr>
        <w:rPr>
          <w:rFonts w:ascii="Arial" w:hAnsi="Arial" w:cs="Arial"/>
          <w:snapToGrid w:val="0"/>
          <w:color w:val="000000"/>
          <w:sz w:val="17"/>
          <w:szCs w:val="17"/>
        </w:rPr>
      </w:pPr>
      <w:r>
        <w:rPr>
          <w:rFonts w:ascii="Arial" w:hAnsi="Arial" w:cs="Arial"/>
          <w:snapToGrid w:val="0"/>
          <w:color w:val="000000"/>
          <w:sz w:val="17"/>
          <w:szCs w:val="17"/>
        </w:rPr>
        <w:t>04-</w:t>
      </w:r>
      <w:r w:rsidR="00103C10">
        <w:rPr>
          <w:rFonts w:ascii="Arial" w:hAnsi="Arial" w:cs="Arial"/>
          <w:snapToGrid w:val="0"/>
          <w:color w:val="000000"/>
          <w:sz w:val="17"/>
          <w:szCs w:val="17"/>
        </w:rPr>
        <w:t>22</w:t>
      </w:r>
      <w:bookmarkStart w:id="0" w:name="_GoBack"/>
      <w:bookmarkEnd w:id="0"/>
      <w:r>
        <w:rPr>
          <w:rFonts w:ascii="Arial" w:hAnsi="Arial" w:cs="Arial"/>
          <w:snapToGrid w:val="0"/>
          <w:color w:val="000000"/>
          <w:sz w:val="17"/>
          <w:szCs w:val="17"/>
        </w:rPr>
        <w:t>-2019</w:t>
      </w:r>
    </w:p>
    <w:p w14:paraId="6BAA1FF0" w14:textId="77777777" w:rsidR="00541F95" w:rsidRPr="00CA19FB" w:rsidRDefault="00541F95" w:rsidP="004C230F">
      <w:pPr>
        <w:rPr>
          <w:rFonts w:ascii="Arial" w:hAnsi="Arial" w:cs="Arial"/>
          <w:snapToGrid w:val="0"/>
          <w:color w:val="000000"/>
          <w:sz w:val="17"/>
          <w:szCs w:val="17"/>
        </w:rPr>
      </w:pPr>
    </w:p>
    <w:p w14:paraId="789831D8" w14:textId="77777777" w:rsidR="008B0D09" w:rsidRPr="008B0D09" w:rsidRDefault="008B0D09" w:rsidP="008B0D09">
      <w:pPr>
        <w:jc w:val="both"/>
        <w:rPr>
          <w:rFonts w:cstheme="minorHAnsi"/>
          <w:sz w:val="14"/>
          <w:szCs w:val="14"/>
        </w:rPr>
      </w:pPr>
      <w:r w:rsidRPr="008B0D09">
        <w:rPr>
          <w:rFonts w:cstheme="minorHAnsi"/>
          <w:sz w:val="14"/>
          <w:szCs w:val="14"/>
        </w:rPr>
        <w:t xml:space="preserve">Please remember that past performance may not be indicative of future results. Different types of investments involve varying degrees of risk, and there can be no assurance that the future performance of any specific investment, investment strategy, or product (including the investments and/or investment strategies recommended or undertaken by Private Capital Group, LLC (“PCG”), or any non-investment related content, made reference to directly or indirectly in this communication will be profitable, equal any corresponding indicated historical performance level(s), be suitable for your portfolio or individual situation, or prove successful. Due to various factors, including changing market conditions and/or applicable laws, the content may no longer be reflective of current opinions or positions. Information contained in this communication is based on data gathered from what we believe are reliable sources. It is not guaranteed by PCG as to accuracy, does not purport to be complete, and is not intended to be used as a primary basis for investment decisions. Further, you should not assume that any discussion or information contained in this communication serves as the receipt of, or as a substitute for, personalized investment advice from PCG. To the extent discussed herein, investment indices are unmanaged and cannot be purchased directly. </w:t>
      </w:r>
      <w:r w:rsidRPr="008B0D09">
        <w:rPr>
          <w:rFonts w:eastAsiaTheme="minorEastAsia" w:cstheme="minorHAnsi"/>
          <w:color w:val="000000" w:themeColor="text1"/>
          <w:kern w:val="24"/>
          <w:sz w:val="14"/>
          <w:szCs w:val="14"/>
        </w:rPr>
        <w:t xml:space="preserve">Historical performance results for investment indexes and/or categories are included for informational purposes only and generally do not reflect the deduction of transaction and/or custodial charges or the deduction of an investment-management fee, the incurrence of which would have the effect of decreasing historical performance results. </w:t>
      </w:r>
      <w:r w:rsidRPr="008B0D09">
        <w:rPr>
          <w:rFonts w:cstheme="minorHAnsi"/>
          <w:sz w:val="14"/>
          <w:szCs w:val="14"/>
        </w:rPr>
        <w:t xml:space="preserve">The S&amp;P 500 is an unmanaged index of 500 widely held stocks that is generally considered </w:t>
      </w:r>
      <w:r w:rsidRPr="008B0D09">
        <w:rPr>
          <w:rFonts w:cstheme="minorHAnsi"/>
          <w:sz w:val="14"/>
          <w:szCs w:val="14"/>
        </w:rPr>
        <w:lastRenderedPageBreak/>
        <w:t>representative of the US stock market. To the extent that a reader has any questions regarding the applicability of any specific issue discussed above to his/her individual situation, he/she is encouraged to consult with the professional advisor of his/her choosing.  PCG is neither a law firm nor a certified public accounting firm and no portion of the communication should be construed as legal or accounting advice.  A copy of the PCG’s current written disclosure Brochure discussing our advisory services and fees is available upon request.</w:t>
      </w:r>
    </w:p>
    <w:p w14:paraId="01BD2ED2" w14:textId="77777777" w:rsidR="004E2FED" w:rsidRDefault="008B0D09" w:rsidP="008B0D09">
      <w:pPr>
        <w:jc w:val="both"/>
        <w:rPr>
          <w:rFonts w:cstheme="minorHAnsi"/>
          <w:bCs/>
          <w:sz w:val="14"/>
          <w:szCs w:val="14"/>
        </w:rPr>
      </w:pPr>
      <w:r w:rsidRPr="008B0D09">
        <w:rPr>
          <w:rFonts w:cstheme="minorHAnsi"/>
          <w:b/>
          <w:i/>
          <w:sz w:val="14"/>
          <w:szCs w:val="14"/>
        </w:rPr>
        <w:t xml:space="preserve">Please Note:  </w:t>
      </w:r>
      <w:r w:rsidRPr="008B0D09">
        <w:rPr>
          <w:rFonts w:cstheme="minorHAnsi"/>
          <w:sz w:val="14"/>
          <w:szCs w:val="14"/>
        </w:rPr>
        <w:t xml:space="preserve">If you are a PCG client, please remember to contact PCG, in writing, if there are any changes in your personal/financial situation or investment objectives for the purpose of reviewing/evaluating/revising our previous recommendations and/or services, or if you would like to impose, add, or to modify any reasonable restrictions to our investment advisory services.  PCG shall continue to </w:t>
      </w:r>
      <w:r w:rsidRPr="008B0D09">
        <w:rPr>
          <w:rFonts w:cstheme="minorHAnsi"/>
          <w:bCs/>
          <w:sz w:val="14"/>
          <w:szCs w:val="14"/>
        </w:rPr>
        <w:t>rely on the accuracy of information that you have provided.</w:t>
      </w:r>
    </w:p>
    <w:p w14:paraId="51B9F1CC" w14:textId="77777777" w:rsidR="004E2FED" w:rsidRDefault="004E2FED" w:rsidP="008B0D09">
      <w:pPr>
        <w:jc w:val="both"/>
        <w:rPr>
          <w:rFonts w:cstheme="minorHAnsi"/>
          <w:bCs/>
          <w:sz w:val="14"/>
          <w:szCs w:val="14"/>
        </w:rPr>
      </w:pPr>
    </w:p>
    <w:p w14:paraId="657E1233" w14:textId="77777777" w:rsidR="008B0D09" w:rsidRPr="004E2FED" w:rsidRDefault="008B0D09" w:rsidP="008B0D09">
      <w:pPr>
        <w:jc w:val="both"/>
        <w:rPr>
          <w:rFonts w:cstheme="minorHAnsi"/>
          <w:bCs/>
          <w:sz w:val="14"/>
          <w:szCs w:val="14"/>
        </w:rPr>
      </w:pPr>
      <w:r w:rsidRPr="008B0D09">
        <w:rPr>
          <w:b/>
          <w:sz w:val="14"/>
          <w:szCs w:val="14"/>
          <w:u w:val="single"/>
        </w:rPr>
        <w:t xml:space="preserve">Disclosure from our Author: </w:t>
      </w:r>
    </w:p>
    <w:p w14:paraId="308D1F5F" w14:textId="77777777" w:rsidR="008B0D09" w:rsidRPr="008B0D09" w:rsidRDefault="008B0D09" w:rsidP="008B0D09">
      <w:pPr>
        <w:jc w:val="both"/>
        <w:rPr>
          <w:sz w:val="14"/>
          <w:szCs w:val="14"/>
        </w:rPr>
      </w:pPr>
      <w:r w:rsidRPr="008B0D09">
        <w:rPr>
          <w:sz w:val="14"/>
          <w:szCs w:val="14"/>
        </w:rPr>
        <w:t xml:space="preserve">Investment advisory services offered through PCG, a registered investment advisor. This e-mail may include forward-looking statements that are subject to certain risks and uncertainties. Actual results, performance, or achievements may differ materially from those expressed or implied. The above communication is written by Michael A. Higley.  Any comments, opinions or facts listed are those of Mr. Higley.  </w:t>
      </w:r>
    </w:p>
    <w:p w14:paraId="30F9481E" w14:textId="77777777" w:rsidR="00291D07" w:rsidRPr="008B0D09" w:rsidRDefault="00291D07" w:rsidP="00291D07">
      <w:pPr>
        <w:kinsoku w:val="0"/>
        <w:overflowPunct w:val="0"/>
        <w:autoSpaceDE w:val="0"/>
        <w:autoSpaceDN w:val="0"/>
        <w:adjustRightInd w:val="0"/>
        <w:spacing w:before="4"/>
        <w:rPr>
          <w:rFonts w:eastAsiaTheme="minorHAnsi"/>
          <w:sz w:val="14"/>
          <w:szCs w:val="14"/>
        </w:rPr>
      </w:pPr>
    </w:p>
    <w:p w14:paraId="6650811C" w14:textId="77777777" w:rsidR="00035DAA" w:rsidRPr="008B0D09" w:rsidRDefault="00035DAA" w:rsidP="00035DAA">
      <w:pPr>
        <w:kinsoku w:val="0"/>
        <w:overflowPunct w:val="0"/>
        <w:autoSpaceDE w:val="0"/>
        <w:autoSpaceDN w:val="0"/>
        <w:adjustRightInd w:val="0"/>
        <w:outlineLvl w:val="0"/>
        <w:rPr>
          <w:rFonts w:eastAsiaTheme="minorHAnsi"/>
          <w:b/>
          <w:bCs/>
          <w:sz w:val="14"/>
          <w:szCs w:val="14"/>
        </w:rPr>
      </w:pPr>
      <w:r w:rsidRPr="008B0D09">
        <w:rPr>
          <w:b/>
          <w:bCs/>
          <w:sz w:val="14"/>
          <w:szCs w:val="14"/>
        </w:rPr>
        <w:t xml:space="preserve">If you do not want to receive further editions of this weekly newsletter, please contact Private Capital Group at 860.561.1162, or e-mail: </w:t>
      </w:r>
      <w:r w:rsidRPr="008B0D09">
        <w:rPr>
          <w:b/>
          <w:bCs/>
          <w:color w:val="0461C1"/>
          <w:sz w:val="14"/>
          <w:szCs w:val="14"/>
        </w:rPr>
        <w:t>privatecapitalgroup@pcgct.com</w:t>
      </w:r>
      <w:r w:rsidRPr="008B0D09">
        <w:rPr>
          <w:b/>
          <w:bCs/>
          <w:color w:val="0000FF"/>
          <w:sz w:val="14"/>
          <w:szCs w:val="14"/>
        </w:rPr>
        <w:t xml:space="preserve">, </w:t>
      </w:r>
      <w:r w:rsidRPr="008B0D09">
        <w:rPr>
          <w:b/>
          <w:bCs/>
          <w:sz w:val="14"/>
          <w:szCs w:val="14"/>
        </w:rPr>
        <w:t>or write to us at Private Capital Group, LLC, 29 S. Main Street, West Hartford, CT 06107.</w:t>
      </w:r>
    </w:p>
    <w:sectPr w:rsidR="00035DAA" w:rsidRPr="008B0D09" w:rsidSect="00AD3C9B">
      <w:headerReference w:type="default" r:id="rId7"/>
      <w:footerReference w:type="default" r:id="rId8"/>
      <w:pgSz w:w="12240" w:h="15840" w:code="1"/>
      <w:pgMar w:top="1440" w:right="1080" w:bottom="1440" w:left="108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82129" w14:textId="77777777" w:rsidR="003B2AD1" w:rsidRDefault="003B2AD1" w:rsidP="003B2AD1">
      <w:r>
        <w:separator/>
      </w:r>
    </w:p>
  </w:endnote>
  <w:endnote w:type="continuationSeparator" w:id="0">
    <w:p w14:paraId="50624C2D" w14:textId="77777777" w:rsidR="003B2AD1" w:rsidRDefault="003B2AD1" w:rsidP="003B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6AFD" w14:textId="77777777" w:rsidR="003B2AD1" w:rsidRDefault="003B2AD1" w:rsidP="003B2AD1">
    <w:pPr>
      <w:pStyle w:val="Footer"/>
      <w:jc w:val="center"/>
    </w:pPr>
    <w:r>
      <w:t>Town Center, 29 South Main St. | West Hartford, CT 06107</w:t>
    </w:r>
  </w:p>
  <w:p w14:paraId="40FD424E" w14:textId="77777777" w:rsidR="003B2AD1" w:rsidRDefault="003B2AD1" w:rsidP="003B2AD1">
    <w:pPr>
      <w:pStyle w:val="Footer"/>
      <w:jc w:val="center"/>
    </w:pPr>
    <w:r>
      <w:t>Phone 860.561.1162 | Fax 860.561.1018 | Toll free 877.561.1162</w:t>
    </w:r>
  </w:p>
  <w:p w14:paraId="4EE56E5F" w14:textId="77777777" w:rsidR="003B2AD1" w:rsidRDefault="003B2AD1" w:rsidP="003B2AD1">
    <w:pPr>
      <w:pStyle w:val="Footer"/>
      <w:jc w:val="center"/>
    </w:pPr>
    <w:r>
      <w:t>www.pcgct.com</w:t>
    </w:r>
  </w:p>
  <w:p w14:paraId="52C809A7" w14:textId="77777777" w:rsidR="003B2AD1" w:rsidRDefault="003B2AD1" w:rsidP="003B2A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61F6F" w14:textId="77777777" w:rsidR="003B2AD1" w:rsidRDefault="003B2AD1" w:rsidP="003B2AD1">
      <w:r>
        <w:separator/>
      </w:r>
    </w:p>
  </w:footnote>
  <w:footnote w:type="continuationSeparator" w:id="0">
    <w:p w14:paraId="5AD8E17B" w14:textId="77777777" w:rsidR="003B2AD1" w:rsidRDefault="003B2AD1" w:rsidP="003B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FBDC" w14:textId="77777777" w:rsidR="003B2AD1" w:rsidRDefault="003B2AD1">
    <w:pPr>
      <w:pStyle w:val="Header"/>
    </w:pPr>
    <w:r>
      <w:rPr>
        <w:noProof/>
      </w:rPr>
      <w:drawing>
        <wp:inline distT="0" distB="0" distL="0" distR="0" wp14:anchorId="2D2E820F" wp14:editId="6C4050E3">
          <wp:extent cx="1255776" cy="76504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vate Capital Group Color Logo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776" cy="765048"/>
                  </a:xfrm>
                  <a:prstGeom prst="rect">
                    <a:avLst/>
                  </a:prstGeom>
                </pic:spPr>
              </pic:pic>
            </a:graphicData>
          </a:graphic>
        </wp:inline>
      </w:drawing>
    </w:r>
  </w:p>
  <w:p w14:paraId="069BF30E" w14:textId="77777777" w:rsidR="003B2AD1" w:rsidRDefault="003B2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8150B"/>
    <w:multiLevelType w:val="singleLevel"/>
    <w:tmpl w:val="B5D8AEBE"/>
    <w:lvl w:ilvl="0">
      <w:start w:val="1"/>
      <w:numFmt w:val="decimal"/>
      <w:lvlText w:val="%1."/>
      <w:lvlJc w:val="left"/>
      <w:pPr>
        <w:tabs>
          <w:tab w:val="num" w:pos="360"/>
        </w:tabs>
        <w:ind w:left="360" w:hanging="360"/>
      </w:pPr>
      <w:rPr>
        <w:rFonts w:ascii="Arial" w:hAnsi="Arial" w:cs="Arial" w:hint="default"/>
        <w:b w:val="0"/>
      </w:r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96"/>
    <w:rsid w:val="00035B15"/>
    <w:rsid w:val="00035DAA"/>
    <w:rsid w:val="00080767"/>
    <w:rsid w:val="00103C10"/>
    <w:rsid w:val="001520DD"/>
    <w:rsid w:val="0015354A"/>
    <w:rsid w:val="001658D3"/>
    <w:rsid w:val="00166A7A"/>
    <w:rsid w:val="001B0201"/>
    <w:rsid w:val="001C1E38"/>
    <w:rsid w:val="001F6B86"/>
    <w:rsid w:val="00280368"/>
    <w:rsid w:val="00290DC9"/>
    <w:rsid w:val="00291D07"/>
    <w:rsid w:val="00333826"/>
    <w:rsid w:val="00340C59"/>
    <w:rsid w:val="00365962"/>
    <w:rsid w:val="00375D82"/>
    <w:rsid w:val="00376664"/>
    <w:rsid w:val="003B2AD1"/>
    <w:rsid w:val="003E5C48"/>
    <w:rsid w:val="0040673C"/>
    <w:rsid w:val="00477BA2"/>
    <w:rsid w:val="004C230F"/>
    <w:rsid w:val="004D3519"/>
    <w:rsid w:val="004D7856"/>
    <w:rsid w:val="004E2FED"/>
    <w:rsid w:val="004F21C5"/>
    <w:rsid w:val="005211F1"/>
    <w:rsid w:val="00541F95"/>
    <w:rsid w:val="00556CFB"/>
    <w:rsid w:val="005E570A"/>
    <w:rsid w:val="00603BA6"/>
    <w:rsid w:val="006306B7"/>
    <w:rsid w:val="00672B05"/>
    <w:rsid w:val="00697FF6"/>
    <w:rsid w:val="006C4821"/>
    <w:rsid w:val="00711D91"/>
    <w:rsid w:val="007535E3"/>
    <w:rsid w:val="007C3EAF"/>
    <w:rsid w:val="007E1206"/>
    <w:rsid w:val="007E3994"/>
    <w:rsid w:val="007F533D"/>
    <w:rsid w:val="00800372"/>
    <w:rsid w:val="008131D9"/>
    <w:rsid w:val="0085088D"/>
    <w:rsid w:val="00855B05"/>
    <w:rsid w:val="00870735"/>
    <w:rsid w:val="008B0D09"/>
    <w:rsid w:val="008C2C61"/>
    <w:rsid w:val="008F1C12"/>
    <w:rsid w:val="009A1DB6"/>
    <w:rsid w:val="009E01BB"/>
    <w:rsid w:val="00AD3C9B"/>
    <w:rsid w:val="00AE2DEF"/>
    <w:rsid w:val="00B72A82"/>
    <w:rsid w:val="00BA2449"/>
    <w:rsid w:val="00BF2941"/>
    <w:rsid w:val="00C00F92"/>
    <w:rsid w:val="00C17130"/>
    <w:rsid w:val="00C17896"/>
    <w:rsid w:val="00C242F7"/>
    <w:rsid w:val="00C90500"/>
    <w:rsid w:val="00CA4C59"/>
    <w:rsid w:val="00CB2B9A"/>
    <w:rsid w:val="00D05EC8"/>
    <w:rsid w:val="00D24192"/>
    <w:rsid w:val="00D32442"/>
    <w:rsid w:val="00DE5B24"/>
    <w:rsid w:val="00E74F30"/>
    <w:rsid w:val="00E87C55"/>
    <w:rsid w:val="00E913DA"/>
    <w:rsid w:val="00EA3804"/>
    <w:rsid w:val="00EC163A"/>
    <w:rsid w:val="00EF1A8C"/>
    <w:rsid w:val="00F13871"/>
    <w:rsid w:val="00F4016A"/>
    <w:rsid w:val="00F46FD2"/>
    <w:rsid w:val="00F54192"/>
    <w:rsid w:val="00F824C9"/>
    <w:rsid w:val="00FB4EE6"/>
    <w:rsid w:val="00FE326D"/>
    <w:rsid w:val="00FE5083"/>
    <w:rsid w:val="00FF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F3C57A0"/>
  <w15:chartTrackingRefBased/>
  <w15:docId w15:val="{909635E8-7976-441C-9107-27FEE1D3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8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896"/>
    <w:pPr>
      <w:ind w:left="720"/>
    </w:pPr>
    <w:rPr>
      <w:sz w:val="20"/>
      <w:szCs w:val="20"/>
    </w:rPr>
  </w:style>
  <w:style w:type="paragraph" w:styleId="Header">
    <w:name w:val="header"/>
    <w:basedOn w:val="Normal"/>
    <w:link w:val="HeaderChar"/>
    <w:uiPriority w:val="99"/>
    <w:unhideWhenUsed/>
    <w:rsid w:val="003B2AD1"/>
    <w:pPr>
      <w:tabs>
        <w:tab w:val="center" w:pos="4680"/>
        <w:tab w:val="right" w:pos="9360"/>
      </w:tabs>
    </w:pPr>
  </w:style>
  <w:style w:type="character" w:customStyle="1" w:styleId="HeaderChar">
    <w:name w:val="Header Char"/>
    <w:basedOn w:val="DefaultParagraphFont"/>
    <w:link w:val="Header"/>
    <w:uiPriority w:val="99"/>
    <w:rsid w:val="003B2A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2AD1"/>
    <w:pPr>
      <w:tabs>
        <w:tab w:val="center" w:pos="4680"/>
        <w:tab w:val="right" w:pos="9360"/>
      </w:tabs>
    </w:pPr>
  </w:style>
  <w:style w:type="character" w:customStyle="1" w:styleId="FooterChar">
    <w:name w:val="Footer Char"/>
    <w:basedOn w:val="DefaultParagraphFont"/>
    <w:link w:val="Footer"/>
    <w:uiPriority w:val="99"/>
    <w:rsid w:val="003B2AD1"/>
    <w:rPr>
      <w:rFonts w:ascii="Times New Roman" w:eastAsia="Times New Roman" w:hAnsi="Times New Roman" w:cs="Times New Roman"/>
      <w:sz w:val="24"/>
      <w:szCs w:val="24"/>
    </w:rPr>
  </w:style>
  <w:style w:type="paragraph" w:customStyle="1" w:styleId="Default">
    <w:name w:val="Default"/>
    <w:rsid w:val="00035DA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24192"/>
    <w:pPr>
      <w:spacing w:after="0" w:line="240" w:lineRule="auto"/>
    </w:pPr>
    <w:rPr>
      <w:rFonts w:ascii="Times New Roman" w:eastAsia="Times New Roman" w:hAnsi="Times New Roman" w:cs="Times New Roman"/>
      <w:sz w:val="20"/>
      <w:szCs w:val="20"/>
    </w:rPr>
  </w:style>
  <w:style w:type="character" w:customStyle="1" w:styleId="tgc">
    <w:name w:val="_tgc"/>
    <w:rsid w:val="005E570A"/>
  </w:style>
  <w:style w:type="character" w:customStyle="1" w:styleId="ilfuvd">
    <w:name w:val="ilfuvd"/>
    <w:rsid w:val="004F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0103">
      <w:bodyDiv w:val="1"/>
      <w:marLeft w:val="0"/>
      <w:marRight w:val="0"/>
      <w:marTop w:val="0"/>
      <w:marBottom w:val="0"/>
      <w:divBdr>
        <w:top w:val="none" w:sz="0" w:space="0" w:color="auto"/>
        <w:left w:val="none" w:sz="0" w:space="0" w:color="auto"/>
        <w:bottom w:val="none" w:sz="0" w:space="0" w:color="auto"/>
        <w:right w:val="none" w:sz="0" w:space="0" w:color="auto"/>
      </w:divBdr>
    </w:div>
    <w:div w:id="1280380071">
      <w:bodyDiv w:val="1"/>
      <w:marLeft w:val="0"/>
      <w:marRight w:val="0"/>
      <w:marTop w:val="0"/>
      <w:marBottom w:val="0"/>
      <w:divBdr>
        <w:top w:val="none" w:sz="0" w:space="0" w:color="auto"/>
        <w:left w:val="none" w:sz="0" w:space="0" w:color="auto"/>
        <w:bottom w:val="none" w:sz="0" w:space="0" w:color="auto"/>
        <w:right w:val="none" w:sz="0" w:space="0" w:color="auto"/>
      </w:divBdr>
    </w:div>
    <w:div w:id="1419717452">
      <w:bodyDiv w:val="1"/>
      <w:marLeft w:val="0"/>
      <w:marRight w:val="0"/>
      <w:marTop w:val="0"/>
      <w:marBottom w:val="0"/>
      <w:divBdr>
        <w:top w:val="none" w:sz="0" w:space="0" w:color="auto"/>
        <w:left w:val="none" w:sz="0" w:space="0" w:color="auto"/>
        <w:bottom w:val="none" w:sz="0" w:space="0" w:color="auto"/>
        <w:right w:val="none" w:sz="0" w:space="0" w:color="auto"/>
      </w:divBdr>
    </w:div>
    <w:div w:id="1759519528">
      <w:bodyDiv w:val="1"/>
      <w:marLeft w:val="0"/>
      <w:marRight w:val="0"/>
      <w:marTop w:val="0"/>
      <w:marBottom w:val="0"/>
      <w:divBdr>
        <w:top w:val="none" w:sz="0" w:space="0" w:color="auto"/>
        <w:left w:val="none" w:sz="0" w:space="0" w:color="auto"/>
        <w:bottom w:val="none" w:sz="0" w:space="0" w:color="auto"/>
        <w:right w:val="none" w:sz="0" w:space="0" w:color="auto"/>
      </w:divBdr>
    </w:div>
    <w:div w:id="1883012210">
      <w:bodyDiv w:val="1"/>
      <w:marLeft w:val="0"/>
      <w:marRight w:val="0"/>
      <w:marTop w:val="0"/>
      <w:marBottom w:val="0"/>
      <w:divBdr>
        <w:top w:val="none" w:sz="0" w:space="0" w:color="auto"/>
        <w:left w:val="none" w:sz="0" w:space="0" w:color="auto"/>
        <w:bottom w:val="none" w:sz="0" w:space="0" w:color="auto"/>
        <w:right w:val="none" w:sz="0" w:space="0" w:color="auto"/>
      </w:divBdr>
    </w:div>
    <w:div w:id="1914006933">
      <w:bodyDiv w:val="1"/>
      <w:marLeft w:val="0"/>
      <w:marRight w:val="0"/>
      <w:marTop w:val="0"/>
      <w:marBottom w:val="0"/>
      <w:divBdr>
        <w:top w:val="none" w:sz="0" w:space="0" w:color="auto"/>
        <w:left w:val="none" w:sz="0" w:space="0" w:color="auto"/>
        <w:bottom w:val="none" w:sz="0" w:space="0" w:color="auto"/>
        <w:right w:val="none" w:sz="0" w:space="0" w:color="auto"/>
      </w:divBdr>
    </w:div>
    <w:div w:id="20644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963</Words>
  <Characters>5222</Characters>
  <Application>Microsoft Office Word</Application>
  <DocSecurity>0</DocSecurity>
  <PresentationFormat>15|.DOCX</PresentationFormat>
  <Lines>67</Lines>
  <Paragraphs>15</Paragraphs>
  <ScaleCrop>false</ScaleCrop>
  <HeadingPairs>
    <vt:vector size="2" baseType="variant">
      <vt:variant>
        <vt:lpstr>Title</vt:lpstr>
      </vt:variant>
      <vt:variant>
        <vt:i4>1</vt:i4>
      </vt:variant>
    </vt:vector>
  </HeadingPairs>
  <TitlesOfParts>
    <vt:vector size="1" baseType="lpstr">
      <vt:lpstr>(WMR PCG ).docx</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(WMR PCG ).docx</dc:title>
  <dc:subject/>
  <dc:creator>Mary Beth Pinney</dc:creator>
  <cp:keywords/>
  <dc:description/>
  <cp:lastModifiedBy>Danielle Bialoglowy</cp:lastModifiedBy>
  <cp:revision>29</cp:revision>
  <cp:lastPrinted>2019-03-04T17:16:00Z</cp:lastPrinted>
  <dcterms:created xsi:type="dcterms:W3CDTF">2018-10-29T13:08:00Z</dcterms:created>
  <dcterms:modified xsi:type="dcterms:W3CDTF">2019-04-22T12:33:00Z</dcterms:modified>
</cp:coreProperties>
</file>