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4C5" w:rsidRPr="00F82321" w:rsidRDefault="001237B8" w:rsidP="001F35F0">
      <w:pPr>
        <w:spacing w:before="160" w:line="276" w:lineRule="auto"/>
        <w:jc w:val="center"/>
        <w:rPr>
          <w:rFonts w:asciiTheme="majorHAnsi" w:hAnsiTheme="majorHAnsi" w:cs="Times New Roman"/>
          <w:i/>
          <w:sz w:val="28"/>
          <w:szCs w:val="24"/>
        </w:rPr>
      </w:pPr>
      <w:r>
        <w:rPr>
          <w:rFonts w:asciiTheme="majorHAnsi" w:hAnsiTheme="majorHAnsi" w:cs="Times New Roman"/>
          <w:i/>
          <w:sz w:val="28"/>
          <w:szCs w:val="24"/>
        </w:rPr>
        <w:t xml:space="preserve">In this week’s </w:t>
      </w:r>
      <w:r w:rsidRPr="003035CB">
        <w:rPr>
          <w:rFonts w:asciiTheme="majorHAnsi" w:hAnsiTheme="majorHAnsi" w:cs="Times New Roman"/>
          <w:i/>
          <w:sz w:val="28"/>
          <w:szCs w:val="24"/>
        </w:rPr>
        <w:t xml:space="preserve">recap: a consumer spending miss, a slight decline in confidence, a wave of new home buying, and </w:t>
      </w:r>
      <w:r>
        <w:rPr>
          <w:rFonts w:asciiTheme="majorHAnsi" w:hAnsiTheme="majorHAnsi" w:cs="Times New Roman"/>
          <w:i/>
          <w:sz w:val="28"/>
          <w:szCs w:val="24"/>
        </w:rPr>
        <w:t>the end of a</w:t>
      </w:r>
      <w:r w:rsidRPr="003035CB">
        <w:rPr>
          <w:rFonts w:asciiTheme="majorHAnsi" w:hAnsiTheme="majorHAnsi" w:cs="Times New Roman"/>
          <w:i/>
          <w:sz w:val="28"/>
          <w:szCs w:val="24"/>
        </w:rPr>
        <w:t xml:space="preserve"> </w:t>
      </w:r>
      <w:r>
        <w:rPr>
          <w:rFonts w:asciiTheme="majorHAnsi" w:hAnsiTheme="majorHAnsi" w:cs="Times New Roman"/>
          <w:i/>
          <w:sz w:val="28"/>
          <w:szCs w:val="24"/>
        </w:rPr>
        <w:t>good</w:t>
      </w:r>
      <w:r w:rsidRPr="003035CB">
        <w:rPr>
          <w:rFonts w:asciiTheme="majorHAnsi" w:hAnsiTheme="majorHAnsi" w:cs="Times New Roman"/>
          <w:i/>
          <w:sz w:val="28"/>
          <w:szCs w:val="24"/>
        </w:rPr>
        <w:t xml:space="preserve"> quarter for equities.</w:t>
      </w:r>
    </w:p>
    <w:p w:rsidR="00F82321" w:rsidRPr="001237B8" w:rsidRDefault="001237B8" w:rsidP="001F35F0">
      <w:pPr>
        <w:spacing w:before="160" w:line="276" w:lineRule="auto"/>
        <w:jc w:val="center"/>
        <w:rPr>
          <w:rFonts w:asciiTheme="majorHAnsi" w:hAnsiTheme="majorHAnsi" w:cs="Times New Roman"/>
          <w:b/>
          <w:color w:val="00CCFF"/>
          <w:sz w:val="72"/>
          <w:szCs w:val="24"/>
        </w:rPr>
      </w:pPr>
      <w:r>
        <w:rPr>
          <w:rFonts w:asciiTheme="majorHAnsi" w:hAnsiTheme="majorHAnsi" w:cs="Times New Roman"/>
          <w:color w:val="000000" w:themeColor="text1"/>
          <w:szCs w:val="24"/>
        </w:rPr>
        <w:br/>
      </w:r>
      <w:r w:rsidRPr="001237B8">
        <w:rPr>
          <w:rFonts w:asciiTheme="majorHAnsi" w:hAnsiTheme="majorHAnsi"/>
          <w:b/>
          <w:noProof/>
          <w:color w:val="00CCFF"/>
          <w:sz w:val="72"/>
        </w:rPr>
        <w:t>Weekly Economic Update</w:t>
      </w:r>
    </w:p>
    <w:p w:rsidR="00B2579B" w:rsidRDefault="001237B8" w:rsidP="001F35F0">
      <w:pPr>
        <w:spacing w:before="160" w:line="276" w:lineRule="auto"/>
        <w:jc w:val="center"/>
        <w:rPr>
          <w:rFonts w:asciiTheme="majorHAnsi" w:hAnsiTheme="majorHAnsi" w:cs="Times New Roman"/>
          <w:i/>
          <w:color w:val="376B8D"/>
          <w:sz w:val="28"/>
          <w:szCs w:val="24"/>
        </w:rPr>
      </w:pPr>
      <w:r w:rsidRPr="004A2938">
        <w:rPr>
          <w:rFonts w:asciiTheme="majorHAnsi" w:hAnsiTheme="majorHAnsi"/>
          <w:noProof/>
          <w:sz w:val="10"/>
        </w:rPr>
        <w:drawing>
          <wp:inline distT="0" distB="0" distL="0" distR="0">
            <wp:extent cx="5852160"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rsidR="00A56786" w:rsidRPr="00A56786" w:rsidRDefault="00A97A09" w:rsidP="001F35F0">
      <w:pPr>
        <w:spacing w:before="160" w:line="276" w:lineRule="auto"/>
        <w:jc w:val="center"/>
        <w:rPr>
          <w:rFonts w:asciiTheme="majorHAnsi" w:hAnsiTheme="majorHAnsi" w:cs="Times New Roman"/>
          <w:color w:val="808080" w:themeColor="background1" w:themeShade="80"/>
          <w:sz w:val="12"/>
          <w:szCs w:val="24"/>
        </w:rPr>
      </w:pPr>
    </w:p>
    <w:p w:rsidR="00F82321" w:rsidRPr="001237B8" w:rsidRDefault="001237B8" w:rsidP="001F35F0">
      <w:pPr>
        <w:spacing w:before="160" w:line="276" w:lineRule="auto"/>
        <w:jc w:val="center"/>
        <w:rPr>
          <w:rFonts w:asciiTheme="majorHAnsi" w:hAnsiTheme="majorHAnsi" w:cs="Times New Roman"/>
          <w:i/>
          <w:color w:val="00CCFF"/>
          <w:sz w:val="24"/>
          <w:szCs w:val="24"/>
        </w:rPr>
      </w:pPr>
      <w:r w:rsidRPr="001237B8">
        <w:rPr>
          <w:rFonts w:asciiTheme="majorHAnsi" w:hAnsiTheme="majorHAnsi" w:cs="Times New Roman"/>
          <w:i/>
          <w:color w:val="00CCFF"/>
          <w:sz w:val="24"/>
          <w:szCs w:val="24"/>
        </w:rPr>
        <w:t>Presented by Ellen Dorle, CFP, July 2, 2018</w:t>
      </w:r>
    </w:p>
    <w:p w:rsidR="002544C5" w:rsidRPr="001237B8" w:rsidRDefault="00A97A09" w:rsidP="001F35F0">
      <w:pPr>
        <w:spacing w:before="160" w:line="276" w:lineRule="auto"/>
        <w:jc w:val="center"/>
        <w:rPr>
          <w:rFonts w:asciiTheme="majorHAnsi" w:hAnsiTheme="majorHAnsi" w:cs="Times New Roman"/>
          <w:color w:val="00CCFF"/>
          <w:szCs w:val="24"/>
        </w:rPr>
      </w:pPr>
    </w:p>
    <w:p w:rsidR="00E24345" w:rsidRPr="001237B8" w:rsidRDefault="001237B8" w:rsidP="001F35F0">
      <w:pPr>
        <w:spacing w:line="276" w:lineRule="auto"/>
        <w:jc w:val="both"/>
        <w:rPr>
          <w:rFonts w:asciiTheme="majorHAnsi" w:hAnsiTheme="majorHAnsi"/>
          <w:b/>
          <w:caps/>
          <w:color w:val="00CCFF"/>
          <w:sz w:val="28"/>
        </w:rPr>
      </w:pPr>
      <w:r w:rsidRPr="001237B8">
        <w:rPr>
          <w:rFonts w:asciiTheme="majorHAnsi" w:hAnsiTheme="majorHAnsi"/>
          <w:b/>
          <w:caps/>
          <w:color w:val="00CCFF"/>
          <w:sz w:val="28"/>
        </w:rPr>
        <w:t>INCOME AND SPENDING RISE, ALONG WITH CORE INFLATION</w:t>
      </w:r>
    </w:p>
    <w:p w:rsidR="004A2938" w:rsidRDefault="001237B8" w:rsidP="001F35F0">
      <w:pPr>
        <w:spacing w:line="276" w:lineRule="auto"/>
        <w:jc w:val="both"/>
        <w:rPr>
          <w:rStyle w:val="st"/>
          <w:rFonts w:asciiTheme="majorHAnsi" w:hAnsiTheme="majorHAnsi"/>
          <w:sz w:val="24"/>
          <w:vertAlign w:val="superscript"/>
        </w:rPr>
      </w:pPr>
      <w:r>
        <w:rPr>
          <w:rStyle w:val="st"/>
          <w:rFonts w:asciiTheme="majorHAnsi" w:hAnsiTheme="majorHAnsi"/>
          <w:sz w:val="24"/>
        </w:rPr>
        <w:t>According to the latest monthly Department of Commerce snapshot, personal incomes improved 0.4% in May. Personal spending, however, advanced just 0.2% (half the gain forecast by economists polled by Reuters) and was actually flat when adjusted for inflation. May also brought the sixth straight 0.2% monthly increase for the core PCE price index, which the Federal Reserve uses as its inflation yardstick. The core PCE was up 2.0% year-over-year through May, reaching the central bank’s annualized inflation target for the first time in more than six years.</w:t>
      </w:r>
      <w:r w:rsidRPr="00E24345">
        <w:rPr>
          <w:rStyle w:val="st"/>
          <w:rFonts w:asciiTheme="majorHAnsi" w:hAnsiTheme="majorHAnsi"/>
          <w:sz w:val="24"/>
          <w:vertAlign w:val="superscript"/>
        </w:rPr>
        <w:t>1</w:t>
      </w:r>
    </w:p>
    <w:p w:rsidR="00E24345" w:rsidRPr="00E24345" w:rsidRDefault="00A97A09" w:rsidP="001F35F0">
      <w:pPr>
        <w:spacing w:line="276" w:lineRule="auto"/>
        <w:jc w:val="both"/>
        <w:rPr>
          <w:rStyle w:val="st"/>
          <w:rFonts w:asciiTheme="majorHAnsi" w:hAnsiTheme="majorHAnsi"/>
          <w:sz w:val="24"/>
        </w:rPr>
      </w:pPr>
    </w:p>
    <w:p w:rsidR="004A2938" w:rsidRPr="001237B8" w:rsidRDefault="001237B8" w:rsidP="001F35F0">
      <w:pPr>
        <w:spacing w:line="276" w:lineRule="auto"/>
        <w:jc w:val="both"/>
        <w:rPr>
          <w:rFonts w:asciiTheme="majorHAnsi" w:hAnsiTheme="majorHAnsi"/>
          <w:b/>
          <w:caps/>
          <w:color w:val="00CCFF"/>
          <w:sz w:val="28"/>
        </w:rPr>
      </w:pPr>
      <w:r w:rsidRPr="001237B8">
        <w:rPr>
          <w:rFonts w:asciiTheme="majorHAnsi" w:hAnsiTheme="majorHAnsi"/>
          <w:b/>
          <w:caps/>
          <w:color w:val="00CCFF"/>
          <w:sz w:val="28"/>
        </w:rPr>
        <w:t>CONSUMER CONFIDENCE GAUGES SHOW JUNE DECLINES</w:t>
      </w:r>
    </w:p>
    <w:p w:rsidR="004A2938" w:rsidRPr="00B8063B" w:rsidRDefault="001237B8" w:rsidP="004F41ED">
      <w:pPr>
        <w:spacing w:line="276" w:lineRule="auto"/>
        <w:jc w:val="both"/>
        <w:rPr>
          <w:rStyle w:val="st"/>
          <w:rFonts w:asciiTheme="majorHAnsi" w:hAnsiTheme="majorHAnsi"/>
          <w:sz w:val="24"/>
          <w:vertAlign w:val="superscript"/>
        </w:rPr>
      </w:pPr>
      <w:r w:rsidRPr="00B8063B">
        <w:rPr>
          <w:rStyle w:val="st"/>
          <w:rFonts w:asciiTheme="majorHAnsi" w:hAnsiTheme="majorHAnsi"/>
          <w:sz w:val="24"/>
        </w:rPr>
        <w:t>The University of Michigan consumer sentiment index and the Conference Board consumer confidence index both came in lower for June. The UMich index dipped 1.1 points from its previous reading to a final June mark of 98.2; meanwhile, the CB’s gauge dipped 2.4 points to a still-impressive 126.4.</w:t>
      </w:r>
      <w:r w:rsidRPr="00B8063B">
        <w:rPr>
          <w:rStyle w:val="st"/>
          <w:rFonts w:asciiTheme="majorHAnsi" w:hAnsiTheme="majorHAnsi"/>
          <w:sz w:val="24"/>
          <w:vertAlign w:val="superscript"/>
        </w:rPr>
        <w:t>2</w:t>
      </w:r>
    </w:p>
    <w:p w:rsidR="00E24345" w:rsidRPr="001237B8" w:rsidRDefault="00A97A09" w:rsidP="001F35F0">
      <w:pPr>
        <w:spacing w:line="276" w:lineRule="auto"/>
        <w:jc w:val="both"/>
        <w:rPr>
          <w:rStyle w:val="st"/>
          <w:rFonts w:asciiTheme="majorHAnsi" w:hAnsiTheme="majorHAnsi"/>
          <w:color w:val="00CCFF"/>
          <w:sz w:val="24"/>
        </w:rPr>
      </w:pPr>
    </w:p>
    <w:p w:rsidR="004A2938" w:rsidRPr="001237B8" w:rsidRDefault="001237B8" w:rsidP="001F35F0">
      <w:pPr>
        <w:spacing w:line="276" w:lineRule="auto"/>
        <w:jc w:val="both"/>
        <w:rPr>
          <w:rFonts w:asciiTheme="majorHAnsi" w:hAnsiTheme="majorHAnsi"/>
          <w:b/>
          <w:caps/>
          <w:color w:val="00CCFF"/>
          <w:sz w:val="28"/>
        </w:rPr>
      </w:pPr>
      <w:r w:rsidRPr="001237B8">
        <w:rPr>
          <w:rFonts w:asciiTheme="majorHAnsi" w:hAnsiTheme="majorHAnsi"/>
          <w:b/>
          <w:caps/>
          <w:color w:val="00CCFF"/>
          <w:sz w:val="28"/>
        </w:rPr>
        <w:t>New Home SALES JUMP 6.7%</w:t>
      </w:r>
    </w:p>
    <w:p w:rsidR="004A2938" w:rsidRPr="004F41ED" w:rsidRDefault="001237B8" w:rsidP="004F41ED">
      <w:pPr>
        <w:spacing w:line="276" w:lineRule="auto"/>
        <w:jc w:val="both"/>
        <w:rPr>
          <w:rStyle w:val="st"/>
          <w:rFonts w:asciiTheme="majorHAnsi" w:hAnsiTheme="majorHAnsi"/>
          <w:sz w:val="24"/>
          <w:vertAlign w:val="superscript"/>
        </w:rPr>
      </w:pPr>
      <w:r w:rsidRPr="004F41ED">
        <w:rPr>
          <w:rStyle w:val="st"/>
          <w:rFonts w:asciiTheme="majorHAnsi" w:hAnsiTheme="majorHAnsi"/>
          <w:sz w:val="24"/>
        </w:rPr>
        <w:t>In part, this May gain can be credited to a 17.9% surge in the South, which left new home buying in that region at its best annual pace in 11 years. The Census Bureau also noted that the median new home sale price fell 3.3% across the 12 months ending in May.</w:t>
      </w:r>
      <w:r w:rsidRPr="004F41ED">
        <w:rPr>
          <w:rStyle w:val="st"/>
          <w:rFonts w:asciiTheme="majorHAnsi" w:hAnsiTheme="majorHAnsi"/>
          <w:sz w:val="24"/>
          <w:vertAlign w:val="superscript"/>
        </w:rPr>
        <w:t>3</w:t>
      </w:r>
    </w:p>
    <w:p w:rsidR="00E24345" w:rsidRPr="00E24345" w:rsidRDefault="00A97A09" w:rsidP="001F35F0">
      <w:pPr>
        <w:spacing w:line="276" w:lineRule="auto"/>
        <w:jc w:val="both"/>
        <w:rPr>
          <w:rStyle w:val="st"/>
          <w:rFonts w:asciiTheme="majorHAnsi" w:hAnsiTheme="majorHAnsi"/>
        </w:rPr>
      </w:pPr>
    </w:p>
    <w:p w:rsidR="004A2938" w:rsidRPr="001237B8" w:rsidRDefault="001237B8" w:rsidP="001F35F0">
      <w:pPr>
        <w:spacing w:line="276" w:lineRule="auto"/>
        <w:jc w:val="both"/>
        <w:rPr>
          <w:rFonts w:asciiTheme="majorHAnsi" w:hAnsiTheme="majorHAnsi"/>
          <w:b/>
          <w:caps/>
          <w:color w:val="00CCFF"/>
          <w:sz w:val="28"/>
        </w:rPr>
      </w:pPr>
      <w:r w:rsidRPr="001237B8">
        <w:rPr>
          <w:rFonts w:asciiTheme="majorHAnsi" w:hAnsiTheme="majorHAnsi"/>
          <w:b/>
          <w:caps/>
          <w:color w:val="00CCFF"/>
          <w:sz w:val="28"/>
        </w:rPr>
        <w:t>A LOSING WEEK, BUT A WINNING QUARTER</w:t>
      </w:r>
    </w:p>
    <w:p w:rsidR="004A2938" w:rsidRPr="004F41ED" w:rsidRDefault="001237B8" w:rsidP="001F35F0">
      <w:pPr>
        <w:spacing w:line="276" w:lineRule="auto"/>
        <w:jc w:val="both"/>
        <w:rPr>
          <w:rStyle w:val="st"/>
          <w:rFonts w:asciiTheme="majorHAnsi" w:hAnsiTheme="majorHAnsi"/>
          <w:color w:val="1F4E79" w:themeColor="accent5" w:themeShade="80"/>
          <w:sz w:val="24"/>
          <w:vertAlign w:val="superscript"/>
        </w:rPr>
      </w:pPr>
      <w:r w:rsidRPr="008552C9">
        <w:rPr>
          <w:rStyle w:val="st"/>
          <w:rFonts w:asciiTheme="majorHAnsi" w:hAnsiTheme="majorHAnsi"/>
          <w:sz w:val="24"/>
        </w:rPr>
        <w:lastRenderedPageBreak/>
        <w:t>All three of the major Wall Street indices retreated last week. The S&amp;P 500 lost 1.33%</w:t>
      </w:r>
      <w:r>
        <w:rPr>
          <w:rStyle w:val="st"/>
          <w:rFonts w:asciiTheme="majorHAnsi" w:hAnsiTheme="majorHAnsi"/>
          <w:sz w:val="24"/>
        </w:rPr>
        <w:t>;</w:t>
      </w:r>
      <w:r w:rsidRPr="008552C9">
        <w:rPr>
          <w:rStyle w:val="st"/>
          <w:rFonts w:asciiTheme="majorHAnsi" w:hAnsiTheme="majorHAnsi"/>
          <w:sz w:val="24"/>
        </w:rPr>
        <w:t xml:space="preserve"> the Nasdaq </w:t>
      </w:r>
      <w:r w:rsidRPr="00952C3C">
        <w:rPr>
          <w:rStyle w:val="st"/>
          <w:rFonts w:asciiTheme="majorHAnsi" w:hAnsiTheme="majorHAnsi"/>
          <w:sz w:val="24"/>
        </w:rPr>
        <w:t>Composite</w:t>
      </w:r>
      <w:r>
        <w:rPr>
          <w:rStyle w:val="st"/>
          <w:rFonts w:asciiTheme="majorHAnsi" w:hAnsiTheme="majorHAnsi"/>
          <w:sz w:val="24"/>
        </w:rPr>
        <w:t xml:space="preserve">, </w:t>
      </w:r>
      <w:r w:rsidRPr="00952C3C">
        <w:rPr>
          <w:rStyle w:val="st"/>
          <w:rFonts w:asciiTheme="majorHAnsi" w:hAnsiTheme="majorHAnsi"/>
          <w:sz w:val="24"/>
        </w:rPr>
        <w:t>2.37%</w:t>
      </w:r>
      <w:r>
        <w:rPr>
          <w:rStyle w:val="st"/>
          <w:rFonts w:asciiTheme="majorHAnsi" w:hAnsiTheme="majorHAnsi"/>
          <w:sz w:val="24"/>
        </w:rPr>
        <w:t xml:space="preserve">; </w:t>
      </w:r>
      <w:r w:rsidRPr="00952C3C">
        <w:rPr>
          <w:rStyle w:val="st"/>
          <w:rFonts w:asciiTheme="majorHAnsi" w:hAnsiTheme="majorHAnsi"/>
          <w:sz w:val="24"/>
        </w:rPr>
        <w:t>the Dow Jones Industrial Average</w:t>
      </w:r>
      <w:r>
        <w:rPr>
          <w:rStyle w:val="st"/>
          <w:rFonts w:asciiTheme="majorHAnsi" w:hAnsiTheme="majorHAnsi"/>
          <w:sz w:val="24"/>
        </w:rPr>
        <w:t>,</w:t>
      </w:r>
      <w:r w:rsidRPr="00952C3C">
        <w:rPr>
          <w:rStyle w:val="st"/>
          <w:rFonts w:asciiTheme="majorHAnsi" w:hAnsiTheme="majorHAnsi"/>
          <w:sz w:val="24"/>
        </w:rPr>
        <w:t xml:space="preserve"> 1.26%. Friday’s settlements: S&amp;P, 2,718.37; Nasdaq, 7,510.30; Dow, 24,271.41. This data aside, </w:t>
      </w:r>
      <w:r>
        <w:rPr>
          <w:rStyle w:val="st"/>
          <w:rFonts w:asciiTheme="majorHAnsi" w:hAnsiTheme="majorHAnsi"/>
          <w:sz w:val="24"/>
        </w:rPr>
        <w:t>all three benchmarks were in the green in the</w:t>
      </w:r>
      <w:r w:rsidRPr="00952C3C">
        <w:rPr>
          <w:rStyle w:val="st"/>
          <w:rFonts w:asciiTheme="majorHAnsi" w:hAnsiTheme="majorHAnsi"/>
          <w:sz w:val="24"/>
        </w:rPr>
        <w:t xml:space="preserve"> second quarter </w:t>
      </w:r>
      <w:r>
        <w:rPr>
          <w:rStyle w:val="st"/>
          <w:rFonts w:asciiTheme="majorHAnsi" w:hAnsiTheme="majorHAnsi"/>
          <w:sz w:val="24"/>
        </w:rPr>
        <w:t>–</w:t>
      </w:r>
      <w:r w:rsidRPr="00952C3C">
        <w:rPr>
          <w:rStyle w:val="st"/>
          <w:rFonts w:asciiTheme="majorHAnsi" w:hAnsiTheme="majorHAnsi"/>
          <w:sz w:val="24"/>
        </w:rPr>
        <w:t xml:space="preserve"> the S&amp;P advanced 2.93%</w:t>
      </w:r>
      <w:r>
        <w:rPr>
          <w:rStyle w:val="st"/>
          <w:rFonts w:asciiTheme="majorHAnsi" w:hAnsiTheme="majorHAnsi"/>
          <w:sz w:val="24"/>
        </w:rPr>
        <w:t>;</w:t>
      </w:r>
      <w:r w:rsidRPr="00952C3C">
        <w:rPr>
          <w:rStyle w:val="st"/>
          <w:rFonts w:asciiTheme="majorHAnsi" w:hAnsiTheme="majorHAnsi"/>
          <w:sz w:val="24"/>
        </w:rPr>
        <w:t xml:space="preserve"> the Nasdaq</w:t>
      </w:r>
      <w:r>
        <w:rPr>
          <w:rStyle w:val="st"/>
          <w:rFonts w:asciiTheme="majorHAnsi" w:hAnsiTheme="majorHAnsi"/>
          <w:sz w:val="24"/>
        </w:rPr>
        <w:t>, an impressive 6.33%;</w:t>
      </w:r>
      <w:r w:rsidRPr="00952C3C">
        <w:rPr>
          <w:rStyle w:val="st"/>
          <w:rFonts w:asciiTheme="majorHAnsi" w:hAnsiTheme="majorHAnsi"/>
          <w:sz w:val="24"/>
        </w:rPr>
        <w:t xml:space="preserve"> the Dow</w:t>
      </w:r>
      <w:r>
        <w:rPr>
          <w:rStyle w:val="st"/>
          <w:rFonts w:asciiTheme="majorHAnsi" w:hAnsiTheme="majorHAnsi"/>
          <w:sz w:val="24"/>
        </w:rPr>
        <w:t>,</w:t>
      </w:r>
      <w:r w:rsidRPr="00952C3C">
        <w:rPr>
          <w:rStyle w:val="st"/>
          <w:rFonts w:asciiTheme="majorHAnsi" w:hAnsiTheme="majorHAnsi"/>
          <w:sz w:val="24"/>
        </w:rPr>
        <w:t xml:space="preserve"> 0.70%.</w:t>
      </w:r>
      <w:r w:rsidRPr="00952C3C">
        <w:rPr>
          <w:rStyle w:val="st"/>
          <w:rFonts w:asciiTheme="majorHAnsi" w:hAnsiTheme="majorHAnsi"/>
          <w:sz w:val="24"/>
          <w:vertAlign w:val="superscript"/>
        </w:rPr>
        <w:t>4,5</w:t>
      </w:r>
    </w:p>
    <w:p w:rsidR="00E24345" w:rsidRDefault="00A97A09" w:rsidP="001F35F0">
      <w:pPr>
        <w:spacing w:line="276" w:lineRule="auto"/>
        <w:rPr>
          <w:rStyle w:val="st"/>
          <w:rFonts w:asciiTheme="majorHAnsi" w:hAnsiTheme="majorHAnsi"/>
        </w:rPr>
      </w:pPr>
    </w:p>
    <w:p w:rsidR="006D5A63" w:rsidRDefault="001237B8" w:rsidP="001F35F0">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6D5A63" w:rsidRDefault="00A97A09" w:rsidP="001F35F0">
      <w:pPr>
        <w:spacing w:line="276" w:lineRule="auto"/>
        <w:jc w:val="center"/>
        <w:rPr>
          <w:rStyle w:val="st"/>
          <w:rFonts w:asciiTheme="majorHAnsi" w:hAnsiTheme="majorHAnsi"/>
          <w:color w:val="E88E0A"/>
        </w:rPr>
      </w:pPr>
    </w:p>
    <w:p w:rsidR="006D5A63" w:rsidRPr="001237B8" w:rsidRDefault="001237B8" w:rsidP="001F35F0">
      <w:pPr>
        <w:spacing w:line="276" w:lineRule="auto"/>
        <w:jc w:val="center"/>
        <w:rPr>
          <w:rStyle w:val="st"/>
          <w:rFonts w:asciiTheme="majorHAnsi" w:hAnsiTheme="majorHAnsi"/>
          <w:color w:val="00CCFF"/>
        </w:rPr>
      </w:pPr>
      <w:r w:rsidRPr="001237B8">
        <w:rPr>
          <w:rStyle w:val="st"/>
          <w:rFonts w:asciiTheme="majorHAnsi" w:hAnsiTheme="majorHAnsi"/>
          <w:color w:val="00CCFF"/>
        </w:rPr>
        <w:t>T I P   O F   T H E   W E E K</w:t>
      </w:r>
      <w:r w:rsidRPr="001237B8">
        <w:rPr>
          <w:rStyle w:val="st"/>
          <w:rFonts w:asciiTheme="majorHAnsi" w:hAnsiTheme="majorHAnsi"/>
          <w:color w:val="00CCFF"/>
        </w:rPr>
        <w:br/>
      </w:r>
    </w:p>
    <w:p w:rsidR="006D5A63" w:rsidRPr="001237B8" w:rsidRDefault="001237B8" w:rsidP="001F35F0">
      <w:pPr>
        <w:spacing w:line="276" w:lineRule="auto"/>
        <w:jc w:val="center"/>
        <w:rPr>
          <w:rStyle w:val="st"/>
          <w:rFonts w:asciiTheme="majorHAnsi" w:hAnsiTheme="majorHAnsi"/>
          <w:color w:val="0000FF"/>
        </w:rPr>
      </w:pPr>
      <w:r w:rsidRPr="001237B8">
        <w:rPr>
          <w:rFonts w:asciiTheme="majorHAnsi" w:hAnsiTheme="majorHAnsi"/>
          <w:noProof/>
          <w:color w:val="0000FF"/>
        </w:rPr>
        <w:drawing>
          <wp:inline distT="0" distB="0" distL="0" distR="0">
            <wp:extent cx="714375" cy="7143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rsidR="006D5A63" w:rsidRPr="00EA0505" w:rsidRDefault="001237B8" w:rsidP="001F35F0">
      <w:pPr>
        <w:spacing w:line="276" w:lineRule="auto"/>
        <w:jc w:val="center"/>
        <w:rPr>
          <w:rStyle w:val="st"/>
          <w:rFonts w:asciiTheme="majorHAnsi" w:hAnsiTheme="majorHAnsi"/>
          <w:i/>
          <w:sz w:val="28"/>
        </w:rPr>
      </w:pPr>
      <w:r>
        <w:rPr>
          <w:rStyle w:val="st"/>
          <w:rFonts w:asciiTheme="majorHAnsi" w:hAnsiTheme="majorHAnsi"/>
          <w:sz w:val="24"/>
        </w:rPr>
        <w:br/>
      </w:r>
      <w:r>
        <w:rPr>
          <w:rStyle w:val="st"/>
          <w:rFonts w:asciiTheme="majorHAnsi" w:hAnsiTheme="majorHAnsi"/>
          <w:i/>
          <w:sz w:val="28"/>
        </w:rPr>
        <w:t xml:space="preserve">Are you concerned about your elderly parent’s ability to manage financial matters? </w:t>
      </w:r>
      <w:r w:rsidRPr="00BF68D2">
        <w:rPr>
          <w:rStyle w:val="st"/>
          <w:rFonts w:asciiTheme="majorHAnsi" w:hAnsiTheme="majorHAnsi"/>
          <w:b/>
          <w:i/>
          <w:sz w:val="28"/>
        </w:rPr>
        <w:t xml:space="preserve">Consider </w:t>
      </w:r>
      <w:r>
        <w:rPr>
          <w:rStyle w:val="st"/>
          <w:rFonts w:asciiTheme="majorHAnsi" w:hAnsiTheme="majorHAnsi"/>
          <w:b/>
          <w:i/>
          <w:sz w:val="28"/>
        </w:rPr>
        <w:t>accompanying</w:t>
      </w:r>
      <w:r w:rsidRPr="00BF68D2">
        <w:rPr>
          <w:rStyle w:val="st"/>
          <w:rFonts w:asciiTheme="majorHAnsi" w:hAnsiTheme="majorHAnsi"/>
          <w:b/>
          <w:i/>
          <w:sz w:val="28"/>
        </w:rPr>
        <w:t xml:space="preserve"> your mom or dad when they meet with their financial </w:t>
      </w:r>
      <w:r>
        <w:rPr>
          <w:rStyle w:val="st"/>
          <w:rFonts w:asciiTheme="majorHAnsi" w:hAnsiTheme="majorHAnsi"/>
          <w:b/>
          <w:i/>
          <w:sz w:val="28"/>
        </w:rPr>
        <w:t>professional or</w:t>
      </w:r>
      <w:r w:rsidRPr="00BF68D2">
        <w:rPr>
          <w:rStyle w:val="st"/>
          <w:rFonts w:asciiTheme="majorHAnsi" w:hAnsiTheme="majorHAnsi"/>
          <w:b/>
          <w:i/>
          <w:sz w:val="28"/>
        </w:rPr>
        <w:t xml:space="preserve"> CPA.</w:t>
      </w:r>
      <w:r>
        <w:rPr>
          <w:rStyle w:val="st"/>
          <w:rFonts w:asciiTheme="majorHAnsi" w:hAnsiTheme="majorHAnsi"/>
          <w:i/>
          <w:sz w:val="28"/>
        </w:rPr>
        <w:t xml:space="preserve"> You may gain some insight. </w:t>
      </w:r>
    </w:p>
    <w:p w:rsidR="006D5A63" w:rsidRPr="00B2579B" w:rsidRDefault="00A97A09" w:rsidP="001F35F0">
      <w:pPr>
        <w:spacing w:line="276" w:lineRule="auto"/>
        <w:jc w:val="center"/>
        <w:rPr>
          <w:rStyle w:val="st"/>
          <w:rFonts w:asciiTheme="majorHAnsi" w:hAnsiTheme="majorHAnsi"/>
          <w:i/>
          <w:color w:val="E88E0A"/>
        </w:rPr>
      </w:pPr>
    </w:p>
    <w:p w:rsidR="00E24345" w:rsidRDefault="001237B8" w:rsidP="001F35F0">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373CC8" w:rsidRDefault="00A97A09" w:rsidP="001F35F0">
      <w:pPr>
        <w:spacing w:line="276" w:lineRule="auto"/>
        <w:rPr>
          <w:rFonts w:asciiTheme="majorHAnsi" w:hAnsiTheme="majorHAnsi"/>
          <w:b/>
          <w:color w:val="E88E0A"/>
          <w:spacing w:val="-2"/>
          <w:sz w:val="28"/>
        </w:rPr>
      </w:pPr>
    </w:p>
    <w:p w:rsidR="00373CC8" w:rsidRPr="001237B8" w:rsidRDefault="001237B8" w:rsidP="001F35F0">
      <w:pPr>
        <w:spacing w:line="276" w:lineRule="auto"/>
        <w:rPr>
          <w:rFonts w:asciiTheme="majorHAnsi" w:hAnsiTheme="majorHAnsi"/>
          <w:b/>
          <w:color w:val="00CCFF"/>
          <w:spacing w:val="-2"/>
          <w:sz w:val="28"/>
        </w:rPr>
      </w:pPr>
      <w:r w:rsidRPr="001237B8">
        <w:rPr>
          <w:rFonts w:asciiTheme="majorHAnsi" w:hAnsiTheme="majorHAnsi"/>
          <w:b/>
          <w:color w:val="00CCFF"/>
          <w:spacing w:val="-2"/>
          <w:sz w:val="28"/>
        </w:rPr>
        <w:t>THIS WEEK</w:t>
      </w:r>
    </w:p>
    <w:p w:rsidR="00373CC8" w:rsidRPr="00EF57DC" w:rsidRDefault="001237B8" w:rsidP="001F35F0">
      <w:pPr>
        <w:spacing w:line="276" w:lineRule="auto"/>
        <w:jc w:val="both"/>
        <w:rPr>
          <w:rFonts w:asciiTheme="majorHAnsi" w:hAnsiTheme="majorHAnsi"/>
          <w:color w:val="002060"/>
          <w:spacing w:val="-2"/>
        </w:rPr>
      </w:pPr>
      <w:r w:rsidRPr="00EF57DC">
        <w:rPr>
          <w:rFonts w:asciiTheme="majorHAnsi" w:hAnsiTheme="majorHAnsi"/>
          <w:spacing w:val="-2"/>
        </w:rPr>
        <w:t xml:space="preserve">Monday, the Institute for Supply Management releases its June manufacturing PMI. </w:t>
      </w:r>
      <w:r>
        <w:rPr>
          <w:rFonts w:asciiTheme="majorHAnsi" w:hAnsiTheme="majorHAnsi"/>
          <w:spacing w:val="-2"/>
        </w:rPr>
        <w:t xml:space="preserve">| </w:t>
      </w:r>
      <w:r w:rsidRPr="00EF57DC">
        <w:rPr>
          <w:rFonts w:asciiTheme="majorHAnsi" w:hAnsiTheme="majorHAnsi"/>
          <w:spacing w:val="-2"/>
        </w:rPr>
        <w:t xml:space="preserve">Nothing major is scheduled for Tuesday. </w:t>
      </w:r>
      <w:r>
        <w:rPr>
          <w:rFonts w:asciiTheme="majorHAnsi" w:hAnsiTheme="majorHAnsi"/>
          <w:spacing w:val="-2"/>
        </w:rPr>
        <w:t xml:space="preserve">| </w:t>
      </w:r>
      <w:r w:rsidRPr="00EF57DC">
        <w:rPr>
          <w:rFonts w:asciiTheme="majorHAnsi" w:hAnsiTheme="majorHAnsi"/>
          <w:spacing w:val="-2"/>
        </w:rPr>
        <w:t>Wednesday is July 4th</w:t>
      </w:r>
      <w:r>
        <w:rPr>
          <w:rFonts w:asciiTheme="majorHAnsi" w:hAnsiTheme="majorHAnsi"/>
          <w:spacing w:val="-2"/>
        </w:rPr>
        <w:t xml:space="preserve">; </w:t>
      </w:r>
      <w:r w:rsidRPr="00EF57DC">
        <w:rPr>
          <w:rFonts w:asciiTheme="majorHAnsi" w:hAnsiTheme="majorHAnsi"/>
          <w:spacing w:val="-2"/>
        </w:rPr>
        <w:t xml:space="preserve">U.S. financial markets are closed for the holiday. </w:t>
      </w:r>
      <w:r>
        <w:rPr>
          <w:rFonts w:asciiTheme="majorHAnsi" w:hAnsiTheme="majorHAnsi"/>
          <w:spacing w:val="-2"/>
        </w:rPr>
        <w:t xml:space="preserve">| </w:t>
      </w:r>
      <w:r w:rsidRPr="00EF57DC">
        <w:rPr>
          <w:rFonts w:asciiTheme="majorHAnsi" w:hAnsiTheme="majorHAnsi"/>
          <w:spacing w:val="-2"/>
        </w:rPr>
        <w:t xml:space="preserve">Minutes from the Federal Reserve’s June policy meeting appear Thursday, in addition to the latest initial claims numbers, the June Challenger job-cut report, the June ADP payrolls report, and </w:t>
      </w:r>
      <w:r>
        <w:rPr>
          <w:rFonts w:asciiTheme="majorHAnsi" w:hAnsiTheme="majorHAnsi"/>
          <w:spacing w:val="-2"/>
        </w:rPr>
        <w:t xml:space="preserve">a new </w:t>
      </w:r>
      <w:r w:rsidRPr="00EF57DC">
        <w:rPr>
          <w:rFonts w:asciiTheme="majorHAnsi" w:hAnsiTheme="majorHAnsi"/>
          <w:spacing w:val="-2"/>
        </w:rPr>
        <w:t>ISM</w:t>
      </w:r>
      <w:r>
        <w:rPr>
          <w:rFonts w:asciiTheme="majorHAnsi" w:hAnsiTheme="majorHAnsi"/>
          <w:spacing w:val="-2"/>
        </w:rPr>
        <w:t xml:space="preserve"> </w:t>
      </w:r>
      <w:r w:rsidRPr="00EF57DC">
        <w:rPr>
          <w:rFonts w:asciiTheme="majorHAnsi" w:hAnsiTheme="majorHAnsi"/>
          <w:spacing w:val="-2"/>
        </w:rPr>
        <w:t xml:space="preserve">service sector PMI. </w:t>
      </w:r>
      <w:r>
        <w:rPr>
          <w:rFonts w:asciiTheme="majorHAnsi" w:hAnsiTheme="majorHAnsi"/>
          <w:spacing w:val="-2"/>
        </w:rPr>
        <w:t xml:space="preserve">| </w:t>
      </w:r>
      <w:r w:rsidRPr="00EF57DC">
        <w:rPr>
          <w:rFonts w:asciiTheme="majorHAnsi" w:hAnsiTheme="majorHAnsi"/>
          <w:spacing w:val="-2"/>
        </w:rPr>
        <w:t>The Department of Labor presents its June employment report Friday.</w:t>
      </w:r>
    </w:p>
    <w:p w:rsidR="00552AA9" w:rsidRDefault="00A97A09" w:rsidP="001F35F0">
      <w:pPr>
        <w:spacing w:line="276" w:lineRule="auto"/>
        <w:rPr>
          <w:rFonts w:asciiTheme="majorHAnsi" w:hAnsiTheme="majorHAnsi"/>
          <w:color w:val="808080"/>
          <w:spacing w:val="-2"/>
        </w:rPr>
      </w:pPr>
    </w:p>
    <w:p w:rsidR="006D5A63" w:rsidRDefault="001237B8" w:rsidP="001F35F0">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6D5A63" w:rsidRDefault="00A97A09" w:rsidP="001F35F0">
      <w:pPr>
        <w:spacing w:line="276" w:lineRule="auto"/>
        <w:jc w:val="center"/>
        <w:rPr>
          <w:rStyle w:val="st"/>
          <w:rFonts w:asciiTheme="majorHAnsi" w:hAnsiTheme="majorHAnsi"/>
          <w:color w:val="E88E0A"/>
        </w:rPr>
      </w:pPr>
    </w:p>
    <w:p w:rsidR="006D5A63" w:rsidRPr="001237B8" w:rsidRDefault="001237B8" w:rsidP="001F35F0">
      <w:pPr>
        <w:spacing w:line="276" w:lineRule="auto"/>
        <w:jc w:val="center"/>
        <w:rPr>
          <w:rStyle w:val="st"/>
          <w:rFonts w:asciiTheme="majorHAnsi" w:hAnsiTheme="majorHAnsi"/>
          <w:color w:val="00CCFF"/>
        </w:rPr>
      </w:pPr>
      <w:r w:rsidRPr="001237B8">
        <w:rPr>
          <w:rStyle w:val="st"/>
          <w:rFonts w:asciiTheme="majorHAnsi" w:hAnsiTheme="majorHAnsi"/>
          <w:color w:val="00CCFF"/>
        </w:rPr>
        <w:t>Q U O T E   O F   T H E   W E E K</w:t>
      </w:r>
    </w:p>
    <w:p w:rsidR="006D5A63" w:rsidRDefault="00A97A09" w:rsidP="001F35F0">
      <w:pPr>
        <w:spacing w:line="276" w:lineRule="auto"/>
        <w:jc w:val="center"/>
        <w:rPr>
          <w:rStyle w:val="st"/>
          <w:rFonts w:asciiTheme="majorHAnsi" w:hAnsiTheme="majorHAnsi"/>
        </w:rPr>
      </w:pPr>
    </w:p>
    <w:p w:rsidR="006D5A63" w:rsidRDefault="001237B8" w:rsidP="001F35F0">
      <w:pPr>
        <w:spacing w:line="276" w:lineRule="auto"/>
        <w:jc w:val="center"/>
        <w:rPr>
          <w:rStyle w:val="st"/>
          <w:rFonts w:asciiTheme="majorHAnsi" w:hAnsiTheme="majorHAnsi"/>
        </w:rPr>
      </w:pPr>
      <w:r>
        <w:rPr>
          <w:rFonts w:asciiTheme="majorHAnsi" w:hAnsiTheme="majorHAnsi"/>
          <w:noProof/>
        </w:rPr>
        <w:lastRenderedPageBreak/>
        <w:drawing>
          <wp:inline distT="0" distB="0" distL="0" distR="0">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rsidR="006D5A63" w:rsidRPr="00B2579B" w:rsidRDefault="001237B8" w:rsidP="001F35F0">
      <w:pPr>
        <w:spacing w:line="276" w:lineRule="auto"/>
        <w:jc w:val="center"/>
        <w:rPr>
          <w:rStyle w:val="st"/>
          <w:rFonts w:asciiTheme="majorHAnsi" w:hAnsiTheme="majorHAnsi"/>
          <w:i/>
          <w:sz w:val="36"/>
        </w:rPr>
      </w:pPr>
      <w:r w:rsidRPr="00B2579B">
        <w:rPr>
          <w:rStyle w:val="st"/>
          <w:rFonts w:asciiTheme="majorHAnsi" w:hAnsiTheme="majorHAnsi"/>
          <w:i/>
          <w:sz w:val="36"/>
        </w:rPr>
        <w:t>“</w:t>
      </w:r>
      <w:r w:rsidRPr="00514BAC">
        <w:rPr>
          <w:rStyle w:val="st"/>
          <w:rFonts w:asciiTheme="majorHAnsi" w:hAnsiTheme="majorHAnsi"/>
          <w:i/>
          <w:sz w:val="36"/>
        </w:rPr>
        <w:t xml:space="preserve">Age is </w:t>
      </w:r>
      <w:r w:rsidRPr="00514BAC">
        <w:rPr>
          <w:rStyle w:val="st"/>
          <w:rFonts w:asciiTheme="majorHAnsi" w:hAnsiTheme="majorHAnsi"/>
          <w:b/>
          <w:i/>
          <w:sz w:val="36"/>
        </w:rPr>
        <w:t>mind over matter</w:t>
      </w:r>
      <w:r w:rsidRPr="00514BAC">
        <w:rPr>
          <w:rStyle w:val="st"/>
          <w:rFonts w:asciiTheme="majorHAnsi" w:hAnsiTheme="majorHAnsi"/>
          <w:i/>
          <w:sz w:val="36"/>
        </w:rPr>
        <w:t>. If you don't mind, it doesn't matter.”</w:t>
      </w:r>
    </w:p>
    <w:p w:rsidR="006D5A63" w:rsidRPr="00552AA9" w:rsidRDefault="001237B8" w:rsidP="001F35F0">
      <w:pPr>
        <w:spacing w:line="276" w:lineRule="auto"/>
        <w:jc w:val="center"/>
        <w:rPr>
          <w:rStyle w:val="st"/>
          <w:rFonts w:asciiTheme="majorHAnsi" w:hAnsiTheme="majorHAnsi"/>
          <w:sz w:val="24"/>
        </w:rPr>
      </w:pPr>
      <w:r>
        <w:rPr>
          <w:rStyle w:val="st"/>
          <w:rFonts w:asciiTheme="majorHAnsi" w:hAnsiTheme="majorHAnsi"/>
          <w:i/>
          <w:color w:val="E88E0A"/>
        </w:rPr>
        <w:t>SATCHEL</w:t>
      </w:r>
      <w:r w:rsidRPr="00B2579B">
        <w:rPr>
          <w:rStyle w:val="st"/>
          <w:rFonts w:asciiTheme="majorHAnsi" w:hAnsiTheme="majorHAnsi"/>
          <w:i/>
          <w:color w:val="E88E0A"/>
        </w:rPr>
        <w:t xml:space="preserve"> </w:t>
      </w:r>
      <w:r>
        <w:rPr>
          <w:rStyle w:val="st"/>
          <w:rFonts w:asciiTheme="majorHAnsi" w:hAnsiTheme="majorHAnsi"/>
          <w:i/>
          <w:color w:val="E88E0A"/>
        </w:rPr>
        <w:t>PAIGE</w:t>
      </w:r>
    </w:p>
    <w:p w:rsidR="006D5A63" w:rsidRPr="00B2579B" w:rsidRDefault="00A97A09" w:rsidP="001F35F0">
      <w:pPr>
        <w:spacing w:line="276" w:lineRule="auto"/>
        <w:jc w:val="center"/>
        <w:rPr>
          <w:rStyle w:val="st"/>
          <w:rFonts w:asciiTheme="majorHAnsi" w:hAnsiTheme="majorHAnsi"/>
          <w:i/>
          <w:color w:val="E88E0A"/>
        </w:rPr>
      </w:pPr>
    </w:p>
    <w:p w:rsidR="00713653" w:rsidRDefault="001237B8" w:rsidP="001F35F0">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373CC8" w:rsidRDefault="00A97A09" w:rsidP="001F35F0">
      <w:pPr>
        <w:spacing w:line="276" w:lineRule="auto"/>
        <w:rPr>
          <w:rStyle w:val="st"/>
          <w:rFonts w:asciiTheme="majorHAnsi" w:hAnsiTheme="majorHAnsi"/>
        </w:rPr>
      </w:pPr>
    </w:p>
    <w:tbl>
      <w:tblPr>
        <w:tblW w:w="5040" w:type="pct"/>
        <w:tblLook w:val="04A0" w:firstRow="1" w:lastRow="0" w:firstColumn="1" w:lastColumn="0" w:noHBand="0" w:noVBand="1"/>
      </w:tblPr>
      <w:tblGrid>
        <w:gridCol w:w="1822"/>
        <w:gridCol w:w="1864"/>
        <w:gridCol w:w="1862"/>
        <w:gridCol w:w="1880"/>
        <w:gridCol w:w="1862"/>
      </w:tblGrid>
      <w:tr w:rsidR="001237B8" w:rsidRPr="001237B8" w:rsidTr="00A25E95">
        <w:trPr>
          <w:trHeight w:val="390"/>
        </w:trPr>
        <w:tc>
          <w:tcPr>
            <w:tcW w:w="981" w:type="pct"/>
            <w:tcBorders>
              <w:top w:val="nil"/>
              <w:left w:val="nil"/>
              <w:bottom w:val="nil"/>
              <w:right w:val="nil"/>
            </w:tcBorders>
            <w:shd w:val="clear" w:color="auto" w:fill="auto"/>
            <w:vAlign w:val="center"/>
            <w:hideMark/>
          </w:tcPr>
          <w:p w:rsidR="00373CC8" w:rsidRPr="001237B8" w:rsidRDefault="001237B8" w:rsidP="001F35F0">
            <w:pPr>
              <w:spacing w:after="0" w:line="276" w:lineRule="auto"/>
              <w:jc w:val="center"/>
              <w:rPr>
                <w:rFonts w:ascii="Calibri Light" w:eastAsia="Times New Roman" w:hAnsi="Calibri Light" w:cs="Times New Roman"/>
                <w:b/>
                <w:bCs/>
                <w:color w:val="00CCFF"/>
                <w:szCs w:val="20"/>
              </w:rPr>
            </w:pPr>
            <w:r w:rsidRPr="001237B8">
              <w:rPr>
                <w:rFonts w:ascii="Calibri Light" w:eastAsia="Times New Roman" w:hAnsi="Calibri Light" w:cs="Times New Roman"/>
                <w:b/>
                <w:bCs/>
                <w:color w:val="00CCFF"/>
                <w:szCs w:val="20"/>
              </w:rPr>
              <w:t>% CHANGE</w:t>
            </w:r>
          </w:p>
        </w:tc>
        <w:tc>
          <w:tcPr>
            <w:tcW w:w="1003" w:type="pct"/>
            <w:tcBorders>
              <w:top w:val="nil"/>
              <w:left w:val="nil"/>
              <w:bottom w:val="nil"/>
              <w:right w:val="nil"/>
            </w:tcBorders>
            <w:shd w:val="clear" w:color="auto" w:fill="auto"/>
            <w:vAlign w:val="center"/>
            <w:hideMark/>
          </w:tcPr>
          <w:p w:rsidR="00373CC8" w:rsidRPr="001237B8" w:rsidRDefault="001237B8" w:rsidP="001F35F0">
            <w:pPr>
              <w:spacing w:after="0" w:line="276" w:lineRule="auto"/>
              <w:jc w:val="center"/>
              <w:rPr>
                <w:rFonts w:ascii="Calibri Light" w:eastAsia="Times New Roman" w:hAnsi="Calibri Light" w:cs="Times New Roman"/>
                <w:b/>
                <w:bCs/>
                <w:color w:val="00CCFF"/>
                <w:szCs w:val="20"/>
              </w:rPr>
            </w:pPr>
            <w:r w:rsidRPr="001237B8">
              <w:rPr>
                <w:rFonts w:ascii="Calibri Light" w:eastAsia="Times New Roman" w:hAnsi="Calibri Light" w:cs="Times New Roman"/>
                <w:b/>
                <w:bCs/>
                <w:color w:val="00CCFF"/>
                <w:szCs w:val="20"/>
              </w:rPr>
              <w:t>Y-T-D</w:t>
            </w:r>
          </w:p>
        </w:tc>
        <w:tc>
          <w:tcPr>
            <w:tcW w:w="1002" w:type="pct"/>
            <w:tcBorders>
              <w:top w:val="nil"/>
              <w:left w:val="nil"/>
              <w:bottom w:val="nil"/>
              <w:right w:val="nil"/>
            </w:tcBorders>
            <w:shd w:val="clear" w:color="auto" w:fill="auto"/>
            <w:vAlign w:val="center"/>
            <w:hideMark/>
          </w:tcPr>
          <w:p w:rsidR="00373CC8" w:rsidRPr="001237B8" w:rsidRDefault="001237B8" w:rsidP="001F35F0">
            <w:pPr>
              <w:spacing w:after="0" w:line="276" w:lineRule="auto"/>
              <w:jc w:val="center"/>
              <w:rPr>
                <w:rFonts w:ascii="Calibri Light" w:eastAsia="Times New Roman" w:hAnsi="Calibri Light" w:cs="Times New Roman"/>
                <w:b/>
                <w:bCs/>
                <w:color w:val="00CCFF"/>
                <w:szCs w:val="20"/>
              </w:rPr>
            </w:pPr>
            <w:r w:rsidRPr="001237B8">
              <w:rPr>
                <w:rFonts w:ascii="Calibri Light" w:eastAsia="Times New Roman" w:hAnsi="Calibri Light" w:cs="Times New Roman"/>
                <w:b/>
                <w:bCs/>
                <w:color w:val="00CCFF"/>
                <w:szCs w:val="20"/>
              </w:rPr>
              <w:t>1-YR CHG</w:t>
            </w:r>
          </w:p>
        </w:tc>
        <w:tc>
          <w:tcPr>
            <w:tcW w:w="1012" w:type="pct"/>
            <w:tcBorders>
              <w:top w:val="nil"/>
              <w:left w:val="nil"/>
              <w:bottom w:val="nil"/>
              <w:right w:val="nil"/>
            </w:tcBorders>
            <w:shd w:val="clear" w:color="auto" w:fill="auto"/>
            <w:vAlign w:val="center"/>
            <w:hideMark/>
          </w:tcPr>
          <w:p w:rsidR="00373CC8" w:rsidRPr="001237B8" w:rsidRDefault="001237B8" w:rsidP="001F35F0">
            <w:pPr>
              <w:spacing w:after="0" w:line="276" w:lineRule="auto"/>
              <w:jc w:val="center"/>
              <w:rPr>
                <w:rFonts w:ascii="Calibri Light" w:eastAsia="Times New Roman" w:hAnsi="Calibri Light" w:cs="Times New Roman"/>
                <w:b/>
                <w:bCs/>
                <w:color w:val="00CCFF"/>
                <w:szCs w:val="20"/>
              </w:rPr>
            </w:pPr>
            <w:r w:rsidRPr="001237B8">
              <w:rPr>
                <w:rFonts w:ascii="Calibri Light" w:eastAsia="Times New Roman" w:hAnsi="Calibri Light" w:cs="Times New Roman"/>
                <w:b/>
                <w:bCs/>
                <w:color w:val="00CCFF"/>
                <w:szCs w:val="20"/>
              </w:rPr>
              <w:t>5-YR AVG</w:t>
            </w:r>
          </w:p>
        </w:tc>
        <w:tc>
          <w:tcPr>
            <w:tcW w:w="1002" w:type="pct"/>
            <w:tcBorders>
              <w:top w:val="nil"/>
              <w:left w:val="nil"/>
              <w:bottom w:val="nil"/>
              <w:right w:val="nil"/>
            </w:tcBorders>
            <w:shd w:val="clear" w:color="auto" w:fill="auto"/>
            <w:vAlign w:val="center"/>
            <w:hideMark/>
          </w:tcPr>
          <w:p w:rsidR="00373CC8" w:rsidRPr="001237B8" w:rsidRDefault="001237B8" w:rsidP="001F35F0">
            <w:pPr>
              <w:spacing w:after="0" w:line="276" w:lineRule="auto"/>
              <w:jc w:val="center"/>
              <w:rPr>
                <w:rFonts w:ascii="Calibri Light" w:eastAsia="Times New Roman" w:hAnsi="Calibri Light" w:cs="Times New Roman"/>
                <w:b/>
                <w:bCs/>
                <w:color w:val="00CCFF"/>
                <w:szCs w:val="20"/>
              </w:rPr>
            </w:pPr>
            <w:r w:rsidRPr="001237B8">
              <w:rPr>
                <w:rFonts w:ascii="Calibri Light" w:eastAsia="Times New Roman" w:hAnsi="Calibri Light" w:cs="Times New Roman"/>
                <w:b/>
                <w:bCs/>
                <w:color w:val="00CCFF"/>
                <w:szCs w:val="20"/>
              </w:rPr>
              <w:t>10-YR AVG</w:t>
            </w:r>
          </w:p>
        </w:tc>
      </w:tr>
      <w:tr w:rsidR="006A789C" w:rsidTr="00A25E95">
        <w:trPr>
          <w:trHeight w:val="390"/>
        </w:trPr>
        <w:tc>
          <w:tcPr>
            <w:tcW w:w="981"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373CC8" w:rsidRPr="006D5A63" w:rsidRDefault="001237B8" w:rsidP="001F35F0">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DJIA</w:t>
            </w:r>
          </w:p>
        </w:tc>
        <w:tc>
          <w:tcPr>
            <w:tcW w:w="1003" w:type="pct"/>
            <w:tcBorders>
              <w:top w:val="single" w:sz="4" w:space="0" w:color="A5A5A5"/>
              <w:left w:val="nil"/>
              <w:bottom w:val="single" w:sz="4" w:space="0" w:color="A5A5A5"/>
              <w:right w:val="single" w:sz="4" w:space="0" w:color="A5A5A5"/>
            </w:tcBorders>
            <w:shd w:val="clear" w:color="000000" w:fill="F2F2F2"/>
            <w:vAlign w:val="center"/>
            <w:hideMark/>
          </w:tcPr>
          <w:p w:rsidR="00373CC8" w:rsidRPr="00781DE1" w:rsidRDefault="001237B8" w:rsidP="001F35F0">
            <w:pPr>
              <w:spacing w:after="0" w:line="276" w:lineRule="auto"/>
              <w:jc w:val="center"/>
              <w:rPr>
                <w:rFonts w:ascii="Calibri Light" w:eastAsia="Times New Roman" w:hAnsi="Calibri Light" w:cs="Times New Roman"/>
                <w:szCs w:val="20"/>
              </w:rPr>
            </w:pPr>
            <w:r w:rsidRPr="00781DE1">
              <w:rPr>
                <w:rFonts w:ascii="Calibri Light" w:eastAsia="Times New Roman" w:hAnsi="Calibri Light" w:cs="Times New Roman"/>
                <w:szCs w:val="20"/>
              </w:rPr>
              <w:t>-1.81</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373CC8" w:rsidRPr="00781DE1" w:rsidRDefault="001237B8" w:rsidP="001F35F0">
            <w:pPr>
              <w:spacing w:after="0" w:line="276" w:lineRule="auto"/>
              <w:jc w:val="center"/>
              <w:rPr>
                <w:rFonts w:ascii="Calibri Light" w:eastAsia="Times New Roman" w:hAnsi="Calibri Light" w:cs="Times New Roman"/>
                <w:szCs w:val="20"/>
              </w:rPr>
            </w:pPr>
            <w:r w:rsidRPr="00781DE1">
              <w:rPr>
                <w:rFonts w:ascii="Calibri Light" w:eastAsia="Times New Roman" w:hAnsi="Calibri Light" w:cs="Times New Roman"/>
                <w:szCs w:val="20"/>
              </w:rPr>
              <w:t>14.02</w:t>
            </w:r>
          </w:p>
        </w:tc>
        <w:tc>
          <w:tcPr>
            <w:tcW w:w="1012" w:type="pct"/>
            <w:tcBorders>
              <w:top w:val="single" w:sz="4" w:space="0" w:color="A5A5A5"/>
              <w:left w:val="nil"/>
              <w:bottom w:val="single" w:sz="4" w:space="0" w:color="A5A5A5"/>
              <w:right w:val="single" w:sz="4" w:space="0" w:color="A5A5A5"/>
            </w:tcBorders>
            <w:shd w:val="clear" w:color="000000" w:fill="F2F2F2"/>
            <w:vAlign w:val="center"/>
            <w:hideMark/>
          </w:tcPr>
          <w:p w:rsidR="00373CC8" w:rsidRPr="00781DE1" w:rsidRDefault="001237B8" w:rsidP="001F35F0">
            <w:pPr>
              <w:spacing w:after="0" w:line="276" w:lineRule="auto"/>
              <w:jc w:val="center"/>
              <w:rPr>
                <w:rFonts w:ascii="Calibri Light" w:eastAsia="Times New Roman" w:hAnsi="Calibri Light" w:cs="Times New Roman"/>
                <w:szCs w:val="20"/>
              </w:rPr>
            </w:pPr>
            <w:r w:rsidRPr="00781DE1">
              <w:rPr>
                <w:rFonts w:ascii="Calibri Light" w:eastAsia="Times New Roman" w:hAnsi="Calibri Light" w:cs="Times New Roman"/>
                <w:szCs w:val="20"/>
              </w:rPr>
              <w:t>12.56</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373CC8" w:rsidRPr="00781DE1" w:rsidRDefault="001237B8" w:rsidP="001F35F0">
            <w:pPr>
              <w:spacing w:after="0" w:line="276" w:lineRule="auto"/>
              <w:jc w:val="center"/>
              <w:rPr>
                <w:rFonts w:ascii="Calibri Light" w:eastAsia="Times New Roman" w:hAnsi="Calibri Light" w:cs="Times New Roman"/>
                <w:szCs w:val="20"/>
              </w:rPr>
            </w:pPr>
            <w:r w:rsidRPr="00781DE1">
              <w:rPr>
                <w:rFonts w:ascii="Calibri Light" w:eastAsia="Times New Roman" w:hAnsi="Calibri Light" w:cs="Times New Roman"/>
                <w:szCs w:val="20"/>
              </w:rPr>
              <w:t>11.38</w:t>
            </w:r>
          </w:p>
        </w:tc>
      </w:tr>
      <w:tr w:rsidR="006A789C" w:rsidTr="00A25E95">
        <w:trPr>
          <w:trHeight w:val="390"/>
        </w:trPr>
        <w:tc>
          <w:tcPr>
            <w:tcW w:w="981" w:type="pct"/>
            <w:tcBorders>
              <w:top w:val="nil"/>
              <w:left w:val="single" w:sz="4" w:space="0" w:color="A5A5A5"/>
              <w:bottom w:val="single" w:sz="4" w:space="0" w:color="A5A5A5"/>
              <w:right w:val="single" w:sz="4" w:space="0" w:color="A5A5A5"/>
            </w:tcBorders>
            <w:shd w:val="clear" w:color="000000" w:fill="F2F2F2"/>
            <w:vAlign w:val="center"/>
            <w:hideMark/>
          </w:tcPr>
          <w:p w:rsidR="00373CC8" w:rsidRPr="006D5A63" w:rsidRDefault="001237B8" w:rsidP="001F35F0">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NASDAQ</w:t>
            </w:r>
          </w:p>
        </w:tc>
        <w:tc>
          <w:tcPr>
            <w:tcW w:w="1003" w:type="pct"/>
            <w:tcBorders>
              <w:top w:val="nil"/>
              <w:left w:val="nil"/>
              <w:bottom w:val="single" w:sz="4" w:space="0" w:color="A5A5A5"/>
              <w:right w:val="single" w:sz="4" w:space="0" w:color="A5A5A5"/>
            </w:tcBorders>
            <w:shd w:val="clear" w:color="000000" w:fill="F2F2F2"/>
            <w:vAlign w:val="center"/>
            <w:hideMark/>
          </w:tcPr>
          <w:p w:rsidR="00373CC8" w:rsidRPr="00781DE1" w:rsidRDefault="001237B8" w:rsidP="001F35F0">
            <w:pPr>
              <w:spacing w:after="0" w:line="276" w:lineRule="auto"/>
              <w:jc w:val="center"/>
              <w:rPr>
                <w:rFonts w:ascii="Calibri Light" w:eastAsia="Times New Roman" w:hAnsi="Calibri Light" w:cs="Times New Roman"/>
                <w:szCs w:val="20"/>
              </w:rPr>
            </w:pPr>
            <w:r w:rsidRPr="00781DE1">
              <w:rPr>
                <w:rFonts w:ascii="Calibri Light" w:eastAsia="Times New Roman" w:hAnsi="Calibri Light" w:cs="Times New Roman"/>
                <w:szCs w:val="20"/>
              </w:rPr>
              <w:t>8.79</w:t>
            </w:r>
          </w:p>
        </w:tc>
        <w:tc>
          <w:tcPr>
            <w:tcW w:w="1002" w:type="pct"/>
            <w:tcBorders>
              <w:top w:val="nil"/>
              <w:left w:val="nil"/>
              <w:bottom w:val="single" w:sz="4" w:space="0" w:color="A5A5A5"/>
              <w:right w:val="single" w:sz="4" w:space="0" w:color="A5A5A5"/>
            </w:tcBorders>
            <w:shd w:val="clear" w:color="000000" w:fill="F2F2F2"/>
            <w:vAlign w:val="center"/>
            <w:hideMark/>
          </w:tcPr>
          <w:p w:rsidR="00373CC8" w:rsidRPr="00781DE1" w:rsidRDefault="001237B8" w:rsidP="001F35F0">
            <w:pPr>
              <w:spacing w:after="0" w:line="276" w:lineRule="auto"/>
              <w:jc w:val="center"/>
              <w:rPr>
                <w:rFonts w:ascii="Calibri Light" w:eastAsia="Times New Roman" w:hAnsi="Calibri Light" w:cs="Times New Roman"/>
                <w:szCs w:val="20"/>
              </w:rPr>
            </w:pPr>
            <w:r w:rsidRPr="00781DE1">
              <w:rPr>
                <w:rFonts w:ascii="Calibri Light" w:eastAsia="Times New Roman" w:hAnsi="Calibri Light" w:cs="Times New Roman"/>
                <w:szCs w:val="20"/>
              </w:rPr>
              <w:t>22.23</w:t>
            </w:r>
          </w:p>
        </w:tc>
        <w:tc>
          <w:tcPr>
            <w:tcW w:w="1012" w:type="pct"/>
            <w:tcBorders>
              <w:top w:val="nil"/>
              <w:left w:val="nil"/>
              <w:bottom w:val="single" w:sz="4" w:space="0" w:color="A5A5A5"/>
              <w:right w:val="single" w:sz="4" w:space="0" w:color="A5A5A5"/>
            </w:tcBorders>
            <w:shd w:val="clear" w:color="000000" w:fill="F2F2F2"/>
            <w:vAlign w:val="center"/>
            <w:hideMark/>
          </w:tcPr>
          <w:p w:rsidR="00373CC8" w:rsidRPr="00781DE1" w:rsidRDefault="001237B8" w:rsidP="001F35F0">
            <w:pPr>
              <w:spacing w:after="0" w:line="276" w:lineRule="auto"/>
              <w:jc w:val="center"/>
              <w:rPr>
                <w:rFonts w:ascii="Calibri Light" w:eastAsia="Times New Roman" w:hAnsi="Calibri Light" w:cs="Times New Roman"/>
                <w:szCs w:val="20"/>
              </w:rPr>
            </w:pPr>
            <w:r w:rsidRPr="00781DE1">
              <w:rPr>
                <w:rFonts w:ascii="Calibri Light" w:eastAsia="Times New Roman" w:hAnsi="Calibri Light" w:cs="Times New Roman"/>
                <w:szCs w:val="20"/>
              </w:rPr>
              <w:t>24.14</w:t>
            </w:r>
          </w:p>
        </w:tc>
        <w:tc>
          <w:tcPr>
            <w:tcW w:w="1002" w:type="pct"/>
            <w:tcBorders>
              <w:top w:val="nil"/>
              <w:left w:val="nil"/>
              <w:bottom w:val="single" w:sz="4" w:space="0" w:color="A5A5A5"/>
              <w:right w:val="single" w:sz="4" w:space="0" w:color="A5A5A5"/>
            </w:tcBorders>
            <w:shd w:val="clear" w:color="000000" w:fill="F2F2F2"/>
            <w:vAlign w:val="center"/>
            <w:hideMark/>
          </w:tcPr>
          <w:p w:rsidR="00373CC8" w:rsidRPr="00781DE1" w:rsidRDefault="001237B8" w:rsidP="001F35F0">
            <w:pPr>
              <w:spacing w:after="0" w:line="276" w:lineRule="auto"/>
              <w:jc w:val="center"/>
              <w:rPr>
                <w:rFonts w:ascii="Calibri Light" w:eastAsia="Times New Roman" w:hAnsi="Calibri Light" w:cs="Times New Roman"/>
                <w:szCs w:val="20"/>
              </w:rPr>
            </w:pPr>
            <w:r w:rsidRPr="00781DE1">
              <w:rPr>
                <w:rFonts w:ascii="Calibri Light" w:eastAsia="Times New Roman" w:hAnsi="Calibri Light" w:cs="Times New Roman"/>
                <w:szCs w:val="20"/>
              </w:rPr>
              <w:t>22.75</w:t>
            </w:r>
          </w:p>
        </w:tc>
      </w:tr>
      <w:tr w:rsidR="006A789C" w:rsidTr="00A25E95">
        <w:trPr>
          <w:trHeight w:val="390"/>
        </w:trPr>
        <w:tc>
          <w:tcPr>
            <w:tcW w:w="981" w:type="pct"/>
            <w:tcBorders>
              <w:top w:val="nil"/>
              <w:left w:val="single" w:sz="4" w:space="0" w:color="A5A5A5"/>
              <w:bottom w:val="single" w:sz="4" w:space="0" w:color="A5A5A5"/>
              <w:right w:val="single" w:sz="4" w:space="0" w:color="A5A5A5"/>
            </w:tcBorders>
            <w:shd w:val="clear" w:color="000000" w:fill="F2F2F2"/>
            <w:vAlign w:val="center"/>
            <w:hideMark/>
          </w:tcPr>
          <w:p w:rsidR="00373CC8" w:rsidRPr="006D5A63" w:rsidRDefault="001237B8" w:rsidP="001F35F0">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S&amp;P 500</w:t>
            </w:r>
          </w:p>
        </w:tc>
        <w:tc>
          <w:tcPr>
            <w:tcW w:w="1003" w:type="pct"/>
            <w:tcBorders>
              <w:top w:val="nil"/>
              <w:left w:val="nil"/>
              <w:bottom w:val="single" w:sz="4" w:space="0" w:color="A5A5A5"/>
              <w:right w:val="single" w:sz="4" w:space="0" w:color="A5A5A5"/>
            </w:tcBorders>
            <w:shd w:val="clear" w:color="000000" w:fill="F2F2F2"/>
            <w:vAlign w:val="center"/>
            <w:hideMark/>
          </w:tcPr>
          <w:p w:rsidR="00373CC8" w:rsidRPr="00781DE1" w:rsidRDefault="001237B8" w:rsidP="001F35F0">
            <w:pPr>
              <w:spacing w:after="0" w:line="276" w:lineRule="auto"/>
              <w:jc w:val="center"/>
              <w:rPr>
                <w:rFonts w:ascii="Calibri Light" w:eastAsia="Times New Roman" w:hAnsi="Calibri Light" w:cs="Times New Roman"/>
                <w:szCs w:val="20"/>
              </w:rPr>
            </w:pPr>
            <w:r w:rsidRPr="00781DE1">
              <w:rPr>
                <w:rFonts w:ascii="Calibri Light" w:eastAsia="Times New Roman" w:hAnsi="Calibri Light" w:cs="Times New Roman"/>
                <w:szCs w:val="20"/>
              </w:rPr>
              <w:t>1.67</w:t>
            </w:r>
          </w:p>
        </w:tc>
        <w:tc>
          <w:tcPr>
            <w:tcW w:w="1002" w:type="pct"/>
            <w:tcBorders>
              <w:top w:val="nil"/>
              <w:left w:val="nil"/>
              <w:bottom w:val="single" w:sz="4" w:space="0" w:color="A5A5A5"/>
              <w:right w:val="single" w:sz="4" w:space="0" w:color="A5A5A5"/>
            </w:tcBorders>
            <w:shd w:val="clear" w:color="000000" w:fill="F2F2F2"/>
            <w:vAlign w:val="center"/>
            <w:hideMark/>
          </w:tcPr>
          <w:p w:rsidR="00373CC8" w:rsidRPr="00781DE1" w:rsidRDefault="001237B8" w:rsidP="001F35F0">
            <w:pPr>
              <w:spacing w:after="0" w:line="276" w:lineRule="auto"/>
              <w:jc w:val="center"/>
              <w:rPr>
                <w:rFonts w:ascii="Calibri Light" w:eastAsia="Times New Roman" w:hAnsi="Calibri Light" w:cs="Times New Roman"/>
                <w:szCs w:val="20"/>
              </w:rPr>
            </w:pPr>
            <w:r w:rsidRPr="00781DE1">
              <w:rPr>
                <w:rFonts w:ascii="Calibri Light" w:eastAsia="Times New Roman" w:hAnsi="Calibri Light" w:cs="Times New Roman"/>
                <w:szCs w:val="20"/>
              </w:rPr>
              <w:t>12.34</w:t>
            </w:r>
          </w:p>
        </w:tc>
        <w:tc>
          <w:tcPr>
            <w:tcW w:w="1012" w:type="pct"/>
            <w:tcBorders>
              <w:top w:val="nil"/>
              <w:left w:val="nil"/>
              <w:bottom w:val="single" w:sz="4" w:space="0" w:color="A5A5A5"/>
              <w:right w:val="single" w:sz="4" w:space="0" w:color="A5A5A5"/>
            </w:tcBorders>
            <w:shd w:val="clear" w:color="000000" w:fill="F2F2F2"/>
            <w:vAlign w:val="center"/>
            <w:hideMark/>
          </w:tcPr>
          <w:p w:rsidR="00373CC8" w:rsidRPr="00781DE1" w:rsidRDefault="001237B8" w:rsidP="001F35F0">
            <w:pPr>
              <w:spacing w:after="0" w:line="276" w:lineRule="auto"/>
              <w:jc w:val="center"/>
              <w:rPr>
                <w:rFonts w:ascii="Calibri Light" w:eastAsia="Times New Roman" w:hAnsi="Calibri Light" w:cs="Times New Roman"/>
                <w:szCs w:val="20"/>
              </w:rPr>
            </w:pPr>
            <w:r w:rsidRPr="00781DE1">
              <w:rPr>
                <w:rFonts w:ascii="Calibri Light" w:eastAsia="Times New Roman" w:hAnsi="Calibri Light" w:cs="Times New Roman"/>
                <w:szCs w:val="20"/>
              </w:rPr>
              <w:t>13.85</w:t>
            </w:r>
          </w:p>
        </w:tc>
        <w:tc>
          <w:tcPr>
            <w:tcW w:w="1002" w:type="pct"/>
            <w:tcBorders>
              <w:top w:val="nil"/>
              <w:left w:val="nil"/>
              <w:bottom w:val="single" w:sz="4" w:space="0" w:color="A5A5A5"/>
              <w:right w:val="single" w:sz="4" w:space="0" w:color="A5A5A5"/>
            </w:tcBorders>
            <w:shd w:val="clear" w:color="000000" w:fill="F2F2F2"/>
            <w:vAlign w:val="center"/>
            <w:hideMark/>
          </w:tcPr>
          <w:p w:rsidR="00373CC8" w:rsidRPr="00781DE1" w:rsidRDefault="001237B8" w:rsidP="0091466D">
            <w:pPr>
              <w:spacing w:after="0" w:line="276" w:lineRule="auto"/>
              <w:jc w:val="center"/>
              <w:rPr>
                <w:rFonts w:ascii="Calibri Light" w:eastAsia="Times New Roman" w:hAnsi="Calibri Light" w:cs="Times New Roman"/>
                <w:szCs w:val="20"/>
              </w:rPr>
            </w:pPr>
            <w:r w:rsidRPr="00781DE1">
              <w:rPr>
                <w:rFonts w:ascii="Calibri Light" w:eastAsia="Times New Roman" w:hAnsi="Calibri Light" w:cs="Times New Roman"/>
                <w:szCs w:val="20"/>
              </w:rPr>
              <w:t>11.2</w:t>
            </w:r>
            <w:r>
              <w:rPr>
                <w:rFonts w:ascii="Calibri Light" w:eastAsia="Times New Roman" w:hAnsi="Calibri Light" w:cs="Times New Roman"/>
                <w:szCs w:val="20"/>
              </w:rPr>
              <w:t>4</w:t>
            </w:r>
          </w:p>
        </w:tc>
      </w:tr>
      <w:tr w:rsidR="006A789C" w:rsidTr="00A25E95">
        <w:trPr>
          <w:trHeight w:val="390"/>
        </w:trPr>
        <w:tc>
          <w:tcPr>
            <w:tcW w:w="981" w:type="pct"/>
            <w:tcBorders>
              <w:top w:val="nil"/>
              <w:left w:val="nil"/>
              <w:bottom w:val="nil"/>
              <w:right w:val="nil"/>
            </w:tcBorders>
            <w:shd w:val="clear" w:color="auto" w:fill="auto"/>
            <w:vAlign w:val="center"/>
            <w:hideMark/>
          </w:tcPr>
          <w:p w:rsidR="00373CC8" w:rsidRPr="006D5A63" w:rsidRDefault="00A97A09" w:rsidP="001F35F0">
            <w:pPr>
              <w:spacing w:after="0" w:line="276" w:lineRule="auto"/>
              <w:jc w:val="center"/>
              <w:rPr>
                <w:rFonts w:ascii="Calibri Light" w:eastAsia="Times New Roman" w:hAnsi="Calibri Light" w:cs="Times New Roman"/>
                <w:color w:val="000000"/>
                <w:szCs w:val="20"/>
              </w:rPr>
            </w:pPr>
          </w:p>
        </w:tc>
        <w:tc>
          <w:tcPr>
            <w:tcW w:w="1003" w:type="pct"/>
            <w:tcBorders>
              <w:top w:val="nil"/>
              <w:left w:val="nil"/>
              <w:bottom w:val="nil"/>
              <w:right w:val="nil"/>
            </w:tcBorders>
            <w:shd w:val="clear" w:color="auto" w:fill="auto"/>
            <w:vAlign w:val="center"/>
            <w:hideMark/>
          </w:tcPr>
          <w:p w:rsidR="00373CC8" w:rsidRPr="006D5A63" w:rsidRDefault="00A97A09" w:rsidP="001F35F0">
            <w:pPr>
              <w:spacing w:after="0" w:line="276" w:lineRule="auto"/>
              <w:jc w:val="center"/>
              <w:rPr>
                <w:rFonts w:ascii="Times New Roman" w:eastAsia="Times New Roman" w:hAnsi="Times New Roman" w:cs="Times New Roman"/>
                <w:szCs w:val="20"/>
              </w:rPr>
            </w:pPr>
          </w:p>
        </w:tc>
        <w:tc>
          <w:tcPr>
            <w:tcW w:w="1002" w:type="pct"/>
            <w:tcBorders>
              <w:top w:val="nil"/>
              <w:left w:val="nil"/>
              <w:bottom w:val="nil"/>
              <w:right w:val="nil"/>
            </w:tcBorders>
            <w:shd w:val="clear" w:color="auto" w:fill="auto"/>
            <w:vAlign w:val="center"/>
            <w:hideMark/>
          </w:tcPr>
          <w:p w:rsidR="00373CC8" w:rsidRPr="006D5A63" w:rsidRDefault="00A97A09" w:rsidP="001F35F0">
            <w:pPr>
              <w:spacing w:after="0" w:line="276" w:lineRule="auto"/>
              <w:jc w:val="center"/>
              <w:rPr>
                <w:rFonts w:ascii="Times New Roman" w:eastAsia="Times New Roman" w:hAnsi="Times New Roman" w:cs="Times New Roman"/>
                <w:szCs w:val="20"/>
              </w:rPr>
            </w:pPr>
          </w:p>
        </w:tc>
        <w:tc>
          <w:tcPr>
            <w:tcW w:w="1012" w:type="pct"/>
            <w:tcBorders>
              <w:top w:val="nil"/>
              <w:left w:val="nil"/>
              <w:bottom w:val="nil"/>
              <w:right w:val="nil"/>
            </w:tcBorders>
            <w:shd w:val="clear" w:color="auto" w:fill="auto"/>
            <w:vAlign w:val="center"/>
            <w:hideMark/>
          </w:tcPr>
          <w:p w:rsidR="00373CC8" w:rsidRPr="006D5A63" w:rsidRDefault="00A97A09" w:rsidP="001F35F0">
            <w:pPr>
              <w:spacing w:after="0" w:line="276" w:lineRule="auto"/>
              <w:jc w:val="center"/>
              <w:rPr>
                <w:rFonts w:ascii="Times New Roman" w:eastAsia="Times New Roman" w:hAnsi="Times New Roman" w:cs="Times New Roman"/>
                <w:szCs w:val="20"/>
              </w:rPr>
            </w:pPr>
          </w:p>
        </w:tc>
        <w:tc>
          <w:tcPr>
            <w:tcW w:w="1002" w:type="pct"/>
            <w:tcBorders>
              <w:top w:val="nil"/>
              <w:left w:val="nil"/>
              <w:bottom w:val="nil"/>
              <w:right w:val="nil"/>
            </w:tcBorders>
            <w:shd w:val="clear" w:color="auto" w:fill="auto"/>
            <w:vAlign w:val="center"/>
            <w:hideMark/>
          </w:tcPr>
          <w:p w:rsidR="00373CC8" w:rsidRPr="006D5A63" w:rsidRDefault="00A97A09" w:rsidP="001F35F0">
            <w:pPr>
              <w:spacing w:after="0" w:line="276" w:lineRule="auto"/>
              <w:jc w:val="center"/>
              <w:rPr>
                <w:rFonts w:ascii="Times New Roman" w:eastAsia="Times New Roman" w:hAnsi="Times New Roman" w:cs="Times New Roman"/>
                <w:szCs w:val="20"/>
              </w:rPr>
            </w:pPr>
          </w:p>
        </w:tc>
      </w:tr>
      <w:tr w:rsidR="001237B8" w:rsidRPr="001237B8" w:rsidTr="00A25E95">
        <w:trPr>
          <w:trHeight w:val="390"/>
        </w:trPr>
        <w:tc>
          <w:tcPr>
            <w:tcW w:w="981" w:type="pct"/>
            <w:tcBorders>
              <w:top w:val="nil"/>
              <w:left w:val="nil"/>
              <w:bottom w:val="nil"/>
              <w:right w:val="nil"/>
            </w:tcBorders>
            <w:shd w:val="clear" w:color="auto" w:fill="auto"/>
            <w:vAlign w:val="center"/>
            <w:hideMark/>
          </w:tcPr>
          <w:p w:rsidR="00373CC8" w:rsidRPr="001237B8" w:rsidRDefault="001237B8" w:rsidP="001F35F0">
            <w:pPr>
              <w:spacing w:after="0" w:line="276" w:lineRule="auto"/>
              <w:jc w:val="center"/>
              <w:rPr>
                <w:rFonts w:ascii="Calibri Light" w:eastAsia="Times New Roman" w:hAnsi="Calibri Light" w:cs="Times New Roman"/>
                <w:b/>
                <w:bCs/>
                <w:color w:val="00CCFF"/>
                <w:szCs w:val="20"/>
              </w:rPr>
            </w:pPr>
            <w:r w:rsidRPr="001237B8">
              <w:rPr>
                <w:rFonts w:ascii="Calibri Light" w:eastAsia="Times New Roman" w:hAnsi="Calibri Light" w:cs="Times New Roman"/>
                <w:b/>
                <w:bCs/>
                <w:color w:val="00CCFF"/>
                <w:szCs w:val="20"/>
              </w:rPr>
              <w:t>REAL YIELD (%)</w:t>
            </w:r>
          </w:p>
        </w:tc>
        <w:tc>
          <w:tcPr>
            <w:tcW w:w="1003" w:type="pct"/>
            <w:tcBorders>
              <w:top w:val="nil"/>
              <w:left w:val="nil"/>
              <w:bottom w:val="nil"/>
              <w:right w:val="nil"/>
            </w:tcBorders>
            <w:shd w:val="clear" w:color="auto" w:fill="auto"/>
            <w:vAlign w:val="center"/>
            <w:hideMark/>
          </w:tcPr>
          <w:p w:rsidR="00373CC8" w:rsidRPr="001237B8" w:rsidRDefault="001237B8" w:rsidP="001F35F0">
            <w:pPr>
              <w:spacing w:after="0" w:line="276" w:lineRule="auto"/>
              <w:jc w:val="center"/>
              <w:rPr>
                <w:rFonts w:ascii="Calibri Light" w:eastAsia="Times New Roman" w:hAnsi="Calibri Light" w:cs="Times New Roman"/>
                <w:b/>
                <w:bCs/>
                <w:color w:val="00CCFF"/>
                <w:szCs w:val="20"/>
              </w:rPr>
            </w:pPr>
            <w:r w:rsidRPr="001237B8">
              <w:rPr>
                <w:rFonts w:ascii="Calibri Light" w:eastAsia="Times New Roman" w:hAnsi="Calibri Light" w:cs="Times New Roman"/>
                <w:b/>
                <w:bCs/>
                <w:color w:val="00CCFF"/>
                <w:szCs w:val="20"/>
              </w:rPr>
              <w:t>6/29 RATE</w:t>
            </w:r>
          </w:p>
        </w:tc>
        <w:tc>
          <w:tcPr>
            <w:tcW w:w="1002" w:type="pct"/>
            <w:tcBorders>
              <w:top w:val="nil"/>
              <w:left w:val="nil"/>
              <w:bottom w:val="nil"/>
              <w:right w:val="nil"/>
            </w:tcBorders>
            <w:shd w:val="clear" w:color="auto" w:fill="auto"/>
            <w:vAlign w:val="center"/>
            <w:hideMark/>
          </w:tcPr>
          <w:p w:rsidR="00373CC8" w:rsidRPr="001237B8" w:rsidRDefault="001237B8" w:rsidP="001F35F0">
            <w:pPr>
              <w:spacing w:after="0" w:line="276" w:lineRule="auto"/>
              <w:jc w:val="center"/>
              <w:rPr>
                <w:rFonts w:ascii="Calibri Light" w:eastAsia="Times New Roman" w:hAnsi="Calibri Light" w:cs="Times New Roman"/>
                <w:b/>
                <w:bCs/>
                <w:color w:val="00CCFF"/>
                <w:szCs w:val="20"/>
              </w:rPr>
            </w:pPr>
            <w:r w:rsidRPr="001237B8">
              <w:rPr>
                <w:rFonts w:ascii="Calibri Light" w:eastAsia="Times New Roman" w:hAnsi="Calibri Light" w:cs="Times New Roman"/>
                <w:b/>
                <w:bCs/>
                <w:color w:val="00CCFF"/>
                <w:szCs w:val="20"/>
              </w:rPr>
              <w:t>1 YR AGO</w:t>
            </w:r>
          </w:p>
        </w:tc>
        <w:tc>
          <w:tcPr>
            <w:tcW w:w="1012" w:type="pct"/>
            <w:tcBorders>
              <w:top w:val="nil"/>
              <w:left w:val="nil"/>
              <w:bottom w:val="nil"/>
              <w:right w:val="nil"/>
            </w:tcBorders>
            <w:shd w:val="clear" w:color="auto" w:fill="auto"/>
            <w:vAlign w:val="center"/>
            <w:hideMark/>
          </w:tcPr>
          <w:p w:rsidR="00373CC8" w:rsidRPr="001237B8" w:rsidRDefault="001237B8" w:rsidP="001F35F0">
            <w:pPr>
              <w:spacing w:after="0" w:line="276" w:lineRule="auto"/>
              <w:jc w:val="center"/>
              <w:rPr>
                <w:rFonts w:ascii="Calibri Light" w:eastAsia="Times New Roman" w:hAnsi="Calibri Light" w:cs="Times New Roman"/>
                <w:b/>
                <w:bCs/>
                <w:color w:val="00CCFF"/>
                <w:szCs w:val="20"/>
              </w:rPr>
            </w:pPr>
            <w:r w:rsidRPr="001237B8">
              <w:rPr>
                <w:rFonts w:ascii="Calibri Light" w:eastAsia="Times New Roman" w:hAnsi="Calibri Light" w:cs="Times New Roman"/>
                <w:b/>
                <w:bCs/>
                <w:color w:val="00CCFF"/>
                <w:szCs w:val="20"/>
              </w:rPr>
              <w:t>5 YRS AGO</w:t>
            </w:r>
          </w:p>
        </w:tc>
        <w:tc>
          <w:tcPr>
            <w:tcW w:w="1002" w:type="pct"/>
            <w:tcBorders>
              <w:top w:val="nil"/>
              <w:left w:val="nil"/>
              <w:bottom w:val="nil"/>
              <w:right w:val="nil"/>
            </w:tcBorders>
            <w:shd w:val="clear" w:color="auto" w:fill="auto"/>
            <w:vAlign w:val="center"/>
            <w:hideMark/>
          </w:tcPr>
          <w:p w:rsidR="00373CC8" w:rsidRPr="001237B8" w:rsidRDefault="001237B8" w:rsidP="001F35F0">
            <w:pPr>
              <w:spacing w:after="0" w:line="276" w:lineRule="auto"/>
              <w:jc w:val="center"/>
              <w:rPr>
                <w:rFonts w:ascii="Calibri Light" w:eastAsia="Times New Roman" w:hAnsi="Calibri Light" w:cs="Times New Roman"/>
                <w:b/>
                <w:bCs/>
                <w:color w:val="00CCFF"/>
                <w:szCs w:val="20"/>
              </w:rPr>
            </w:pPr>
            <w:r w:rsidRPr="001237B8">
              <w:rPr>
                <w:rFonts w:ascii="Calibri Light" w:eastAsia="Times New Roman" w:hAnsi="Calibri Light" w:cs="Times New Roman"/>
                <w:b/>
                <w:bCs/>
                <w:color w:val="00CCFF"/>
                <w:szCs w:val="20"/>
              </w:rPr>
              <w:t>10 YRS AGO</w:t>
            </w:r>
          </w:p>
        </w:tc>
      </w:tr>
      <w:tr w:rsidR="006A789C" w:rsidTr="00A25E95">
        <w:trPr>
          <w:trHeight w:val="390"/>
        </w:trPr>
        <w:tc>
          <w:tcPr>
            <w:tcW w:w="981"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373CC8" w:rsidRPr="006D5A63" w:rsidRDefault="001237B8" w:rsidP="001F35F0">
            <w:pPr>
              <w:spacing w:after="0" w:line="276" w:lineRule="auto"/>
              <w:jc w:val="center"/>
              <w:rPr>
                <w:rFonts w:ascii="Calibri Light" w:eastAsia="Times New Roman" w:hAnsi="Calibri Light" w:cs="Times New Roman"/>
                <w:szCs w:val="20"/>
              </w:rPr>
            </w:pPr>
            <w:r w:rsidRPr="006D5A63">
              <w:rPr>
                <w:rFonts w:ascii="Calibri Light" w:eastAsia="Times New Roman" w:hAnsi="Calibri Light" w:cs="Times New Roman"/>
                <w:szCs w:val="20"/>
              </w:rPr>
              <w:t>10 YR TIPS</w:t>
            </w:r>
          </w:p>
        </w:tc>
        <w:tc>
          <w:tcPr>
            <w:tcW w:w="1003" w:type="pct"/>
            <w:tcBorders>
              <w:top w:val="single" w:sz="4" w:space="0" w:color="A5A5A5"/>
              <w:left w:val="nil"/>
              <w:bottom w:val="single" w:sz="4" w:space="0" w:color="A5A5A5"/>
              <w:right w:val="single" w:sz="4" w:space="0" w:color="A5A5A5"/>
            </w:tcBorders>
            <w:shd w:val="clear" w:color="000000" w:fill="F2F2F2"/>
            <w:vAlign w:val="center"/>
            <w:hideMark/>
          </w:tcPr>
          <w:p w:rsidR="00373CC8" w:rsidRPr="00514BAC" w:rsidRDefault="001237B8" w:rsidP="001F35F0">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0.</w:t>
            </w:r>
            <w:r w:rsidRPr="00514BAC">
              <w:rPr>
                <w:rFonts w:ascii="Calibri Light" w:eastAsia="Times New Roman" w:hAnsi="Calibri Light" w:cs="Times New Roman"/>
                <w:szCs w:val="20"/>
              </w:rPr>
              <w:t>74</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373CC8" w:rsidRPr="00514BAC" w:rsidRDefault="001237B8" w:rsidP="001F35F0">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0.</w:t>
            </w:r>
            <w:r w:rsidRPr="00514BAC">
              <w:rPr>
                <w:rFonts w:ascii="Calibri Light" w:eastAsia="Times New Roman" w:hAnsi="Calibri Light" w:cs="Times New Roman"/>
                <w:szCs w:val="20"/>
              </w:rPr>
              <w:t>55</w:t>
            </w:r>
          </w:p>
        </w:tc>
        <w:tc>
          <w:tcPr>
            <w:tcW w:w="1012" w:type="pct"/>
            <w:tcBorders>
              <w:top w:val="single" w:sz="4" w:space="0" w:color="A5A5A5"/>
              <w:left w:val="nil"/>
              <w:bottom w:val="single" w:sz="4" w:space="0" w:color="A5A5A5"/>
              <w:right w:val="single" w:sz="4" w:space="0" w:color="A5A5A5"/>
            </w:tcBorders>
            <w:shd w:val="clear" w:color="000000" w:fill="F2F2F2"/>
            <w:vAlign w:val="center"/>
            <w:hideMark/>
          </w:tcPr>
          <w:p w:rsidR="00373CC8" w:rsidRPr="006D5A63" w:rsidRDefault="001237B8" w:rsidP="001F35F0">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0.</w:t>
            </w:r>
            <w:r w:rsidRPr="006D5A63">
              <w:rPr>
                <w:rFonts w:ascii="Calibri Light" w:eastAsia="Times New Roman" w:hAnsi="Calibri Light" w:cs="Times New Roman"/>
                <w:szCs w:val="20"/>
              </w:rPr>
              <w:t>53</w:t>
            </w:r>
          </w:p>
        </w:tc>
        <w:tc>
          <w:tcPr>
            <w:tcW w:w="1002" w:type="pct"/>
            <w:tcBorders>
              <w:top w:val="single" w:sz="4" w:space="0" w:color="A5A5A5"/>
              <w:left w:val="nil"/>
              <w:bottom w:val="single" w:sz="4" w:space="0" w:color="A5A5A5"/>
              <w:right w:val="single" w:sz="4" w:space="0" w:color="A5A5A5"/>
            </w:tcBorders>
            <w:shd w:val="clear" w:color="000000" w:fill="F2F2F2"/>
            <w:vAlign w:val="center"/>
            <w:hideMark/>
          </w:tcPr>
          <w:p w:rsidR="00373CC8" w:rsidRPr="006D5A63" w:rsidRDefault="001237B8" w:rsidP="001F35F0">
            <w:pPr>
              <w:spacing w:after="0" w:line="276" w:lineRule="auto"/>
              <w:jc w:val="center"/>
              <w:rPr>
                <w:rFonts w:ascii="Calibri Light" w:eastAsia="Times New Roman" w:hAnsi="Calibri Light" w:cs="Times New Roman"/>
                <w:szCs w:val="20"/>
              </w:rPr>
            </w:pPr>
            <w:r w:rsidRPr="006D5A63">
              <w:rPr>
                <w:rFonts w:ascii="Calibri Light" w:eastAsia="Times New Roman" w:hAnsi="Calibri Light" w:cs="Times New Roman"/>
                <w:szCs w:val="20"/>
              </w:rPr>
              <w:t>1</w:t>
            </w:r>
            <w:r>
              <w:rPr>
                <w:rFonts w:ascii="Calibri Light" w:eastAsia="Times New Roman" w:hAnsi="Calibri Light" w:cs="Times New Roman"/>
                <w:szCs w:val="20"/>
              </w:rPr>
              <w:t>.</w:t>
            </w:r>
            <w:r w:rsidRPr="006D5A63">
              <w:rPr>
                <w:rFonts w:ascii="Calibri Light" w:eastAsia="Times New Roman" w:hAnsi="Calibri Light" w:cs="Times New Roman"/>
                <w:szCs w:val="20"/>
              </w:rPr>
              <w:t>48</w:t>
            </w:r>
          </w:p>
        </w:tc>
      </w:tr>
    </w:tbl>
    <w:p w:rsidR="00373CC8" w:rsidRPr="003035CB" w:rsidRDefault="00A97A09" w:rsidP="001F35F0">
      <w:pPr>
        <w:spacing w:line="276" w:lineRule="auto"/>
        <w:rPr>
          <w:rStyle w:val="st"/>
          <w:rFonts w:asciiTheme="majorHAnsi" w:hAnsiTheme="majorHAnsi"/>
          <w:color w:val="808080" w:themeColor="background1" w:themeShade="80"/>
        </w:rPr>
      </w:pPr>
    </w:p>
    <w:p w:rsidR="00373CC8" w:rsidRPr="003035CB" w:rsidRDefault="001237B8" w:rsidP="001F35F0">
      <w:pPr>
        <w:spacing w:line="276" w:lineRule="auto"/>
        <w:jc w:val="center"/>
        <w:rPr>
          <w:rFonts w:asciiTheme="majorHAnsi" w:hAnsiTheme="majorHAnsi"/>
          <w:color w:val="808080" w:themeColor="background1" w:themeShade="80"/>
          <w:sz w:val="18"/>
          <w:szCs w:val="14"/>
        </w:rPr>
      </w:pPr>
      <w:r w:rsidRPr="003035CB">
        <w:rPr>
          <w:rFonts w:asciiTheme="majorHAnsi" w:hAnsiTheme="majorHAnsi"/>
          <w:color w:val="808080" w:themeColor="background1" w:themeShade="80"/>
          <w:sz w:val="18"/>
          <w:szCs w:val="14"/>
        </w:rPr>
        <w:t>Sources: wsj.com, bigcharts.com, treasury.gov - 6/29/18</w:t>
      </w:r>
      <w:r w:rsidRPr="003035CB">
        <w:rPr>
          <w:rFonts w:asciiTheme="majorHAnsi" w:hAnsiTheme="majorHAnsi"/>
          <w:color w:val="808080" w:themeColor="background1" w:themeShade="80"/>
          <w:sz w:val="18"/>
          <w:szCs w:val="14"/>
          <w:vertAlign w:val="superscript"/>
        </w:rPr>
        <w:t>4,6,7,8</w:t>
      </w:r>
    </w:p>
    <w:p w:rsidR="00373CC8" w:rsidRPr="006D5A63" w:rsidRDefault="001237B8" w:rsidP="001F35F0">
      <w:pPr>
        <w:spacing w:line="276" w:lineRule="auto"/>
        <w:jc w:val="center"/>
        <w:rPr>
          <w:rFonts w:asciiTheme="majorHAnsi" w:hAnsiTheme="majorHAnsi" w:cs="Verdana"/>
          <w:iCs/>
          <w:color w:val="808080"/>
          <w:spacing w:val="-4"/>
          <w:sz w:val="18"/>
          <w:szCs w:val="14"/>
        </w:rPr>
      </w:pPr>
      <w:r w:rsidRPr="006D5A63">
        <w:rPr>
          <w:rFonts w:asciiTheme="majorHAnsi" w:hAnsiTheme="majorHAnsi" w:cs="Verdana"/>
          <w:iCs/>
          <w:color w:val="808080"/>
          <w:spacing w:val="-4"/>
          <w:sz w:val="18"/>
          <w:szCs w:val="14"/>
        </w:rPr>
        <w:t>Indices are unmanaged, do not incur fees or expenses, and cannot be invested into directly. These returns do not include dividends. 10-year TIPS real yield = projected return at maturity given expected inflation.</w:t>
      </w:r>
    </w:p>
    <w:p w:rsidR="006D5A63" w:rsidRDefault="00A97A09" w:rsidP="001F35F0">
      <w:pPr>
        <w:spacing w:before="160" w:line="276" w:lineRule="auto"/>
        <w:rPr>
          <w:rFonts w:asciiTheme="majorHAnsi" w:hAnsiTheme="majorHAnsi" w:cs="Times New Roman"/>
          <w:color w:val="767171" w:themeColor="background2" w:themeShade="80"/>
          <w:sz w:val="20"/>
        </w:rPr>
      </w:pPr>
    </w:p>
    <w:p w:rsidR="006D5A63" w:rsidRDefault="001237B8" w:rsidP="001F35F0">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6D5A63" w:rsidRDefault="00A97A09" w:rsidP="001F35F0">
      <w:pPr>
        <w:spacing w:line="276" w:lineRule="auto"/>
        <w:jc w:val="center"/>
        <w:rPr>
          <w:rStyle w:val="st"/>
          <w:rFonts w:asciiTheme="majorHAnsi" w:hAnsiTheme="majorHAnsi"/>
          <w:color w:val="E88E0A"/>
        </w:rPr>
      </w:pPr>
    </w:p>
    <w:p w:rsidR="006D5A63" w:rsidRPr="00B2579B" w:rsidRDefault="001237B8" w:rsidP="001F35F0">
      <w:pPr>
        <w:spacing w:line="276" w:lineRule="auto"/>
        <w:jc w:val="center"/>
        <w:rPr>
          <w:rStyle w:val="st"/>
          <w:rFonts w:asciiTheme="majorHAnsi" w:hAnsiTheme="majorHAnsi"/>
          <w:color w:val="E88E0A"/>
        </w:rPr>
      </w:pPr>
      <w:r>
        <w:rPr>
          <w:rStyle w:val="st"/>
          <w:rFonts w:asciiTheme="majorHAnsi" w:hAnsiTheme="majorHAnsi"/>
          <w:color w:val="E88E0A"/>
        </w:rPr>
        <w:t>T H E   W E E K L Y   R I D D L E</w:t>
      </w:r>
    </w:p>
    <w:p w:rsidR="006D5A63" w:rsidRDefault="00A97A09" w:rsidP="001F35F0">
      <w:pPr>
        <w:spacing w:line="276" w:lineRule="auto"/>
        <w:jc w:val="center"/>
        <w:rPr>
          <w:rStyle w:val="st"/>
          <w:rFonts w:asciiTheme="majorHAnsi" w:hAnsiTheme="majorHAnsi"/>
        </w:rPr>
      </w:pPr>
    </w:p>
    <w:p w:rsidR="006D5A63" w:rsidRDefault="001237B8" w:rsidP="001F35F0">
      <w:pPr>
        <w:spacing w:line="276" w:lineRule="auto"/>
        <w:jc w:val="center"/>
        <w:rPr>
          <w:rStyle w:val="st"/>
          <w:rFonts w:asciiTheme="majorHAnsi" w:hAnsiTheme="majorHAnsi"/>
        </w:rPr>
      </w:pPr>
      <w:r>
        <w:rPr>
          <w:rFonts w:asciiTheme="majorHAnsi" w:hAnsiTheme="majorHAnsi"/>
          <w:noProof/>
        </w:rPr>
        <w:drawing>
          <wp:inline distT="0" distB="0" distL="0" distR="0">
            <wp:extent cx="771525" cy="949569"/>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7">
                      <a:extLst>
                        <a:ext uri="{28A0092B-C50C-407E-A947-70E740481C1C}">
                          <a14:useLocalDpi xmlns:a14="http://schemas.microsoft.com/office/drawing/2010/main" val="0"/>
                        </a:ext>
                      </a:extLst>
                    </a:blip>
                    <a:stretch>
                      <a:fillRect/>
                    </a:stretch>
                  </pic:blipFill>
                  <pic:spPr>
                    <a:xfrm>
                      <a:off x="0" y="0"/>
                      <a:ext cx="776035" cy="955119"/>
                    </a:xfrm>
                    <a:prstGeom prst="rect">
                      <a:avLst/>
                    </a:prstGeom>
                  </pic:spPr>
                </pic:pic>
              </a:graphicData>
            </a:graphic>
          </wp:inline>
        </w:drawing>
      </w:r>
    </w:p>
    <w:p w:rsidR="006D5A63" w:rsidRPr="00EA0505" w:rsidRDefault="001237B8" w:rsidP="001F35F0">
      <w:pPr>
        <w:spacing w:line="276" w:lineRule="auto"/>
        <w:jc w:val="center"/>
        <w:rPr>
          <w:rStyle w:val="st"/>
          <w:rFonts w:asciiTheme="majorHAnsi" w:hAnsiTheme="majorHAnsi"/>
          <w:b/>
          <w:i/>
          <w:sz w:val="36"/>
        </w:rPr>
      </w:pPr>
      <w:r w:rsidRPr="000A42E4">
        <w:rPr>
          <w:rStyle w:val="st"/>
          <w:rFonts w:asciiTheme="majorHAnsi" w:hAnsiTheme="majorHAnsi"/>
          <w:i/>
          <w:sz w:val="36"/>
        </w:rPr>
        <w:t xml:space="preserve">You see </w:t>
      </w:r>
      <w:r>
        <w:rPr>
          <w:rStyle w:val="st"/>
          <w:rFonts w:asciiTheme="majorHAnsi" w:hAnsiTheme="majorHAnsi"/>
          <w:i/>
          <w:sz w:val="36"/>
        </w:rPr>
        <w:t>them</w:t>
      </w:r>
      <w:r w:rsidRPr="000A42E4">
        <w:rPr>
          <w:rStyle w:val="st"/>
          <w:rFonts w:asciiTheme="majorHAnsi" w:hAnsiTheme="majorHAnsi"/>
          <w:i/>
          <w:sz w:val="36"/>
        </w:rPr>
        <w:t xml:space="preserve"> every</w:t>
      </w:r>
      <w:r>
        <w:rPr>
          <w:rStyle w:val="st"/>
          <w:rFonts w:asciiTheme="majorHAnsi" w:hAnsiTheme="majorHAnsi"/>
          <w:i/>
          <w:sz w:val="36"/>
        </w:rPr>
        <w:t xml:space="preserve"> </w:t>
      </w:r>
      <w:r w:rsidRPr="000A42E4">
        <w:rPr>
          <w:rStyle w:val="st"/>
          <w:rFonts w:asciiTheme="majorHAnsi" w:hAnsiTheme="majorHAnsi"/>
          <w:i/>
          <w:sz w:val="36"/>
        </w:rPr>
        <w:t xml:space="preserve">day, but never together. </w:t>
      </w:r>
      <w:r>
        <w:rPr>
          <w:rStyle w:val="st"/>
          <w:rFonts w:asciiTheme="majorHAnsi" w:hAnsiTheme="majorHAnsi"/>
          <w:i/>
          <w:sz w:val="36"/>
        </w:rPr>
        <w:t>They</w:t>
      </w:r>
      <w:r w:rsidRPr="000A42E4">
        <w:rPr>
          <w:rStyle w:val="st"/>
          <w:rFonts w:asciiTheme="majorHAnsi" w:hAnsiTheme="majorHAnsi"/>
          <w:i/>
          <w:sz w:val="36"/>
        </w:rPr>
        <w:t xml:space="preserve"> appear everywhere</w:t>
      </w:r>
      <w:r>
        <w:rPr>
          <w:rStyle w:val="st"/>
          <w:rFonts w:asciiTheme="majorHAnsi" w:hAnsiTheme="majorHAnsi"/>
          <w:i/>
          <w:sz w:val="36"/>
        </w:rPr>
        <w:t>,</w:t>
      </w:r>
      <w:r w:rsidRPr="000A42E4">
        <w:rPr>
          <w:rStyle w:val="st"/>
          <w:rFonts w:asciiTheme="majorHAnsi" w:hAnsiTheme="majorHAnsi"/>
          <w:i/>
          <w:sz w:val="36"/>
        </w:rPr>
        <w:t xml:space="preserve"> but never at the same </w:t>
      </w:r>
      <w:r>
        <w:rPr>
          <w:rStyle w:val="st"/>
          <w:rFonts w:asciiTheme="majorHAnsi" w:hAnsiTheme="majorHAnsi"/>
          <w:i/>
          <w:sz w:val="36"/>
        </w:rPr>
        <w:t>time</w:t>
      </w:r>
      <w:r w:rsidRPr="000A42E4">
        <w:rPr>
          <w:rStyle w:val="st"/>
          <w:rFonts w:asciiTheme="majorHAnsi" w:hAnsiTheme="majorHAnsi"/>
          <w:i/>
          <w:sz w:val="36"/>
        </w:rPr>
        <w:t xml:space="preserve">. </w:t>
      </w:r>
      <w:r w:rsidRPr="000A42E4">
        <w:rPr>
          <w:rStyle w:val="st"/>
          <w:rFonts w:asciiTheme="majorHAnsi" w:hAnsiTheme="majorHAnsi"/>
          <w:b/>
          <w:i/>
          <w:sz w:val="36"/>
        </w:rPr>
        <w:t>Wh</w:t>
      </w:r>
      <w:r>
        <w:rPr>
          <w:rStyle w:val="st"/>
          <w:rFonts w:asciiTheme="majorHAnsi" w:hAnsiTheme="majorHAnsi"/>
          <w:b/>
          <w:i/>
          <w:sz w:val="36"/>
        </w:rPr>
        <w:t>at</w:t>
      </w:r>
      <w:r w:rsidRPr="000A42E4">
        <w:rPr>
          <w:rStyle w:val="st"/>
          <w:rFonts w:asciiTheme="majorHAnsi" w:hAnsiTheme="majorHAnsi"/>
          <w:b/>
          <w:i/>
          <w:sz w:val="36"/>
        </w:rPr>
        <w:t xml:space="preserve"> are </w:t>
      </w:r>
      <w:r>
        <w:rPr>
          <w:rStyle w:val="st"/>
          <w:rFonts w:asciiTheme="majorHAnsi" w:hAnsiTheme="majorHAnsi"/>
          <w:b/>
          <w:i/>
          <w:sz w:val="36"/>
        </w:rPr>
        <w:t>they</w:t>
      </w:r>
      <w:r w:rsidRPr="000A42E4">
        <w:rPr>
          <w:rStyle w:val="st"/>
          <w:rFonts w:asciiTheme="majorHAnsi" w:hAnsiTheme="majorHAnsi"/>
          <w:b/>
          <w:i/>
          <w:sz w:val="36"/>
        </w:rPr>
        <w:t>?</w:t>
      </w:r>
    </w:p>
    <w:p w:rsidR="00237981" w:rsidRDefault="00A97A09" w:rsidP="001F35F0">
      <w:pPr>
        <w:spacing w:line="276" w:lineRule="auto"/>
        <w:jc w:val="center"/>
        <w:rPr>
          <w:rStyle w:val="st"/>
          <w:rFonts w:asciiTheme="majorHAnsi" w:hAnsiTheme="majorHAnsi"/>
          <w:i/>
          <w:color w:val="A6A6A6" w:themeColor="background1" w:themeShade="A6"/>
        </w:rPr>
      </w:pPr>
    </w:p>
    <w:p w:rsidR="00237981" w:rsidRDefault="001237B8" w:rsidP="001F35F0">
      <w:pPr>
        <w:spacing w:line="276" w:lineRule="auto"/>
        <w:jc w:val="center"/>
        <w:rPr>
          <w:rStyle w:val="st"/>
          <w:rFonts w:asciiTheme="majorHAnsi" w:hAnsiTheme="majorHAnsi"/>
          <w:i/>
          <w:color w:val="A6A6A6" w:themeColor="background1" w:themeShade="A6"/>
        </w:rPr>
      </w:pPr>
      <w:r w:rsidRPr="00237981">
        <w:rPr>
          <w:rStyle w:val="st"/>
          <w:rFonts w:asciiTheme="majorHAnsi" w:hAnsiTheme="majorHAnsi"/>
          <w:i/>
          <w:color w:val="A6A6A6" w:themeColor="background1" w:themeShade="A6"/>
        </w:rPr>
        <w:t>LAST WEEK’S RIDDLE:</w:t>
      </w:r>
      <w:r>
        <w:rPr>
          <w:rStyle w:val="st"/>
          <w:rFonts w:asciiTheme="majorHAnsi" w:hAnsiTheme="majorHAnsi"/>
          <w:i/>
          <w:color w:val="A6A6A6" w:themeColor="background1" w:themeShade="A6"/>
        </w:rPr>
        <w:t xml:space="preserve"> </w:t>
      </w:r>
      <w:r w:rsidRPr="000A42E4">
        <w:rPr>
          <w:rStyle w:val="st"/>
          <w:rFonts w:asciiTheme="majorHAnsi" w:hAnsiTheme="majorHAnsi"/>
          <w:i/>
          <w:color w:val="A6A6A6" w:themeColor="background1" w:themeShade="A6"/>
        </w:rPr>
        <w:t>You have three coins that add up to $0.31. Two of them are not quarters. What kind of coins do you have</w:t>
      </w:r>
      <w:r w:rsidRPr="00237981">
        <w:rPr>
          <w:rStyle w:val="st"/>
          <w:rFonts w:asciiTheme="majorHAnsi" w:hAnsiTheme="majorHAnsi"/>
          <w:i/>
          <w:color w:val="A6A6A6" w:themeColor="background1" w:themeShade="A6"/>
        </w:rPr>
        <w:t>?</w:t>
      </w:r>
    </w:p>
    <w:p w:rsidR="00237981" w:rsidRDefault="001237B8" w:rsidP="001F35F0">
      <w:pPr>
        <w:spacing w:line="276" w:lineRule="auto"/>
        <w:jc w:val="center"/>
        <w:rPr>
          <w:rStyle w:val="st"/>
          <w:rFonts w:asciiTheme="majorHAnsi" w:hAnsiTheme="majorHAnsi"/>
          <w:i/>
          <w:color w:val="A6A6A6" w:themeColor="background1" w:themeShade="A6"/>
        </w:rPr>
      </w:pPr>
      <w:r>
        <w:rPr>
          <w:rStyle w:val="st"/>
          <w:rFonts w:asciiTheme="majorHAnsi" w:hAnsiTheme="majorHAnsi"/>
          <w:i/>
          <w:color w:val="A6A6A6" w:themeColor="background1" w:themeShade="A6"/>
        </w:rPr>
        <w:t>ANSWER: A penny,</w:t>
      </w:r>
      <w:r w:rsidRPr="00237981">
        <w:rPr>
          <w:rStyle w:val="st"/>
          <w:rFonts w:asciiTheme="majorHAnsi" w:hAnsiTheme="majorHAnsi"/>
          <w:i/>
          <w:color w:val="A6A6A6" w:themeColor="background1" w:themeShade="A6"/>
        </w:rPr>
        <w:t xml:space="preserve"> a</w:t>
      </w:r>
      <w:r>
        <w:rPr>
          <w:rStyle w:val="st"/>
          <w:rFonts w:asciiTheme="majorHAnsi" w:hAnsiTheme="majorHAnsi"/>
          <w:i/>
          <w:color w:val="A6A6A6" w:themeColor="background1" w:themeShade="A6"/>
        </w:rPr>
        <w:t xml:space="preserve"> nickel, and a quarter</w:t>
      </w:r>
      <w:r w:rsidRPr="00237981">
        <w:rPr>
          <w:rStyle w:val="st"/>
          <w:rFonts w:asciiTheme="majorHAnsi" w:hAnsiTheme="majorHAnsi"/>
          <w:i/>
          <w:color w:val="A6A6A6" w:themeColor="background1" w:themeShade="A6"/>
        </w:rPr>
        <w:t>.</w:t>
      </w:r>
    </w:p>
    <w:p w:rsidR="00237981" w:rsidRDefault="00A97A09" w:rsidP="001F35F0">
      <w:pPr>
        <w:spacing w:line="276" w:lineRule="auto"/>
        <w:jc w:val="center"/>
        <w:rPr>
          <w:rStyle w:val="st"/>
          <w:rFonts w:asciiTheme="majorHAnsi" w:hAnsiTheme="majorHAnsi"/>
          <w:i/>
          <w:color w:val="A6A6A6" w:themeColor="background1" w:themeShade="A6"/>
        </w:rPr>
      </w:pPr>
    </w:p>
    <w:p w:rsidR="00237981" w:rsidRDefault="001237B8" w:rsidP="001F35F0">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extent cx="5852160" cy="268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rsidR="00237981" w:rsidRDefault="00A97A09" w:rsidP="001F35F0">
      <w:pPr>
        <w:spacing w:line="276" w:lineRule="auto"/>
        <w:rPr>
          <w:rFonts w:asciiTheme="majorHAnsi" w:hAnsiTheme="majorHAnsi"/>
          <w:color w:val="A6A6A6" w:themeColor="background1" w:themeShade="A6"/>
          <w:sz w:val="20"/>
          <w:szCs w:val="20"/>
        </w:rPr>
      </w:pPr>
      <w:bookmarkStart w:id="0" w:name="_GoBack"/>
    </w:p>
    <w:bookmarkEnd w:id="0"/>
    <w:p w:rsidR="006E3EBF" w:rsidRDefault="00A97A09" w:rsidP="001F35F0">
      <w:pPr>
        <w:spacing w:line="276" w:lineRule="auto"/>
        <w:jc w:val="center"/>
        <w:rPr>
          <w:rFonts w:asciiTheme="majorHAnsi" w:hAnsiTheme="majorHAnsi" w:cs="Times New Roman"/>
          <w:sz w:val="24"/>
          <w:szCs w:val="32"/>
        </w:rPr>
      </w:pPr>
    </w:p>
    <w:p w:rsidR="00237981" w:rsidRPr="00237981" w:rsidRDefault="001237B8" w:rsidP="001F35F0">
      <w:pPr>
        <w:spacing w:line="276" w:lineRule="auto"/>
        <w:jc w:val="center"/>
        <w:rPr>
          <w:rFonts w:asciiTheme="majorHAnsi" w:hAnsiTheme="majorHAnsi" w:cs="Times New Roman"/>
          <w:sz w:val="24"/>
          <w:szCs w:val="32"/>
        </w:rPr>
      </w:pPr>
      <w:r w:rsidRPr="006E3EBF">
        <w:rPr>
          <w:rFonts w:asciiTheme="majorHAnsi" w:hAnsiTheme="majorHAnsi" w:cs="Times New Roman"/>
          <w:b/>
          <w:sz w:val="24"/>
          <w:szCs w:val="32"/>
        </w:rPr>
        <w:t xml:space="preserve">Know someone who could use information like this? </w:t>
      </w:r>
      <w:r>
        <w:rPr>
          <w:rFonts w:asciiTheme="majorHAnsi" w:hAnsiTheme="majorHAnsi" w:cs="Times New Roman"/>
          <w:b/>
          <w:sz w:val="24"/>
          <w:szCs w:val="32"/>
        </w:rPr>
        <w:br/>
      </w:r>
      <w:r>
        <w:rPr>
          <w:rFonts w:asciiTheme="majorHAnsi" w:hAnsiTheme="majorHAnsi" w:cs="Times New Roman"/>
          <w:sz w:val="24"/>
          <w:szCs w:val="32"/>
        </w:rPr>
        <w:t>Please feel free send us their contact information via phone or email. (Don’t worry – we’ll request their permission before adding them to our mailing list.)</w:t>
      </w:r>
      <w:r>
        <w:rPr>
          <w:rFonts w:asciiTheme="majorHAnsi" w:hAnsiTheme="majorHAnsi" w:cs="Times New Roman"/>
          <w:sz w:val="24"/>
          <w:szCs w:val="32"/>
        </w:rPr>
        <w:br/>
      </w:r>
    </w:p>
    <w:p w:rsidR="00237981" w:rsidRDefault="001237B8" w:rsidP="001F35F0">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extent cx="5852160" cy="266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670"/>
                    </a:xfrm>
                    <a:prstGeom prst="rect">
                      <a:avLst/>
                    </a:prstGeom>
                    <a:noFill/>
                    <a:ln>
                      <a:noFill/>
                    </a:ln>
                  </pic:spPr>
                </pic:pic>
              </a:graphicData>
            </a:graphic>
          </wp:inline>
        </w:drawing>
      </w:r>
    </w:p>
    <w:p w:rsidR="001237B8" w:rsidRPr="00A97A09" w:rsidRDefault="001237B8" w:rsidP="001237B8">
      <w:pPr>
        <w:tabs>
          <w:tab w:val="left" w:pos="5985"/>
        </w:tabs>
        <w:rPr>
          <w:rFonts w:ascii="Calibri" w:hAnsi="Calibri" w:cs="Arial"/>
          <w:b/>
          <w:color w:val="262626" w:themeColor="text1" w:themeTint="D9"/>
          <w:sz w:val="16"/>
          <w:szCs w:val="16"/>
        </w:rPr>
      </w:pPr>
      <w:r w:rsidRPr="00A97A09">
        <w:rPr>
          <w:rFonts w:ascii="Calibri" w:hAnsi="Calibri"/>
          <w:b/>
          <w:color w:val="262626" w:themeColor="text1" w:themeTint="D9"/>
          <w:sz w:val="16"/>
          <w:szCs w:val="16"/>
        </w:rPr>
        <w:t xml:space="preserve">Ellen Dorle, CFP Dorle Financial, LLC 7957 Olentangy River </w:t>
      </w:r>
      <w:proofErr w:type="gramStart"/>
      <w:r w:rsidRPr="00A97A09">
        <w:rPr>
          <w:rFonts w:ascii="Calibri" w:hAnsi="Calibri"/>
          <w:b/>
          <w:color w:val="262626" w:themeColor="text1" w:themeTint="D9"/>
          <w:sz w:val="16"/>
          <w:szCs w:val="16"/>
        </w:rPr>
        <w:t>Road  Columbus</w:t>
      </w:r>
      <w:proofErr w:type="gramEnd"/>
      <w:r w:rsidRPr="00A97A09">
        <w:rPr>
          <w:rFonts w:ascii="Calibri" w:hAnsi="Calibri"/>
          <w:b/>
          <w:color w:val="262626" w:themeColor="text1" w:themeTint="D9"/>
          <w:sz w:val="16"/>
          <w:szCs w:val="16"/>
        </w:rPr>
        <w:t>, OH 43235</w:t>
      </w:r>
    </w:p>
    <w:p w:rsidR="001237B8" w:rsidRPr="00A97A09" w:rsidRDefault="00A97A09" w:rsidP="001237B8">
      <w:pPr>
        <w:rPr>
          <w:rFonts w:ascii="Calibri" w:hAnsi="Calibri" w:cs="Times New Roman"/>
          <w:b/>
          <w:color w:val="262626" w:themeColor="text1" w:themeTint="D9"/>
          <w:sz w:val="16"/>
          <w:szCs w:val="16"/>
        </w:rPr>
      </w:pPr>
      <w:hyperlink r:id="rId8" w:history="1">
        <w:r w:rsidR="001237B8" w:rsidRPr="00A97A09">
          <w:rPr>
            <w:rStyle w:val="Hyperlink"/>
            <w:rFonts w:ascii="Calibri" w:hAnsi="Calibri" w:cs="Arial"/>
            <w:b/>
            <w:color w:val="262626" w:themeColor="text1" w:themeTint="D9"/>
            <w:sz w:val="16"/>
            <w:szCs w:val="16"/>
          </w:rPr>
          <w:t>edorle@ellendorle.com</w:t>
        </w:r>
      </w:hyperlink>
      <w:r w:rsidR="001237B8" w:rsidRPr="00A97A09">
        <w:rPr>
          <w:rFonts w:ascii="Calibri" w:hAnsi="Calibri"/>
          <w:b/>
          <w:color w:val="262626" w:themeColor="text1" w:themeTint="D9"/>
          <w:sz w:val="16"/>
          <w:szCs w:val="16"/>
        </w:rPr>
        <w:t xml:space="preserve"> </w:t>
      </w:r>
      <w:hyperlink r:id="rId9" w:history="1">
        <w:r w:rsidR="001237B8" w:rsidRPr="00A97A09">
          <w:rPr>
            <w:rStyle w:val="Hyperlink"/>
            <w:rFonts w:ascii="Calibri" w:hAnsi="Calibri" w:cs="Arial"/>
            <w:b/>
            <w:color w:val="262626" w:themeColor="text1" w:themeTint="D9"/>
            <w:sz w:val="16"/>
            <w:szCs w:val="16"/>
          </w:rPr>
          <w:t>www.ellendorle.com</w:t>
        </w:r>
      </w:hyperlink>
      <w:r w:rsidR="001237B8" w:rsidRPr="00A97A09">
        <w:rPr>
          <w:rFonts w:ascii="Calibri" w:hAnsi="Calibri" w:cs="Arial"/>
          <w:b/>
          <w:color w:val="262626" w:themeColor="text1" w:themeTint="D9"/>
          <w:sz w:val="16"/>
          <w:szCs w:val="16"/>
        </w:rPr>
        <w:t xml:space="preserve"> </w:t>
      </w:r>
      <w:r w:rsidR="001237B8" w:rsidRPr="00A97A09">
        <w:rPr>
          <w:rFonts w:ascii="Calibri" w:hAnsi="Calibri"/>
          <w:b/>
          <w:color w:val="262626" w:themeColor="text1" w:themeTint="D9"/>
          <w:sz w:val="16"/>
          <w:szCs w:val="16"/>
        </w:rPr>
        <w:t>614-880-0064 Fax: 614-880-0067</w:t>
      </w:r>
    </w:p>
    <w:p w:rsidR="001237B8" w:rsidRPr="00A97A09" w:rsidRDefault="001237B8" w:rsidP="001237B8">
      <w:pPr>
        <w:rPr>
          <w:rFonts w:ascii="Calibri" w:hAnsi="Calibri"/>
          <w:b/>
          <w:color w:val="262626" w:themeColor="text1" w:themeTint="D9"/>
          <w:sz w:val="16"/>
          <w:szCs w:val="16"/>
        </w:rPr>
      </w:pPr>
    </w:p>
    <w:p w:rsidR="001237B8" w:rsidRPr="00A97A09" w:rsidRDefault="001237B8" w:rsidP="001237B8">
      <w:pPr>
        <w:rPr>
          <w:rFonts w:ascii="Georgia" w:hAnsi="Georgia"/>
          <w:color w:val="262626" w:themeColor="text1" w:themeTint="D9"/>
          <w:sz w:val="20"/>
          <w:szCs w:val="20"/>
        </w:rPr>
      </w:pPr>
      <w:r w:rsidRPr="00A97A09">
        <w:rPr>
          <w:rFonts w:ascii="ArialMT" w:hAnsi="ArialMT"/>
          <w:color w:val="262626" w:themeColor="text1" w:themeTint="D9"/>
          <w:sz w:val="16"/>
          <w:szCs w:val="16"/>
        </w:rPr>
        <w:t>Securities offered through SA Stone Wealth Management Inc. </w:t>
      </w:r>
      <w:r w:rsidRPr="00A97A09">
        <w:rPr>
          <w:rFonts w:ascii="Arial" w:hAnsi="Arial" w:cs="Arial"/>
          <w:color w:val="262626" w:themeColor="text1" w:themeTint="D9"/>
          <w:sz w:val="16"/>
          <w:szCs w:val="16"/>
        </w:rPr>
        <w:t xml:space="preserve"> Member </w:t>
      </w:r>
      <w:hyperlink r:id="rId10" w:tgtFrame="_blank" w:history="1">
        <w:r w:rsidRPr="00A97A09">
          <w:rPr>
            <w:rStyle w:val="Hyperlink"/>
            <w:rFonts w:ascii="Arial" w:hAnsi="Arial" w:cs="Arial"/>
            <w:color w:val="262626" w:themeColor="text1" w:themeTint="D9"/>
            <w:sz w:val="16"/>
            <w:szCs w:val="16"/>
          </w:rPr>
          <w:t>FINRA</w:t>
        </w:r>
      </w:hyperlink>
      <w:r w:rsidRPr="00A97A09">
        <w:rPr>
          <w:rFonts w:ascii="Arial" w:hAnsi="Arial" w:cs="Arial"/>
          <w:color w:val="262626" w:themeColor="text1" w:themeTint="D9"/>
          <w:sz w:val="16"/>
          <w:szCs w:val="16"/>
        </w:rPr>
        <w:t>/</w:t>
      </w:r>
      <w:hyperlink r:id="rId11" w:tgtFrame="_blank" w:history="1">
        <w:r w:rsidRPr="00A97A09">
          <w:rPr>
            <w:rStyle w:val="Hyperlink"/>
            <w:rFonts w:ascii="Arial" w:hAnsi="Arial" w:cs="Arial"/>
            <w:color w:val="262626" w:themeColor="text1" w:themeTint="D9"/>
            <w:sz w:val="16"/>
            <w:szCs w:val="16"/>
          </w:rPr>
          <w:t>SIPC</w:t>
        </w:r>
      </w:hyperlink>
      <w:r w:rsidRPr="00A97A09">
        <w:rPr>
          <w:rFonts w:ascii="Arial" w:hAnsi="Arial" w:cs="Arial"/>
          <w:color w:val="262626" w:themeColor="text1" w:themeTint="D9"/>
          <w:sz w:val="16"/>
          <w:szCs w:val="16"/>
        </w:rPr>
        <w:t xml:space="preserve">. Advisory services offered thru </w:t>
      </w:r>
      <w:r w:rsidRPr="00A97A09">
        <w:rPr>
          <w:rFonts w:ascii="ArialMT" w:hAnsi="ArialMT"/>
          <w:color w:val="262626" w:themeColor="text1" w:themeTint="D9"/>
          <w:sz w:val="16"/>
          <w:szCs w:val="16"/>
        </w:rPr>
        <w:t xml:space="preserve">Advisory Services offered through SA Stone Investment Advisors </w:t>
      </w:r>
      <w:proofErr w:type="spellStart"/>
      <w:r w:rsidRPr="00A97A09">
        <w:rPr>
          <w:rFonts w:ascii="ArialMT" w:hAnsi="ArialMT"/>
          <w:color w:val="262626" w:themeColor="text1" w:themeTint="D9"/>
          <w:sz w:val="16"/>
          <w:szCs w:val="16"/>
        </w:rPr>
        <w:t>Inc</w:t>
      </w:r>
      <w:proofErr w:type="spellEnd"/>
    </w:p>
    <w:p w:rsidR="00EA0505" w:rsidRDefault="00A97A09" w:rsidP="001F35F0">
      <w:pPr>
        <w:spacing w:line="276" w:lineRule="auto"/>
        <w:jc w:val="both"/>
        <w:rPr>
          <w:rFonts w:asciiTheme="majorHAnsi" w:hAnsiTheme="majorHAnsi"/>
          <w:color w:val="A6A6A6" w:themeColor="background1" w:themeShade="A6"/>
          <w:sz w:val="16"/>
          <w:szCs w:val="16"/>
        </w:rPr>
      </w:pPr>
    </w:p>
    <w:p w:rsidR="00237981" w:rsidRPr="00237981" w:rsidRDefault="00A97A09" w:rsidP="001F35F0">
      <w:pPr>
        <w:spacing w:line="276" w:lineRule="auto"/>
        <w:jc w:val="both"/>
        <w:rPr>
          <w:rFonts w:asciiTheme="majorHAnsi" w:hAnsiTheme="majorHAnsi"/>
          <w:color w:val="A6A6A6" w:themeColor="background1" w:themeShade="A6"/>
          <w:sz w:val="16"/>
          <w:szCs w:val="16"/>
        </w:rPr>
      </w:pPr>
    </w:p>
    <w:p w:rsidR="00237981" w:rsidRDefault="001237B8" w:rsidP="001F35F0">
      <w:pPr>
        <w:spacing w:line="276" w:lineRule="auto"/>
        <w:jc w:val="both"/>
        <w:rPr>
          <w:rFonts w:asciiTheme="majorHAnsi" w:hAnsiTheme="majorHAnsi" w:cs="Arial"/>
          <w:color w:val="A6A6A6" w:themeColor="background1" w:themeShade="A6"/>
          <w:sz w:val="16"/>
          <w:szCs w:val="16"/>
        </w:rPr>
      </w:pPr>
      <w:r w:rsidRPr="00237981">
        <w:rPr>
          <w:rFonts w:asciiTheme="majorHAnsi" w:hAnsiTheme="majorHAnsi" w:cs="Arial"/>
          <w:color w:val="A6A6A6" w:themeColor="background1" w:themeShade="A6"/>
          <w:sz w:val="16"/>
          <w:szCs w:val="16"/>
        </w:rPr>
        <w:t>This material was prepared by MarketingPro, Inc., and does not necessarily represent the views of the presenting party, nor their affiliates. The information herein has been derived from sources believed to be accurate. Please note - investing involves risk, and past performance is no guarantee of future results. Investments will fluctuate and when redeemed may be worth more or less than when originally invested. This information should not be construed as investment, tax or legal advice and may not be relied on for the purpose of avoiding any Federal tax penalty. This is neither a solicitation nor recommendation to purchase or sell any investment or insurance product or service, and should not be relied upon as such. All market indices discussed are unmanaged and are not illustrative of any particular investment. Indices do not incur management fees, costs and expenses, and cannot be invested into directly. All economic and performance data is historical and not indicative of future results. The Dow Jones Industrial Average is a price-weighted index of 30 actively traded blue-chip stocks. The NASDAQ Composite Index is a market-weighted index of all over-the-counter common stocks traded on the National Association of Securities Dealers Automated Quotation System. The Standard &amp; Poor's 500 (S&amp;P 500) is a market-cap weighted index composed of the common stocks of 500 leading companies in leading industries of the U.S. economy. NYSE Group, Inc. (NYSE:NYX) operates two securities exchanges: the New York Stock Exchange (the “NYSE”) and NYSE Arca (formerly known as the Archipelago Exchange, or ArcaEx®, and the Pacific Exchange). NYSE Group is a leading provider of securities listing, trading and market data products and services. The New York Mercantile Exchange, Inc. (NYMEX) is the world's largest physical commodity futures exchange and the preeminent trading forum for energy and precious metals, with trading conducted through two divisions – the NYMEX Division, home to the energy, platinum, and palladium markets, and the COMEX Division, on which all other metals trade. Additional risks are associated with international investing, such as currency fluctuations, political and economic instability and differences in accounting standards. This material represents an assessment of the market environment at a specific point in time and is not intended to be a forecast of future events, or a guarantee of future results. MarketingPro, Inc. is not affiliated with any person or firm that may be providing this information to you. The publisher is not engaged in rendering legal, accounting or other professional services. If assistance is needed, the reader is advised to engage the services of a competent professional.</w:t>
      </w:r>
    </w:p>
    <w:p w:rsidR="00237981" w:rsidRDefault="001237B8" w:rsidP="001F35F0">
      <w:pPr>
        <w:spacing w:line="276" w:lineRule="auto"/>
        <w:rPr>
          <w:rFonts w:asciiTheme="majorHAnsi" w:hAnsiTheme="majorHAnsi" w:cs="Arial"/>
          <w:color w:val="A6A6A6" w:themeColor="background1" w:themeShade="A6"/>
          <w:sz w:val="16"/>
          <w:szCs w:val="16"/>
        </w:rPr>
      </w:pPr>
      <w:r>
        <w:rPr>
          <w:rFonts w:asciiTheme="majorHAnsi" w:hAnsiTheme="majorHAnsi" w:cs="Arial"/>
          <w:color w:val="A6A6A6" w:themeColor="background1" w:themeShade="A6"/>
          <w:sz w:val="16"/>
          <w:szCs w:val="16"/>
        </w:rPr>
        <w:t>CITATIONS:</w:t>
      </w:r>
    </w:p>
    <w:p w:rsidR="00781DE1" w:rsidRDefault="001237B8" w:rsidP="001F35F0">
      <w:pPr>
        <w:spacing w:line="276" w:lineRule="auto"/>
        <w:rPr>
          <w:rFonts w:asciiTheme="majorHAnsi" w:hAnsiTheme="majorHAnsi" w:cs="Calibri"/>
          <w:color w:val="A6A6A6" w:themeColor="background1" w:themeShade="A6"/>
          <w:sz w:val="16"/>
          <w:szCs w:val="16"/>
        </w:rPr>
      </w:pPr>
      <w:r w:rsidRPr="00237981">
        <w:rPr>
          <w:rFonts w:asciiTheme="majorHAnsi" w:hAnsiTheme="majorHAnsi" w:cs="Calibri"/>
          <w:color w:val="A6A6A6" w:themeColor="background1" w:themeShade="A6"/>
          <w:sz w:val="16"/>
          <w:szCs w:val="16"/>
        </w:rPr>
        <w:t xml:space="preserve">1 - </w:t>
      </w:r>
      <w:r w:rsidRPr="0031333B">
        <w:rPr>
          <w:rFonts w:asciiTheme="majorHAnsi" w:hAnsiTheme="majorHAnsi" w:cs="Calibri"/>
          <w:color w:val="A6A6A6" w:themeColor="background1" w:themeShade="A6"/>
          <w:sz w:val="16"/>
          <w:szCs w:val="16"/>
        </w:rPr>
        <w:t xml:space="preserve">reuters.com/article/usa-economy/wrapup-1-u-s-core-pce-price-index-hits-2-0-percent-spending-slows-idUSL1N1TU1BT </w:t>
      </w:r>
      <w:r>
        <w:rPr>
          <w:rFonts w:asciiTheme="majorHAnsi" w:hAnsiTheme="majorHAnsi" w:cs="Calibri"/>
          <w:color w:val="A6A6A6" w:themeColor="background1" w:themeShade="A6"/>
          <w:sz w:val="16"/>
          <w:szCs w:val="16"/>
        </w:rPr>
        <w:t>[6</w:t>
      </w:r>
      <w:r w:rsidRPr="00237981">
        <w:rPr>
          <w:rFonts w:asciiTheme="majorHAnsi" w:hAnsiTheme="majorHAnsi" w:cs="Calibri"/>
          <w:color w:val="A6A6A6" w:themeColor="background1" w:themeShade="A6"/>
          <w:sz w:val="16"/>
          <w:szCs w:val="16"/>
        </w:rPr>
        <w:t>/</w:t>
      </w:r>
      <w:r>
        <w:rPr>
          <w:rFonts w:asciiTheme="majorHAnsi" w:hAnsiTheme="majorHAnsi" w:cs="Calibri"/>
          <w:color w:val="A6A6A6" w:themeColor="background1" w:themeShade="A6"/>
          <w:sz w:val="16"/>
          <w:szCs w:val="16"/>
        </w:rPr>
        <w:t>29</w:t>
      </w:r>
      <w:r w:rsidRPr="00237981">
        <w:rPr>
          <w:rFonts w:asciiTheme="majorHAnsi" w:hAnsiTheme="majorHAnsi" w:cs="Calibri"/>
          <w:color w:val="A6A6A6" w:themeColor="background1" w:themeShade="A6"/>
          <w:sz w:val="16"/>
          <w:szCs w:val="16"/>
        </w:rPr>
        <w:t>/18]</w:t>
      </w:r>
    </w:p>
    <w:p w:rsidR="00781DE1" w:rsidRDefault="001237B8" w:rsidP="001F35F0">
      <w:pPr>
        <w:spacing w:line="276" w:lineRule="auto"/>
        <w:rPr>
          <w:noProof/>
        </w:rPr>
      </w:pPr>
      <w:r>
        <w:rPr>
          <w:rFonts w:asciiTheme="majorHAnsi" w:hAnsiTheme="majorHAnsi" w:cs="Calibri"/>
          <w:color w:val="A6A6A6" w:themeColor="background1" w:themeShade="A6"/>
          <w:sz w:val="16"/>
          <w:szCs w:val="16"/>
        </w:rPr>
        <w:lastRenderedPageBreak/>
        <w:t>2</w:t>
      </w:r>
      <w:r w:rsidRPr="00237981">
        <w:rPr>
          <w:rFonts w:asciiTheme="majorHAnsi" w:hAnsiTheme="majorHAnsi" w:cs="Calibri"/>
          <w:color w:val="A6A6A6" w:themeColor="background1" w:themeShade="A6"/>
          <w:sz w:val="16"/>
          <w:szCs w:val="16"/>
        </w:rPr>
        <w:t xml:space="preserve"> - </w:t>
      </w:r>
      <w:r w:rsidRPr="008E0023">
        <w:rPr>
          <w:rFonts w:asciiTheme="majorHAnsi" w:hAnsiTheme="majorHAnsi" w:cs="Calibri"/>
          <w:color w:val="A6A6A6" w:themeColor="background1" w:themeShade="A6"/>
          <w:sz w:val="16"/>
          <w:szCs w:val="16"/>
        </w:rPr>
        <w:t>marketwatch.com/economy-politics/calendars/economic</w:t>
      </w:r>
      <w:r w:rsidRPr="00237981">
        <w:rPr>
          <w:rFonts w:asciiTheme="majorHAnsi" w:hAnsiTheme="majorHAnsi" w:cs="Calibri"/>
          <w:color w:val="A6A6A6" w:themeColor="background1" w:themeShade="A6"/>
          <w:sz w:val="16"/>
          <w:szCs w:val="16"/>
        </w:rPr>
        <w:t xml:space="preserve"> [</w:t>
      </w:r>
      <w:r>
        <w:rPr>
          <w:rFonts w:asciiTheme="majorHAnsi" w:hAnsiTheme="majorHAnsi" w:cs="Calibri"/>
          <w:color w:val="A6A6A6" w:themeColor="background1" w:themeShade="A6"/>
          <w:sz w:val="16"/>
          <w:szCs w:val="16"/>
        </w:rPr>
        <w:t>6/29</w:t>
      </w:r>
      <w:r w:rsidRPr="00237981">
        <w:rPr>
          <w:rFonts w:asciiTheme="majorHAnsi" w:hAnsiTheme="majorHAnsi" w:cs="Calibri"/>
          <w:color w:val="A6A6A6" w:themeColor="background1" w:themeShade="A6"/>
          <w:sz w:val="16"/>
          <w:szCs w:val="16"/>
        </w:rPr>
        <w:t>/18]</w:t>
      </w:r>
    </w:p>
    <w:p w:rsidR="00781DE1" w:rsidRPr="00CE37F2" w:rsidRDefault="001237B8" w:rsidP="001F35F0">
      <w:pPr>
        <w:spacing w:line="276" w:lineRule="auto"/>
        <w:rPr>
          <w:noProof/>
        </w:rPr>
      </w:pPr>
      <w:r>
        <w:rPr>
          <w:rFonts w:asciiTheme="majorHAnsi" w:hAnsiTheme="majorHAnsi" w:cs="Calibri"/>
          <w:color w:val="A6A6A6" w:themeColor="background1" w:themeShade="A6"/>
          <w:sz w:val="16"/>
          <w:szCs w:val="16"/>
        </w:rPr>
        <w:t>3</w:t>
      </w:r>
      <w:r w:rsidRPr="00237981">
        <w:rPr>
          <w:rFonts w:asciiTheme="majorHAnsi" w:hAnsiTheme="majorHAnsi" w:cs="Calibri"/>
          <w:color w:val="A6A6A6" w:themeColor="background1" w:themeShade="A6"/>
          <w:sz w:val="16"/>
          <w:szCs w:val="16"/>
        </w:rPr>
        <w:t xml:space="preserve"> - </w:t>
      </w:r>
      <w:r w:rsidRPr="0010123E">
        <w:rPr>
          <w:rFonts w:asciiTheme="majorHAnsi" w:hAnsiTheme="majorHAnsi" w:cs="Calibri"/>
          <w:color w:val="A6A6A6" w:themeColor="background1" w:themeShade="A6"/>
          <w:sz w:val="16"/>
          <w:szCs w:val="16"/>
        </w:rPr>
        <w:t xml:space="preserve">bloomberg.com/news/articles/2018-06-25/u-s-new-home-sales-climb-to-six-month-high-on-surge-in-south </w:t>
      </w:r>
      <w:r w:rsidRPr="00237981">
        <w:rPr>
          <w:rFonts w:asciiTheme="majorHAnsi" w:hAnsiTheme="majorHAnsi" w:cs="Calibri"/>
          <w:color w:val="A6A6A6" w:themeColor="background1" w:themeShade="A6"/>
          <w:sz w:val="16"/>
          <w:szCs w:val="16"/>
        </w:rPr>
        <w:t>[</w:t>
      </w:r>
      <w:r>
        <w:rPr>
          <w:rFonts w:asciiTheme="majorHAnsi" w:hAnsiTheme="majorHAnsi" w:cs="Calibri"/>
          <w:color w:val="A6A6A6" w:themeColor="background1" w:themeShade="A6"/>
          <w:sz w:val="16"/>
          <w:szCs w:val="16"/>
        </w:rPr>
        <w:t>6/25</w:t>
      </w:r>
      <w:r w:rsidRPr="00237981">
        <w:rPr>
          <w:rFonts w:asciiTheme="majorHAnsi" w:hAnsiTheme="majorHAnsi" w:cs="Calibri"/>
          <w:color w:val="A6A6A6" w:themeColor="background1" w:themeShade="A6"/>
          <w:sz w:val="16"/>
          <w:szCs w:val="16"/>
        </w:rPr>
        <w:t>/18]</w:t>
      </w:r>
    </w:p>
    <w:p w:rsidR="00781DE1" w:rsidRPr="00CE37F2" w:rsidRDefault="001237B8" w:rsidP="001F35F0">
      <w:pPr>
        <w:spacing w:line="276" w:lineRule="auto"/>
        <w:rPr>
          <w:noProof/>
        </w:rPr>
      </w:pPr>
      <w:r w:rsidRPr="00237981">
        <w:rPr>
          <w:rFonts w:asciiTheme="majorHAnsi" w:hAnsiTheme="majorHAnsi" w:cs="Arial"/>
          <w:color w:val="A6A6A6" w:themeColor="background1" w:themeShade="A6"/>
          <w:sz w:val="16"/>
        </w:rPr>
        <w:t>4 - markets.wsj.com/us [</w:t>
      </w:r>
      <w:r>
        <w:rPr>
          <w:rFonts w:asciiTheme="majorHAnsi" w:hAnsiTheme="majorHAnsi" w:cs="Arial"/>
          <w:color w:val="A6A6A6" w:themeColor="background1" w:themeShade="A6"/>
          <w:sz w:val="16"/>
        </w:rPr>
        <w:t>6/29</w:t>
      </w:r>
      <w:r w:rsidRPr="00237981">
        <w:rPr>
          <w:rFonts w:asciiTheme="majorHAnsi" w:hAnsiTheme="majorHAnsi" w:cs="Arial"/>
          <w:color w:val="A6A6A6" w:themeColor="background1" w:themeShade="A6"/>
          <w:sz w:val="16"/>
        </w:rPr>
        <w:t>/18]</w:t>
      </w:r>
    </w:p>
    <w:p w:rsidR="009A0870" w:rsidRPr="00CE37F2" w:rsidRDefault="001237B8" w:rsidP="001F35F0">
      <w:pPr>
        <w:spacing w:line="276" w:lineRule="auto"/>
        <w:rPr>
          <w:rFonts w:asciiTheme="majorHAnsi" w:hAnsiTheme="majorHAnsi"/>
          <w:color w:val="A6A6A6" w:themeColor="background1" w:themeShade="A6"/>
          <w:sz w:val="16"/>
        </w:rPr>
      </w:pPr>
      <w:r w:rsidRPr="00237981">
        <w:rPr>
          <w:rFonts w:asciiTheme="majorHAnsi" w:hAnsiTheme="majorHAnsi"/>
          <w:color w:val="A6A6A6" w:themeColor="background1" w:themeShade="A6"/>
          <w:sz w:val="16"/>
        </w:rPr>
        <w:t xml:space="preserve">5 - </w:t>
      </w:r>
      <w:r w:rsidRPr="00F570C2">
        <w:rPr>
          <w:rFonts w:asciiTheme="majorHAnsi" w:hAnsiTheme="majorHAnsi"/>
          <w:color w:val="A6A6A6" w:themeColor="background1" w:themeShade="A6"/>
          <w:sz w:val="16"/>
        </w:rPr>
        <w:t>quotes.wsj.com/index/SPX</w:t>
      </w:r>
      <w:r w:rsidRPr="00237981">
        <w:rPr>
          <w:rFonts w:asciiTheme="majorHAnsi" w:hAnsiTheme="majorHAnsi"/>
          <w:color w:val="A6A6A6" w:themeColor="background1" w:themeShade="A6"/>
          <w:sz w:val="16"/>
        </w:rPr>
        <w:t xml:space="preserve"> [</w:t>
      </w:r>
      <w:r>
        <w:rPr>
          <w:rFonts w:asciiTheme="majorHAnsi" w:hAnsiTheme="majorHAnsi"/>
          <w:color w:val="A6A6A6" w:themeColor="background1" w:themeShade="A6"/>
          <w:sz w:val="16"/>
        </w:rPr>
        <w:t>6/29</w:t>
      </w:r>
      <w:r w:rsidRPr="00237981">
        <w:rPr>
          <w:rFonts w:asciiTheme="majorHAnsi" w:hAnsiTheme="majorHAnsi"/>
          <w:color w:val="A6A6A6" w:themeColor="background1" w:themeShade="A6"/>
          <w:sz w:val="16"/>
        </w:rPr>
        <w:t>/18]</w:t>
      </w:r>
    </w:p>
    <w:p w:rsidR="00514BAC" w:rsidRPr="00CE37F2" w:rsidRDefault="001237B8" w:rsidP="001F35F0">
      <w:pPr>
        <w:spacing w:line="276" w:lineRule="auto"/>
        <w:rPr>
          <w:noProof/>
        </w:rPr>
      </w:pPr>
      <w:r w:rsidRPr="00237981">
        <w:rPr>
          <w:rFonts w:asciiTheme="majorHAnsi" w:hAnsiTheme="majorHAnsi" w:cs="Arial"/>
          <w:color w:val="A6A6A6" w:themeColor="background1" w:themeShade="A6"/>
          <w:sz w:val="16"/>
        </w:rPr>
        <w:t>6 - bigcharts.marketwatch.com/historical/default.asp?symb=DJIA&amp;closeDate=</w:t>
      </w:r>
      <w:r>
        <w:rPr>
          <w:rFonts w:asciiTheme="majorHAnsi" w:hAnsiTheme="majorHAnsi" w:cs="Arial"/>
          <w:color w:val="A6A6A6" w:themeColor="background1" w:themeShade="A6"/>
          <w:sz w:val="16"/>
        </w:rPr>
        <w:t>6%2F29%2F17</w:t>
      </w:r>
      <w:r w:rsidRPr="00237981">
        <w:rPr>
          <w:rFonts w:asciiTheme="majorHAnsi" w:hAnsiTheme="majorHAnsi" w:cs="Arial"/>
          <w:color w:val="A6A6A6" w:themeColor="background1" w:themeShade="A6"/>
          <w:sz w:val="16"/>
        </w:rPr>
        <w:t>&amp;x=0&amp;y=0 [</w:t>
      </w:r>
      <w:r>
        <w:rPr>
          <w:rFonts w:asciiTheme="majorHAnsi" w:hAnsiTheme="majorHAnsi" w:cs="Arial"/>
          <w:color w:val="A6A6A6" w:themeColor="background1" w:themeShade="A6"/>
          <w:sz w:val="16"/>
        </w:rPr>
        <w:t>6/29</w:t>
      </w:r>
      <w:r w:rsidRPr="00237981">
        <w:rPr>
          <w:rFonts w:asciiTheme="majorHAnsi" w:hAnsiTheme="majorHAnsi" w:cs="Arial"/>
          <w:color w:val="A6A6A6" w:themeColor="background1" w:themeShade="A6"/>
          <w:sz w:val="16"/>
        </w:rPr>
        <w:t>/18]</w:t>
      </w:r>
    </w:p>
    <w:p w:rsidR="00514BAC" w:rsidRDefault="001237B8" w:rsidP="001F35F0">
      <w:pPr>
        <w:spacing w:line="276" w:lineRule="auto"/>
        <w:rPr>
          <w:noProof/>
        </w:rPr>
      </w:pPr>
      <w:r w:rsidRPr="00237981">
        <w:rPr>
          <w:rFonts w:asciiTheme="majorHAnsi" w:hAnsiTheme="majorHAnsi" w:cs="Arial"/>
          <w:color w:val="A6A6A6" w:themeColor="background1" w:themeShade="A6"/>
          <w:sz w:val="16"/>
        </w:rPr>
        <w:t>6 - bigcharts.marketwatch.com/historical/default.asp?symb=COMP&amp;closeDate=</w:t>
      </w:r>
      <w:r>
        <w:rPr>
          <w:rFonts w:asciiTheme="majorHAnsi" w:hAnsiTheme="majorHAnsi" w:cs="Arial"/>
          <w:color w:val="A6A6A6" w:themeColor="background1" w:themeShade="A6"/>
          <w:sz w:val="16"/>
        </w:rPr>
        <w:t>6%2F29%2F17</w:t>
      </w:r>
      <w:r w:rsidRPr="00237981">
        <w:rPr>
          <w:rFonts w:asciiTheme="majorHAnsi" w:hAnsiTheme="majorHAnsi" w:cs="Arial"/>
          <w:color w:val="A6A6A6" w:themeColor="background1" w:themeShade="A6"/>
          <w:sz w:val="16"/>
        </w:rPr>
        <w:t>&amp;x=0&amp;y=0 [</w:t>
      </w:r>
      <w:r>
        <w:rPr>
          <w:rFonts w:asciiTheme="majorHAnsi" w:hAnsiTheme="majorHAnsi" w:cs="Arial"/>
          <w:color w:val="A6A6A6" w:themeColor="background1" w:themeShade="A6"/>
          <w:sz w:val="16"/>
        </w:rPr>
        <w:t>6/29</w:t>
      </w:r>
      <w:r w:rsidRPr="00237981">
        <w:rPr>
          <w:rFonts w:asciiTheme="majorHAnsi" w:hAnsiTheme="majorHAnsi" w:cs="Arial"/>
          <w:color w:val="A6A6A6" w:themeColor="background1" w:themeShade="A6"/>
          <w:sz w:val="16"/>
        </w:rPr>
        <w:t>/18]</w:t>
      </w:r>
      <w:r w:rsidRPr="008760A5">
        <w:rPr>
          <w:noProof/>
        </w:rPr>
        <w:t xml:space="preserve"> </w:t>
      </w:r>
    </w:p>
    <w:p w:rsidR="00514BAC" w:rsidRPr="00CE37F2" w:rsidRDefault="001237B8" w:rsidP="001F35F0">
      <w:pPr>
        <w:spacing w:line="276" w:lineRule="auto"/>
        <w:rPr>
          <w:noProof/>
        </w:rPr>
      </w:pPr>
      <w:r w:rsidRPr="00237981">
        <w:rPr>
          <w:rFonts w:asciiTheme="majorHAnsi" w:hAnsiTheme="majorHAnsi" w:cs="Arial"/>
          <w:color w:val="A6A6A6" w:themeColor="background1" w:themeShade="A6"/>
          <w:sz w:val="16"/>
        </w:rPr>
        <w:t>6 - bigcharts.marketwatch.com/historical/default.asp?symb=SPX&amp;closeDate=</w:t>
      </w:r>
      <w:r>
        <w:rPr>
          <w:rFonts w:asciiTheme="majorHAnsi" w:hAnsiTheme="majorHAnsi" w:cs="Arial"/>
          <w:color w:val="A6A6A6" w:themeColor="background1" w:themeShade="A6"/>
          <w:sz w:val="16"/>
        </w:rPr>
        <w:t>6%2F29%2F17</w:t>
      </w:r>
      <w:r w:rsidRPr="00237981">
        <w:rPr>
          <w:rFonts w:asciiTheme="majorHAnsi" w:hAnsiTheme="majorHAnsi" w:cs="Arial"/>
          <w:color w:val="A6A6A6" w:themeColor="background1" w:themeShade="A6"/>
          <w:sz w:val="16"/>
        </w:rPr>
        <w:t>&amp;x=0&amp;y=0 [</w:t>
      </w:r>
      <w:r>
        <w:rPr>
          <w:rFonts w:asciiTheme="majorHAnsi" w:hAnsiTheme="majorHAnsi" w:cs="Arial"/>
          <w:color w:val="A6A6A6" w:themeColor="background1" w:themeShade="A6"/>
          <w:sz w:val="16"/>
        </w:rPr>
        <w:t>6/29</w:t>
      </w:r>
      <w:r w:rsidRPr="00237981">
        <w:rPr>
          <w:rFonts w:asciiTheme="majorHAnsi" w:hAnsiTheme="majorHAnsi" w:cs="Arial"/>
          <w:color w:val="A6A6A6" w:themeColor="background1" w:themeShade="A6"/>
          <w:sz w:val="16"/>
        </w:rPr>
        <w:t>/18]</w:t>
      </w:r>
      <w:r w:rsidRPr="008760A5">
        <w:rPr>
          <w:noProof/>
        </w:rPr>
        <w:t xml:space="preserve"> </w:t>
      </w:r>
    </w:p>
    <w:p w:rsidR="00514BAC" w:rsidRPr="00CE37F2" w:rsidRDefault="001237B8" w:rsidP="001F35F0">
      <w:pPr>
        <w:spacing w:line="276" w:lineRule="auto"/>
        <w:rPr>
          <w:noProof/>
        </w:rPr>
      </w:pPr>
      <w:r w:rsidRPr="00237981">
        <w:rPr>
          <w:rFonts w:asciiTheme="majorHAnsi" w:hAnsiTheme="majorHAnsi" w:cs="Arial"/>
          <w:color w:val="A6A6A6" w:themeColor="background1" w:themeShade="A6"/>
          <w:sz w:val="16"/>
        </w:rPr>
        <w:t>6 - bigcharts.marketwatch.com/historical/default.asp?symb=DJIA&amp;closeDate=</w:t>
      </w:r>
      <w:r>
        <w:rPr>
          <w:rFonts w:asciiTheme="majorHAnsi" w:hAnsiTheme="majorHAnsi" w:cs="Arial"/>
          <w:color w:val="A6A6A6" w:themeColor="background1" w:themeShade="A6"/>
          <w:sz w:val="16"/>
        </w:rPr>
        <w:t>6%2F28%2F13</w:t>
      </w:r>
      <w:r w:rsidRPr="00237981">
        <w:rPr>
          <w:rFonts w:asciiTheme="majorHAnsi" w:hAnsiTheme="majorHAnsi" w:cs="Arial"/>
          <w:color w:val="A6A6A6" w:themeColor="background1" w:themeShade="A6"/>
          <w:sz w:val="16"/>
        </w:rPr>
        <w:t>&amp;x=0&amp;y=0 [</w:t>
      </w:r>
      <w:r>
        <w:rPr>
          <w:rFonts w:asciiTheme="majorHAnsi" w:hAnsiTheme="majorHAnsi" w:cs="Arial"/>
          <w:color w:val="A6A6A6" w:themeColor="background1" w:themeShade="A6"/>
          <w:sz w:val="16"/>
        </w:rPr>
        <w:t>6/29</w:t>
      </w:r>
      <w:r w:rsidRPr="00237981">
        <w:rPr>
          <w:rFonts w:asciiTheme="majorHAnsi" w:hAnsiTheme="majorHAnsi" w:cs="Arial"/>
          <w:color w:val="A6A6A6" w:themeColor="background1" w:themeShade="A6"/>
          <w:sz w:val="16"/>
        </w:rPr>
        <w:t>/18]</w:t>
      </w:r>
    </w:p>
    <w:p w:rsidR="00514BAC" w:rsidRDefault="001237B8" w:rsidP="001F35F0">
      <w:pPr>
        <w:spacing w:line="276" w:lineRule="auto"/>
        <w:rPr>
          <w:rFonts w:asciiTheme="majorHAnsi" w:hAnsiTheme="majorHAnsi" w:cs="Arial"/>
          <w:color w:val="A6A6A6" w:themeColor="background1" w:themeShade="A6"/>
          <w:sz w:val="16"/>
        </w:rPr>
      </w:pPr>
      <w:r w:rsidRPr="00237981">
        <w:rPr>
          <w:rFonts w:asciiTheme="majorHAnsi" w:hAnsiTheme="majorHAnsi" w:cs="Arial"/>
          <w:color w:val="A6A6A6" w:themeColor="background1" w:themeShade="A6"/>
          <w:sz w:val="16"/>
        </w:rPr>
        <w:t>6 - bigcharts.marketwatch.com/historical/default.asp?symb=COMP&amp;closeDate=</w:t>
      </w:r>
      <w:r>
        <w:rPr>
          <w:rFonts w:asciiTheme="majorHAnsi" w:hAnsiTheme="majorHAnsi" w:cs="Arial"/>
          <w:color w:val="A6A6A6" w:themeColor="background1" w:themeShade="A6"/>
          <w:sz w:val="16"/>
        </w:rPr>
        <w:t>6%2F28%2F13</w:t>
      </w:r>
      <w:r w:rsidRPr="00237981">
        <w:rPr>
          <w:rFonts w:asciiTheme="majorHAnsi" w:hAnsiTheme="majorHAnsi" w:cs="Arial"/>
          <w:color w:val="A6A6A6" w:themeColor="background1" w:themeShade="A6"/>
          <w:sz w:val="16"/>
        </w:rPr>
        <w:t>&amp;x=0&amp;y=0 [</w:t>
      </w:r>
      <w:r>
        <w:rPr>
          <w:rFonts w:asciiTheme="majorHAnsi" w:hAnsiTheme="majorHAnsi" w:cs="Arial"/>
          <w:color w:val="A6A6A6" w:themeColor="background1" w:themeShade="A6"/>
          <w:sz w:val="16"/>
        </w:rPr>
        <w:t>6/29</w:t>
      </w:r>
      <w:r w:rsidRPr="00237981">
        <w:rPr>
          <w:rFonts w:asciiTheme="majorHAnsi" w:hAnsiTheme="majorHAnsi" w:cs="Arial"/>
          <w:color w:val="A6A6A6" w:themeColor="background1" w:themeShade="A6"/>
          <w:sz w:val="16"/>
        </w:rPr>
        <w:t>/18]</w:t>
      </w:r>
    </w:p>
    <w:p w:rsidR="008760A5" w:rsidRPr="00CE37F2" w:rsidRDefault="001237B8" w:rsidP="001F35F0">
      <w:pPr>
        <w:spacing w:line="276" w:lineRule="auto"/>
        <w:rPr>
          <w:noProof/>
        </w:rPr>
      </w:pPr>
      <w:r w:rsidRPr="00237981">
        <w:rPr>
          <w:rFonts w:asciiTheme="majorHAnsi" w:hAnsiTheme="majorHAnsi" w:cs="Arial"/>
          <w:color w:val="A6A6A6" w:themeColor="background1" w:themeShade="A6"/>
          <w:sz w:val="16"/>
        </w:rPr>
        <w:t>6 - bigcharts.marketwatch.com/historical/default.asp?symb=SPX&amp;closeDate=</w:t>
      </w:r>
      <w:r>
        <w:rPr>
          <w:rFonts w:asciiTheme="majorHAnsi" w:hAnsiTheme="majorHAnsi" w:cs="Arial"/>
          <w:color w:val="A6A6A6" w:themeColor="background1" w:themeShade="A6"/>
          <w:sz w:val="16"/>
        </w:rPr>
        <w:t>6%2F28%2F13</w:t>
      </w:r>
      <w:r w:rsidRPr="00237981">
        <w:rPr>
          <w:rFonts w:asciiTheme="majorHAnsi" w:hAnsiTheme="majorHAnsi" w:cs="Arial"/>
          <w:color w:val="A6A6A6" w:themeColor="background1" w:themeShade="A6"/>
          <w:sz w:val="16"/>
        </w:rPr>
        <w:t>&amp;x=0&amp;y=0 [</w:t>
      </w:r>
      <w:r>
        <w:rPr>
          <w:rFonts w:asciiTheme="majorHAnsi" w:hAnsiTheme="majorHAnsi" w:cs="Arial"/>
          <w:color w:val="A6A6A6" w:themeColor="background1" w:themeShade="A6"/>
          <w:sz w:val="16"/>
        </w:rPr>
        <w:t>6/29</w:t>
      </w:r>
      <w:r w:rsidRPr="00237981">
        <w:rPr>
          <w:rFonts w:asciiTheme="majorHAnsi" w:hAnsiTheme="majorHAnsi" w:cs="Arial"/>
          <w:color w:val="A6A6A6" w:themeColor="background1" w:themeShade="A6"/>
          <w:sz w:val="16"/>
        </w:rPr>
        <w:t>/18]</w:t>
      </w:r>
    </w:p>
    <w:p w:rsidR="00514BAC" w:rsidRDefault="001237B8" w:rsidP="001F35F0">
      <w:pPr>
        <w:spacing w:line="276" w:lineRule="auto"/>
        <w:rPr>
          <w:rFonts w:asciiTheme="majorHAnsi" w:hAnsiTheme="majorHAnsi" w:cs="Arial"/>
          <w:color w:val="A6A6A6" w:themeColor="background1" w:themeShade="A6"/>
          <w:sz w:val="16"/>
        </w:rPr>
      </w:pPr>
      <w:r w:rsidRPr="00237981">
        <w:rPr>
          <w:rFonts w:asciiTheme="majorHAnsi" w:hAnsiTheme="majorHAnsi" w:cs="Arial"/>
          <w:color w:val="A6A6A6" w:themeColor="background1" w:themeShade="A6"/>
          <w:sz w:val="16"/>
        </w:rPr>
        <w:t>6 - bigcharts.marketwatch.com/historical/default.asp?symb=DJIA&amp;closeDate=</w:t>
      </w:r>
      <w:r>
        <w:rPr>
          <w:rFonts w:asciiTheme="majorHAnsi" w:hAnsiTheme="majorHAnsi" w:cs="Arial"/>
          <w:color w:val="A6A6A6" w:themeColor="background1" w:themeShade="A6"/>
          <w:sz w:val="16"/>
        </w:rPr>
        <w:t>6%2F30%2F08</w:t>
      </w:r>
      <w:r w:rsidRPr="00237981">
        <w:rPr>
          <w:rFonts w:asciiTheme="majorHAnsi" w:hAnsiTheme="majorHAnsi" w:cs="Arial"/>
          <w:color w:val="A6A6A6" w:themeColor="background1" w:themeShade="A6"/>
          <w:sz w:val="16"/>
        </w:rPr>
        <w:t>&amp;x=0&amp;y=0 [</w:t>
      </w:r>
      <w:r>
        <w:rPr>
          <w:rFonts w:asciiTheme="majorHAnsi" w:hAnsiTheme="majorHAnsi" w:cs="Arial"/>
          <w:color w:val="A6A6A6" w:themeColor="background1" w:themeShade="A6"/>
          <w:sz w:val="16"/>
        </w:rPr>
        <w:t>6/29</w:t>
      </w:r>
      <w:r w:rsidRPr="00237981">
        <w:rPr>
          <w:rFonts w:asciiTheme="majorHAnsi" w:hAnsiTheme="majorHAnsi" w:cs="Arial"/>
          <w:color w:val="A6A6A6" w:themeColor="background1" w:themeShade="A6"/>
          <w:sz w:val="16"/>
        </w:rPr>
        <w:t>/18]</w:t>
      </w:r>
    </w:p>
    <w:p w:rsidR="00514BAC" w:rsidRPr="00CE37F2" w:rsidRDefault="001237B8" w:rsidP="001F35F0">
      <w:pPr>
        <w:spacing w:line="276" w:lineRule="auto"/>
        <w:rPr>
          <w:noProof/>
        </w:rPr>
      </w:pPr>
      <w:r w:rsidRPr="00237981">
        <w:rPr>
          <w:rFonts w:asciiTheme="majorHAnsi" w:hAnsiTheme="majorHAnsi" w:cs="Arial"/>
          <w:color w:val="A6A6A6" w:themeColor="background1" w:themeShade="A6"/>
          <w:sz w:val="16"/>
        </w:rPr>
        <w:t>6 - bigcharts.marketwatch.com/historical/default.asp?symb=COMP&amp;closeDate=</w:t>
      </w:r>
      <w:r>
        <w:rPr>
          <w:rFonts w:asciiTheme="majorHAnsi" w:hAnsiTheme="majorHAnsi" w:cs="Arial"/>
          <w:color w:val="A6A6A6" w:themeColor="background1" w:themeShade="A6"/>
          <w:sz w:val="16"/>
        </w:rPr>
        <w:t>6%2F30%2F08</w:t>
      </w:r>
      <w:r w:rsidRPr="00237981">
        <w:rPr>
          <w:rFonts w:asciiTheme="majorHAnsi" w:hAnsiTheme="majorHAnsi" w:cs="Arial"/>
          <w:color w:val="A6A6A6" w:themeColor="background1" w:themeShade="A6"/>
          <w:sz w:val="16"/>
        </w:rPr>
        <w:t>&amp;x=0&amp;y=0 [</w:t>
      </w:r>
      <w:r>
        <w:rPr>
          <w:rFonts w:asciiTheme="majorHAnsi" w:hAnsiTheme="majorHAnsi" w:cs="Arial"/>
          <w:color w:val="A6A6A6" w:themeColor="background1" w:themeShade="A6"/>
          <w:sz w:val="16"/>
        </w:rPr>
        <w:t>6/29</w:t>
      </w:r>
      <w:r w:rsidRPr="00237981">
        <w:rPr>
          <w:rFonts w:asciiTheme="majorHAnsi" w:hAnsiTheme="majorHAnsi" w:cs="Arial"/>
          <w:color w:val="A6A6A6" w:themeColor="background1" w:themeShade="A6"/>
          <w:sz w:val="16"/>
        </w:rPr>
        <w:t>/18]</w:t>
      </w:r>
    </w:p>
    <w:p w:rsidR="00514BAC" w:rsidRPr="00CE37F2" w:rsidRDefault="001237B8" w:rsidP="001F35F0">
      <w:pPr>
        <w:spacing w:line="276" w:lineRule="auto"/>
        <w:rPr>
          <w:noProof/>
        </w:rPr>
      </w:pPr>
      <w:r w:rsidRPr="00237981">
        <w:rPr>
          <w:rFonts w:asciiTheme="majorHAnsi" w:hAnsiTheme="majorHAnsi" w:cs="Arial"/>
          <w:color w:val="A6A6A6" w:themeColor="background1" w:themeShade="A6"/>
          <w:sz w:val="16"/>
        </w:rPr>
        <w:t>6 - bigcharts.marketwatch.com/historical/default.asp?symb=SPX&amp;closeDate=</w:t>
      </w:r>
      <w:r>
        <w:rPr>
          <w:rFonts w:asciiTheme="majorHAnsi" w:hAnsiTheme="majorHAnsi" w:cs="Arial"/>
          <w:color w:val="A6A6A6" w:themeColor="background1" w:themeShade="A6"/>
          <w:sz w:val="16"/>
        </w:rPr>
        <w:t>6%2F30%2F08</w:t>
      </w:r>
      <w:r w:rsidRPr="00237981">
        <w:rPr>
          <w:rFonts w:asciiTheme="majorHAnsi" w:hAnsiTheme="majorHAnsi" w:cs="Arial"/>
          <w:color w:val="A6A6A6" w:themeColor="background1" w:themeShade="A6"/>
          <w:sz w:val="16"/>
        </w:rPr>
        <w:t>&amp;x=0&amp;y=0 [</w:t>
      </w:r>
      <w:r>
        <w:rPr>
          <w:rFonts w:asciiTheme="majorHAnsi" w:hAnsiTheme="majorHAnsi" w:cs="Arial"/>
          <w:color w:val="A6A6A6" w:themeColor="background1" w:themeShade="A6"/>
          <w:sz w:val="16"/>
        </w:rPr>
        <w:t>6/29</w:t>
      </w:r>
      <w:r w:rsidRPr="00237981">
        <w:rPr>
          <w:rFonts w:asciiTheme="majorHAnsi" w:hAnsiTheme="majorHAnsi" w:cs="Arial"/>
          <w:color w:val="A6A6A6" w:themeColor="background1" w:themeShade="A6"/>
          <w:sz w:val="16"/>
        </w:rPr>
        <w:t>/18]</w:t>
      </w:r>
    </w:p>
    <w:p w:rsidR="00514BAC" w:rsidRDefault="001237B8" w:rsidP="001F35F0">
      <w:pPr>
        <w:spacing w:line="276" w:lineRule="auto"/>
        <w:rPr>
          <w:rFonts w:asciiTheme="majorHAnsi" w:hAnsiTheme="majorHAnsi" w:cs="Arial"/>
          <w:color w:val="A6A6A6" w:themeColor="background1" w:themeShade="A6"/>
          <w:sz w:val="16"/>
        </w:rPr>
      </w:pPr>
      <w:r w:rsidRPr="00237981">
        <w:rPr>
          <w:rFonts w:asciiTheme="majorHAnsi" w:hAnsiTheme="majorHAnsi" w:cs="Arial"/>
          <w:color w:val="A6A6A6" w:themeColor="background1" w:themeShade="A6"/>
          <w:sz w:val="16"/>
        </w:rPr>
        <w:t>7 - treasury.gov/resource-center/data-chart-center/interest-rates/Pages/TextView.aspx?data=realyield [</w:t>
      </w:r>
      <w:r>
        <w:rPr>
          <w:rFonts w:asciiTheme="majorHAnsi" w:hAnsiTheme="majorHAnsi" w:cs="Arial"/>
          <w:color w:val="A6A6A6" w:themeColor="background1" w:themeShade="A6"/>
          <w:sz w:val="16"/>
        </w:rPr>
        <w:t>6/29</w:t>
      </w:r>
      <w:r w:rsidRPr="00237981">
        <w:rPr>
          <w:rFonts w:asciiTheme="majorHAnsi" w:hAnsiTheme="majorHAnsi" w:cs="Arial"/>
          <w:color w:val="A6A6A6" w:themeColor="background1" w:themeShade="A6"/>
          <w:sz w:val="16"/>
        </w:rPr>
        <w:t>/18]</w:t>
      </w:r>
    </w:p>
    <w:p w:rsidR="00D113B7" w:rsidRPr="00CE37F2" w:rsidRDefault="001237B8" w:rsidP="00CE37F2">
      <w:pPr>
        <w:spacing w:line="276" w:lineRule="auto"/>
        <w:rPr>
          <w:rFonts w:asciiTheme="majorHAnsi" w:hAnsiTheme="majorHAnsi" w:cs="Arial"/>
          <w:color w:val="A6A6A6" w:themeColor="background1" w:themeShade="A6"/>
          <w:sz w:val="16"/>
        </w:rPr>
      </w:pPr>
      <w:r w:rsidRPr="00237981">
        <w:rPr>
          <w:rFonts w:asciiTheme="majorHAnsi" w:hAnsiTheme="majorHAnsi" w:cs="Arial"/>
          <w:color w:val="A6A6A6" w:themeColor="background1" w:themeShade="A6"/>
          <w:sz w:val="16"/>
        </w:rPr>
        <w:t>8 - treasury.gov/resource-center/data-chart-center/interest-rates/Pages/TextView.aspx?data=realyieldAll [</w:t>
      </w:r>
      <w:r>
        <w:rPr>
          <w:rFonts w:asciiTheme="majorHAnsi" w:hAnsiTheme="majorHAnsi" w:cs="Arial"/>
          <w:color w:val="A6A6A6" w:themeColor="background1" w:themeShade="A6"/>
          <w:sz w:val="16"/>
        </w:rPr>
        <w:t>6/29</w:t>
      </w:r>
      <w:r w:rsidRPr="00237981">
        <w:rPr>
          <w:rFonts w:asciiTheme="majorHAnsi" w:hAnsiTheme="majorHAnsi" w:cs="Arial"/>
          <w:color w:val="A6A6A6" w:themeColor="background1" w:themeShade="A6"/>
          <w:sz w:val="16"/>
        </w:rPr>
        <w:t>/18]</w:t>
      </w:r>
    </w:p>
    <w:sectPr w:rsidR="00D113B7" w:rsidRPr="00CE37F2" w:rsidSect="002B3955">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9C"/>
    <w:rsid w:val="001237B8"/>
    <w:rsid w:val="006A789C"/>
    <w:rsid w:val="00A9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F5609-A482-4A69-9BA6-80665967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character" w:styleId="Hyperlink">
    <w:name w:val="Hyperlink"/>
    <w:semiHidden/>
    <w:unhideWhenUsed/>
    <w:rsid w:val="001237B8"/>
    <w:rPr>
      <w:color w:val="0000FF"/>
      <w:u w:val="single"/>
    </w:rPr>
  </w:style>
  <w:style w:type="character" w:customStyle="1" w:styleId="object">
    <w:name w:val="object"/>
    <w:rsid w:val="00123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19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dedorle@ellendorl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ebmail.sterneagee.com/OWA/redir.aspx?REF=52Vq9JuWxYjki6OKhj2OF1LX_lhIys7XIo8ubQSZ5PrViePcqbHUCAFodHRwOi8vd3d3LnNpcGMub3JnL2Zhdmljb24uaWNv" TargetMode="External"/><Relationship Id="rId5" Type="http://schemas.openxmlformats.org/officeDocument/2006/relationships/image" Target="media/image2.jpeg"/><Relationship Id="rId10" Type="http://schemas.openxmlformats.org/officeDocument/2006/relationships/hyperlink" Target="https://webmail.sterneagee.com/OWA/redir.aspx?REF=lpIKGmNy3ibC9hADEkjuACXmD00nwtitKjxU5piEFFTViePcqbHUCAFodHRwOi8vd3d3LmZpbnJhLm9yZy8." TargetMode="External"/><Relationship Id="rId4" Type="http://schemas.openxmlformats.org/officeDocument/2006/relationships/image" Target="media/image1.jpeg"/><Relationship Id="rId9" Type="http://schemas.openxmlformats.org/officeDocument/2006/relationships/hyperlink" Target="http://www.ellendor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Dorle2</cp:lastModifiedBy>
  <cp:revision>3</cp:revision>
  <dcterms:created xsi:type="dcterms:W3CDTF">2018-07-23T16:12:00Z</dcterms:created>
  <dcterms:modified xsi:type="dcterms:W3CDTF">2018-07-23T16:32:00Z</dcterms:modified>
</cp:coreProperties>
</file>