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8507D" w14:textId="70361B48" w:rsidR="007B4C5A" w:rsidRPr="00527DDB" w:rsidRDefault="006C238E" w:rsidP="007B4C5A">
      <w:pPr>
        <w:jc w:val="center"/>
        <w:rPr>
          <w:sz w:val="36"/>
          <w:szCs w:val="36"/>
        </w:rPr>
      </w:pPr>
      <w:r>
        <w:rPr>
          <w:sz w:val="36"/>
          <w:szCs w:val="36"/>
        </w:rPr>
        <w:t>State of Annuity</w:t>
      </w:r>
      <w:r w:rsidR="00B32C5E">
        <w:rPr>
          <w:sz w:val="36"/>
          <w:szCs w:val="36"/>
        </w:rPr>
        <w:t xml:space="preserve"> </w:t>
      </w:r>
    </w:p>
    <w:p w14:paraId="4644BA9B" w14:textId="77777777" w:rsidR="007B4C5A" w:rsidRDefault="007B4C5A" w:rsidP="007B4C5A"/>
    <w:p w14:paraId="55B79510" w14:textId="77777777" w:rsidR="007B4C5A" w:rsidRDefault="007B4C5A" w:rsidP="007B4C5A">
      <w:pPr>
        <w:spacing w:line="360" w:lineRule="auto"/>
        <w:rPr>
          <w:b/>
          <w:sz w:val="32"/>
          <w:szCs w:val="32"/>
        </w:rPr>
      </w:pPr>
      <w:r>
        <w:rPr>
          <w:b/>
          <w:sz w:val="32"/>
          <w:szCs w:val="32"/>
        </w:rPr>
        <w:t>Introduction</w:t>
      </w:r>
    </w:p>
    <w:p w14:paraId="5EFB76A8" w14:textId="77777777" w:rsidR="000F046B" w:rsidRDefault="000F046B" w:rsidP="000F046B">
      <w:pPr>
        <w:pStyle w:val="NormalWeb"/>
        <w:shd w:val="clear" w:color="auto" w:fill="FFFFFF"/>
        <w:spacing w:before="0" w:beforeAutospacing="0"/>
        <w:rPr>
          <w:rFonts w:ascii="Helvetica" w:hAnsi="Helvetica"/>
          <w:color w:val="111111"/>
          <w:sz w:val="26"/>
          <w:szCs w:val="26"/>
        </w:rPr>
      </w:pPr>
      <w:r>
        <w:rPr>
          <w:rFonts w:ascii="Helvetica" w:hAnsi="Helvetica"/>
          <w:color w:val="111111"/>
          <w:sz w:val="26"/>
          <w:szCs w:val="26"/>
        </w:rPr>
        <w:t>An </w:t>
      </w:r>
      <w:hyperlink r:id="rId9" w:history="1">
        <w:r w:rsidRPr="006F5C26">
          <w:rPr>
            <w:rFonts w:ascii="Helvetica" w:hAnsi="Helvetica"/>
            <w:color w:val="111111"/>
            <w:sz w:val="26"/>
            <w:szCs w:val="26"/>
          </w:rPr>
          <w:t>annuity</w:t>
        </w:r>
      </w:hyperlink>
      <w:r>
        <w:rPr>
          <w:rFonts w:ascii="Helvetica" w:hAnsi="Helvetica"/>
          <w:color w:val="111111"/>
          <w:sz w:val="26"/>
          <w:szCs w:val="26"/>
        </w:rPr>
        <w:t> is a contract between you and an insurance company in which you make a lump sum payment or series of payments and, in return, obtain regular disbursements beginning either immediately or at some point in the future.</w:t>
      </w:r>
    </w:p>
    <w:p w14:paraId="7003F1E8" w14:textId="77777777" w:rsidR="000F046B" w:rsidRDefault="000F046B" w:rsidP="000F046B">
      <w:pPr>
        <w:pStyle w:val="NormalWeb"/>
        <w:shd w:val="clear" w:color="auto" w:fill="FFFFFF"/>
        <w:spacing w:before="0" w:beforeAutospacing="0"/>
        <w:rPr>
          <w:rFonts w:ascii="Helvetica" w:hAnsi="Helvetica"/>
          <w:color w:val="111111"/>
          <w:sz w:val="26"/>
          <w:szCs w:val="26"/>
        </w:rPr>
      </w:pPr>
      <w:r>
        <w:rPr>
          <w:rFonts w:ascii="Helvetica" w:hAnsi="Helvetica"/>
          <w:color w:val="111111"/>
          <w:sz w:val="26"/>
          <w:szCs w:val="26"/>
        </w:rPr>
        <w:t>The goal of annuity is to provide a steady stream of income during retirement. Funds </w:t>
      </w:r>
      <w:hyperlink r:id="rId10" w:history="1">
        <w:r w:rsidRPr="006F5C26">
          <w:rPr>
            <w:rFonts w:ascii="Helvetica" w:hAnsi="Helvetica"/>
            <w:color w:val="111111"/>
            <w:sz w:val="26"/>
            <w:szCs w:val="26"/>
          </w:rPr>
          <w:t>accrue</w:t>
        </w:r>
      </w:hyperlink>
      <w:r>
        <w:rPr>
          <w:rFonts w:ascii="Helvetica" w:hAnsi="Helvetica"/>
          <w:color w:val="111111"/>
          <w:sz w:val="26"/>
          <w:szCs w:val="26"/>
        </w:rPr>
        <w:t> on a tax-deferred basis, and like </w:t>
      </w:r>
      <w:hyperlink r:id="rId11" w:history="1">
        <w:r w:rsidRPr="006F5C26">
          <w:rPr>
            <w:rFonts w:ascii="Helvetica" w:hAnsi="Helvetica"/>
            <w:color w:val="111111"/>
            <w:sz w:val="26"/>
            <w:szCs w:val="26"/>
          </w:rPr>
          <w:t>401(k)</w:t>
        </w:r>
      </w:hyperlink>
      <w:r>
        <w:rPr>
          <w:rFonts w:ascii="Helvetica" w:hAnsi="Helvetica"/>
          <w:color w:val="111111"/>
          <w:sz w:val="26"/>
          <w:szCs w:val="26"/>
        </w:rPr>
        <w:t> contributions, can only be withdrawn without penalty after age 59.5.</w:t>
      </w:r>
    </w:p>
    <w:p w14:paraId="774035B4" w14:textId="0D1B13BA" w:rsidR="006A6AD1" w:rsidRDefault="000F046B" w:rsidP="00407455">
      <w:pPr>
        <w:pStyle w:val="NormalWeb"/>
        <w:shd w:val="clear" w:color="auto" w:fill="FFFFFF"/>
        <w:spacing w:before="0" w:beforeAutospacing="0"/>
        <w:rPr>
          <w:rFonts w:ascii="Helvetica" w:hAnsi="Helvetica"/>
          <w:color w:val="111111"/>
          <w:sz w:val="26"/>
          <w:szCs w:val="26"/>
        </w:rPr>
      </w:pPr>
      <w:r>
        <w:rPr>
          <w:rFonts w:ascii="Helvetica" w:hAnsi="Helvetica"/>
          <w:color w:val="111111"/>
          <w:sz w:val="26"/>
          <w:szCs w:val="26"/>
        </w:rPr>
        <w:t>Many aspects of an annuity can be tailored to the specific needs of the recipient. In addition to choosing between a </w:t>
      </w:r>
      <w:hyperlink r:id="rId12" w:history="1">
        <w:r w:rsidRPr="006F5C26">
          <w:rPr>
            <w:rFonts w:ascii="Helvetica" w:hAnsi="Helvetica"/>
            <w:color w:val="111111"/>
            <w:sz w:val="26"/>
            <w:szCs w:val="26"/>
          </w:rPr>
          <w:t>lump sum payment</w:t>
        </w:r>
      </w:hyperlink>
      <w:r>
        <w:rPr>
          <w:rFonts w:ascii="Helvetica" w:hAnsi="Helvetica"/>
          <w:color w:val="111111"/>
          <w:sz w:val="26"/>
          <w:szCs w:val="26"/>
        </w:rPr>
        <w:t> </w:t>
      </w:r>
      <w:proofErr w:type="gramStart"/>
      <w:r>
        <w:rPr>
          <w:rFonts w:ascii="Helvetica" w:hAnsi="Helvetica"/>
          <w:color w:val="111111"/>
          <w:sz w:val="26"/>
          <w:szCs w:val="26"/>
        </w:rPr>
        <w:t>or</w:t>
      </w:r>
      <w:proofErr w:type="gramEnd"/>
      <w:r>
        <w:rPr>
          <w:rFonts w:ascii="Helvetica" w:hAnsi="Helvetica"/>
          <w:color w:val="111111"/>
          <w:sz w:val="26"/>
          <w:szCs w:val="26"/>
        </w:rPr>
        <w:t xml:space="preserve"> a series of payments to the insurer, you can choose when you want to annuitize your contributions - that is, start receiving payments.</w:t>
      </w:r>
    </w:p>
    <w:p w14:paraId="3653BFA4" w14:textId="58609AAF" w:rsidR="007B4C5A" w:rsidRPr="00975488" w:rsidRDefault="00407455" w:rsidP="007B4C5A">
      <w:pPr>
        <w:pStyle w:val="NormalWeb"/>
        <w:shd w:val="clear" w:color="auto" w:fill="FFFFFF"/>
        <w:spacing w:before="0" w:beforeAutospacing="0"/>
        <w:rPr>
          <w:rFonts w:asciiTheme="minorHAnsi" w:hAnsiTheme="minorHAnsi" w:cstheme="minorBidi"/>
          <w:b/>
          <w:sz w:val="32"/>
          <w:szCs w:val="32"/>
          <w:lang w:eastAsia="zh-CN"/>
        </w:rPr>
      </w:pPr>
      <w:r>
        <w:rPr>
          <w:rFonts w:asciiTheme="minorHAnsi" w:hAnsiTheme="minorHAnsi" w:cstheme="minorBidi"/>
          <w:b/>
          <w:sz w:val="32"/>
          <w:szCs w:val="32"/>
          <w:lang w:eastAsia="zh-CN"/>
        </w:rPr>
        <w:t>Kinds of Annuity</w:t>
      </w:r>
    </w:p>
    <w:p w14:paraId="3C767DDE" w14:textId="77777777" w:rsidR="000F046B" w:rsidRDefault="000F046B" w:rsidP="000F046B">
      <w:pPr>
        <w:pStyle w:val="NormalWeb"/>
        <w:shd w:val="clear" w:color="auto" w:fill="FFFFFF"/>
        <w:spacing w:before="0" w:beforeAutospacing="0"/>
        <w:rPr>
          <w:rFonts w:ascii="Helvetica" w:hAnsi="Helvetica"/>
          <w:color w:val="111111"/>
          <w:sz w:val="26"/>
          <w:szCs w:val="26"/>
        </w:rPr>
      </w:pPr>
      <w:r>
        <w:rPr>
          <w:rFonts w:ascii="Helvetica" w:hAnsi="Helvetica"/>
          <w:color w:val="111111"/>
          <w:sz w:val="26"/>
          <w:szCs w:val="26"/>
        </w:rPr>
        <w:t xml:space="preserve">Annuities come in three main varieties - fixed, variable and indexed - that each </w:t>
      </w:r>
      <w:proofErr w:type="gramStart"/>
      <w:r>
        <w:rPr>
          <w:rFonts w:ascii="Helvetica" w:hAnsi="Helvetica"/>
          <w:color w:val="111111"/>
          <w:sz w:val="26"/>
          <w:szCs w:val="26"/>
        </w:rPr>
        <w:t>have</w:t>
      </w:r>
      <w:proofErr w:type="gramEnd"/>
      <w:r>
        <w:rPr>
          <w:rFonts w:ascii="Helvetica" w:hAnsi="Helvetica"/>
          <w:color w:val="111111"/>
          <w:sz w:val="26"/>
          <w:szCs w:val="26"/>
        </w:rPr>
        <w:t xml:space="preserve"> their own level of risk and </w:t>
      </w:r>
      <w:hyperlink r:id="rId13" w:history="1">
        <w:r w:rsidRPr="006F5C26">
          <w:rPr>
            <w:rFonts w:ascii="Helvetica" w:hAnsi="Helvetica"/>
            <w:color w:val="111111"/>
            <w:sz w:val="26"/>
            <w:szCs w:val="26"/>
          </w:rPr>
          <w:t>payout</w:t>
        </w:r>
      </w:hyperlink>
      <w:r>
        <w:rPr>
          <w:rFonts w:ascii="Helvetica" w:hAnsi="Helvetica"/>
          <w:color w:val="111111"/>
          <w:sz w:val="26"/>
          <w:szCs w:val="26"/>
        </w:rPr>
        <w:t> potential. </w:t>
      </w:r>
      <w:hyperlink r:id="rId14" w:history="1">
        <w:r w:rsidRPr="006F5C26">
          <w:rPr>
            <w:rFonts w:ascii="Helvetica" w:hAnsi="Helvetica"/>
            <w:color w:val="111111"/>
            <w:sz w:val="26"/>
            <w:szCs w:val="26"/>
          </w:rPr>
          <w:t>Fixed annuities</w:t>
        </w:r>
      </w:hyperlink>
      <w:r>
        <w:rPr>
          <w:rFonts w:ascii="Helvetica" w:hAnsi="Helvetica"/>
          <w:color w:val="111111"/>
          <w:sz w:val="26"/>
          <w:szCs w:val="26"/>
        </w:rPr>
        <w:t> pay out a guaranteed amount based on the balance of your account. The downside of this predictability is a modest </w:t>
      </w:r>
      <w:hyperlink r:id="rId15" w:history="1">
        <w:r w:rsidRPr="006F5C26">
          <w:rPr>
            <w:rFonts w:ascii="Helvetica" w:hAnsi="Helvetica"/>
            <w:color w:val="111111"/>
            <w:sz w:val="26"/>
            <w:szCs w:val="26"/>
          </w:rPr>
          <w:t>annual return</w:t>
        </w:r>
      </w:hyperlink>
      <w:r>
        <w:rPr>
          <w:rFonts w:ascii="Helvetica" w:hAnsi="Helvetica"/>
          <w:color w:val="111111"/>
          <w:sz w:val="26"/>
          <w:szCs w:val="26"/>
        </w:rPr>
        <w:t>, generally slightly higher than a </w:t>
      </w:r>
      <w:hyperlink r:id="rId16" w:history="1">
        <w:r w:rsidRPr="006F5C26">
          <w:rPr>
            <w:rFonts w:ascii="Helvetica" w:hAnsi="Helvetica"/>
            <w:color w:val="111111"/>
            <w:sz w:val="26"/>
            <w:szCs w:val="26"/>
          </w:rPr>
          <w:t>CD</w:t>
        </w:r>
      </w:hyperlink>
      <w:r>
        <w:rPr>
          <w:rFonts w:ascii="Helvetica" w:hAnsi="Helvetica"/>
          <w:color w:val="111111"/>
          <w:sz w:val="26"/>
          <w:szCs w:val="26"/>
        </w:rPr>
        <w:t>.</w:t>
      </w:r>
    </w:p>
    <w:p w14:paraId="28C77B80" w14:textId="77777777" w:rsidR="000F046B" w:rsidRDefault="000F046B" w:rsidP="000F046B">
      <w:pPr>
        <w:pStyle w:val="NormalWeb"/>
        <w:shd w:val="clear" w:color="auto" w:fill="FFFFFF"/>
        <w:spacing w:before="0" w:beforeAutospacing="0"/>
        <w:rPr>
          <w:rFonts w:ascii="Helvetica" w:hAnsi="Helvetica"/>
          <w:color w:val="111111"/>
          <w:sz w:val="26"/>
          <w:szCs w:val="26"/>
        </w:rPr>
      </w:pPr>
      <w:r>
        <w:rPr>
          <w:rFonts w:ascii="Helvetica" w:hAnsi="Helvetica"/>
          <w:color w:val="111111"/>
          <w:sz w:val="26"/>
          <w:szCs w:val="26"/>
        </w:rPr>
        <w:t>You have the opportunity for a higher return, accompanied by greater risk, with a </w:t>
      </w:r>
      <w:hyperlink r:id="rId17" w:history="1">
        <w:r w:rsidRPr="006F5C26">
          <w:rPr>
            <w:rFonts w:ascii="Helvetica" w:hAnsi="Helvetica"/>
            <w:color w:val="111111"/>
            <w:sz w:val="26"/>
            <w:szCs w:val="26"/>
          </w:rPr>
          <w:t>variable annuity</w:t>
        </w:r>
      </w:hyperlink>
      <w:r>
        <w:rPr>
          <w:rFonts w:ascii="Helvetica" w:hAnsi="Helvetica"/>
          <w:color w:val="111111"/>
          <w:sz w:val="26"/>
          <w:szCs w:val="26"/>
        </w:rPr>
        <w:t>. In this case, you pick from a </w:t>
      </w:r>
      <w:hyperlink r:id="rId18" w:history="1">
        <w:r w:rsidRPr="006F5C26">
          <w:rPr>
            <w:rFonts w:ascii="Helvetica" w:hAnsi="Helvetica"/>
            <w:color w:val="111111"/>
            <w:sz w:val="26"/>
            <w:szCs w:val="26"/>
          </w:rPr>
          <w:t>menu of mutual funds</w:t>
        </w:r>
      </w:hyperlink>
      <w:r>
        <w:rPr>
          <w:rFonts w:ascii="Helvetica" w:hAnsi="Helvetica"/>
          <w:color w:val="111111"/>
          <w:sz w:val="26"/>
          <w:szCs w:val="26"/>
        </w:rPr>
        <w:t> that comprise your personal "sub-account." Here, your payments in retirement are based on the performance of investments in your sub-account.</w:t>
      </w:r>
    </w:p>
    <w:p w14:paraId="07D9ACC7" w14:textId="77777777" w:rsidR="000F046B" w:rsidRDefault="000F046B" w:rsidP="000F046B">
      <w:pPr>
        <w:pStyle w:val="NormalWeb"/>
        <w:shd w:val="clear" w:color="auto" w:fill="FFFFFF"/>
        <w:spacing w:before="0" w:beforeAutospacing="0"/>
        <w:rPr>
          <w:rFonts w:ascii="Helvetica" w:hAnsi="Helvetica"/>
          <w:color w:val="111111"/>
          <w:sz w:val="26"/>
          <w:szCs w:val="26"/>
        </w:rPr>
      </w:pPr>
      <w:hyperlink r:id="rId19" w:history="1">
        <w:r w:rsidRPr="006F5C26">
          <w:rPr>
            <w:rFonts w:ascii="Helvetica" w:hAnsi="Helvetica"/>
            <w:color w:val="111111"/>
            <w:sz w:val="26"/>
            <w:szCs w:val="26"/>
          </w:rPr>
          <w:t>Indexed annuities</w:t>
        </w:r>
      </w:hyperlink>
      <w:r>
        <w:rPr>
          <w:rFonts w:ascii="Helvetica" w:hAnsi="Helvetica"/>
          <w:color w:val="111111"/>
          <w:sz w:val="26"/>
          <w:szCs w:val="26"/>
        </w:rPr>
        <w:t> are somewhere in between when it comes to risk and potential reward. You receive a guaranteed minimum payout, although a portion of your disbursements is tied to the performance of a </w:t>
      </w:r>
      <w:hyperlink r:id="rId20" w:history="1">
        <w:r w:rsidRPr="006F5C26">
          <w:rPr>
            <w:rFonts w:ascii="Helvetica" w:hAnsi="Helvetica"/>
            <w:color w:val="111111"/>
            <w:sz w:val="26"/>
            <w:szCs w:val="26"/>
          </w:rPr>
          <w:t>market index</w:t>
        </w:r>
      </w:hyperlink>
      <w:r>
        <w:rPr>
          <w:rFonts w:ascii="Helvetica" w:hAnsi="Helvetica"/>
          <w:color w:val="111111"/>
          <w:sz w:val="26"/>
          <w:szCs w:val="26"/>
        </w:rPr>
        <w:t>, such as the S&amp;P 500.</w:t>
      </w:r>
    </w:p>
    <w:p w14:paraId="44C60883" w14:textId="043419E9" w:rsidR="000F046B" w:rsidRDefault="000F046B" w:rsidP="000F046B">
      <w:pPr>
        <w:pStyle w:val="NormalWeb"/>
        <w:shd w:val="clear" w:color="auto" w:fill="FFFFFF"/>
        <w:spacing w:before="0" w:beforeAutospacing="0"/>
        <w:rPr>
          <w:rFonts w:ascii="Helvetica" w:hAnsi="Helvetica"/>
          <w:color w:val="111111"/>
          <w:sz w:val="26"/>
          <w:szCs w:val="26"/>
        </w:rPr>
      </w:pPr>
      <w:r>
        <w:rPr>
          <w:rFonts w:ascii="Helvetica" w:hAnsi="Helvetica"/>
          <w:color w:val="111111"/>
          <w:sz w:val="26"/>
          <w:szCs w:val="26"/>
        </w:rPr>
        <w:t>Despite their potential for greater earnings, variable and indexed annuities are </w:t>
      </w:r>
      <w:hyperlink r:id="rId21" w:history="1">
        <w:r w:rsidRPr="006F5C26">
          <w:rPr>
            <w:rFonts w:ascii="Helvetica" w:hAnsi="Helvetica"/>
            <w:color w:val="111111"/>
            <w:sz w:val="26"/>
            <w:szCs w:val="26"/>
          </w:rPr>
          <w:t>sometimes criticized for their fees</w:t>
        </w:r>
      </w:hyperlink>
      <w:r>
        <w:rPr>
          <w:rFonts w:ascii="Helvetica" w:hAnsi="Helvetica"/>
          <w:color w:val="111111"/>
          <w:sz w:val="26"/>
          <w:szCs w:val="26"/>
        </w:rPr>
        <w:t> and their relative complexity. For example, many </w:t>
      </w:r>
      <w:hyperlink r:id="rId22" w:history="1">
        <w:r w:rsidRPr="006F5C26">
          <w:rPr>
            <w:rFonts w:ascii="Helvetica" w:hAnsi="Helvetica"/>
            <w:color w:val="111111"/>
            <w:sz w:val="26"/>
            <w:szCs w:val="26"/>
          </w:rPr>
          <w:t>annuitants</w:t>
        </w:r>
      </w:hyperlink>
      <w:r>
        <w:rPr>
          <w:rFonts w:ascii="Helvetica" w:hAnsi="Helvetica"/>
          <w:color w:val="111111"/>
          <w:sz w:val="26"/>
          <w:szCs w:val="26"/>
        </w:rPr>
        <w:t> find that they have to pay steep </w:t>
      </w:r>
      <w:r w:rsidRPr="006F5C26">
        <w:rPr>
          <w:rFonts w:ascii="Helvetica" w:hAnsi="Helvetica"/>
          <w:color w:val="111111"/>
          <w:sz w:val="26"/>
          <w:szCs w:val="26"/>
        </w:rPr>
        <w:t xml:space="preserve">surrender </w:t>
      </w:r>
      <w:r w:rsidRPr="006F5C26">
        <w:rPr>
          <w:rFonts w:ascii="Helvetica" w:hAnsi="Helvetica"/>
          <w:color w:val="111111"/>
          <w:sz w:val="26"/>
          <w:szCs w:val="26"/>
        </w:rPr>
        <w:lastRenderedPageBreak/>
        <w:t>charges</w:t>
      </w:r>
      <w:r>
        <w:rPr>
          <w:rFonts w:ascii="Helvetica" w:hAnsi="Helvetica"/>
          <w:color w:val="111111"/>
          <w:sz w:val="26"/>
          <w:szCs w:val="26"/>
        </w:rPr>
        <w:t> if they try to withdraw their money within the first few years of the contract.</w:t>
      </w:r>
    </w:p>
    <w:p w14:paraId="47A71F11" w14:textId="7C6E20EF" w:rsidR="00F374AA" w:rsidRPr="00F374AA" w:rsidRDefault="00F374AA" w:rsidP="00F374AA">
      <w:pPr>
        <w:pStyle w:val="NormalWeb"/>
        <w:shd w:val="clear" w:color="auto" w:fill="FFFFFF"/>
        <w:rPr>
          <w:rFonts w:asciiTheme="minorHAnsi" w:hAnsiTheme="minorHAnsi" w:cstheme="minorBidi"/>
          <w:b/>
          <w:sz w:val="32"/>
          <w:szCs w:val="32"/>
          <w:lang w:eastAsia="zh-CN"/>
        </w:rPr>
      </w:pPr>
      <w:r w:rsidRPr="00F374AA">
        <w:rPr>
          <w:rFonts w:asciiTheme="minorHAnsi" w:hAnsiTheme="minorHAnsi" w:cstheme="minorBidi"/>
          <w:b/>
          <w:sz w:val="32"/>
          <w:szCs w:val="32"/>
          <w:lang w:eastAsia="zh-CN"/>
        </w:rPr>
        <w:t>State of Annuity 2018</w:t>
      </w:r>
    </w:p>
    <w:p w14:paraId="54C0E9AE" w14:textId="71B45338" w:rsidR="00407455" w:rsidRPr="00407455" w:rsidRDefault="00F374AA" w:rsidP="00407455">
      <w:pPr>
        <w:pStyle w:val="NormalWeb"/>
        <w:shd w:val="clear" w:color="auto" w:fill="FFFFFF"/>
        <w:rPr>
          <w:rFonts w:ascii="Helvetica" w:hAnsi="Helvetica"/>
          <w:color w:val="111111"/>
          <w:sz w:val="26"/>
          <w:szCs w:val="26"/>
        </w:rPr>
      </w:pPr>
      <w:r>
        <w:rPr>
          <w:rFonts w:ascii="Helvetica" w:hAnsi="Helvetica"/>
          <w:color w:val="111111"/>
          <w:sz w:val="26"/>
          <w:szCs w:val="26"/>
        </w:rPr>
        <w:t>1. Tax reform was</w:t>
      </w:r>
      <w:r w:rsidR="00407455" w:rsidRPr="00407455">
        <w:rPr>
          <w:rFonts w:ascii="Helvetica" w:hAnsi="Helvetica"/>
          <w:color w:val="111111"/>
          <w:sz w:val="26"/>
          <w:szCs w:val="26"/>
        </w:rPr>
        <w:t xml:space="preserve"> a significant tailwind to annuity transactions as more plan</w:t>
      </w:r>
      <w:r w:rsidR="00407455">
        <w:rPr>
          <w:rFonts w:ascii="Helvetica" w:hAnsi="Helvetica"/>
          <w:color w:val="111111"/>
          <w:sz w:val="26"/>
          <w:szCs w:val="26"/>
        </w:rPr>
        <w:t xml:space="preserve"> </w:t>
      </w:r>
      <w:r w:rsidR="00407455" w:rsidRPr="00407455">
        <w:rPr>
          <w:rFonts w:ascii="Helvetica" w:hAnsi="Helvetica"/>
          <w:color w:val="111111"/>
          <w:sz w:val="26"/>
          <w:szCs w:val="26"/>
        </w:rPr>
        <w:t>sponsors fund</w:t>
      </w:r>
      <w:r>
        <w:rPr>
          <w:rFonts w:ascii="Helvetica" w:hAnsi="Helvetica"/>
          <w:color w:val="111111"/>
          <w:sz w:val="26"/>
          <w:szCs w:val="26"/>
        </w:rPr>
        <w:t>ed</w:t>
      </w:r>
      <w:r w:rsidR="00407455" w:rsidRPr="00407455">
        <w:rPr>
          <w:rFonts w:ascii="Helvetica" w:hAnsi="Helvetica"/>
          <w:color w:val="111111"/>
          <w:sz w:val="26"/>
          <w:szCs w:val="26"/>
        </w:rPr>
        <w:t xml:space="preserve"> their pensions to take advantage of the 35 percent corporate tax</w:t>
      </w:r>
      <w:r w:rsidR="00407455">
        <w:rPr>
          <w:rFonts w:ascii="Helvetica" w:hAnsi="Helvetica"/>
          <w:color w:val="111111"/>
          <w:sz w:val="26"/>
          <w:szCs w:val="26"/>
        </w:rPr>
        <w:t xml:space="preserve"> </w:t>
      </w:r>
      <w:r w:rsidR="00407455" w:rsidRPr="00407455">
        <w:rPr>
          <w:rFonts w:ascii="Helvetica" w:hAnsi="Helvetica"/>
          <w:color w:val="111111"/>
          <w:sz w:val="26"/>
          <w:szCs w:val="26"/>
        </w:rPr>
        <w:t>deduction, as applicable. While plans of a</w:t>
      </w:r>
      <w:r>
        <w:rPr>
          <w:rFonts w:ascii="Helvetica" w:hAnsi="Helvetica"/>
          <w:color w:val="111111"/>
          <w:sz w:val="26"/>
          <w:szCs w:val="26"/>
        </w:rPr>
        <w:t>ll different funded statuses were</w:t>
      </w:r>
      <w:r w:rsidR="00407455" w:rsidRPr="00407455">
        <w:rPr>
          <w:rFonts w:ascii="Helvetica" w:hAnsi="Helvetica"/>
          <w:color w:val="111111"/>
          <w:sz w:val="26"/>
          <w:szCs w:val="26"/>
        </w:rPr>
        <w:t xml:space="preserve"> potential</w:t>
      </w:r>
      <w:r w:rsidR="00407455">
        <w:rPr>
          <w:rFonts w:ascii="Helvetica" w:hAnsi="Helvetica"/>
          <w:color w:val="111111"/>
          <w:sz w:val="26"/>
          <w:szCs w:val="26"/>
        </w:rPr>
        <w:t xml:space="preserve"> </w:t>
      </w:r>
      <w:r w:rsidR="00407455" w:rsidRPr="00407455">
        <w:rPr>
          <w:rFonts w:ascii="Helvetica" w:hAnsi="Helvetica"/>
          <w:color w:val="111111"/>
          <w:sz w:val="26"/>
          <w:szCs w:val="26"/>
        </w:rPr>
        <w:t xml:space="preserve">players in the pension annuity market, those with higher-funded statuses </w:t>
      </w:r>
      <w:r>
        <w:rPr>
          <w:rFonts w:ascii="Helvetica" w:hAnsi="Helvetica"/>
          <w:color w:val="111111"/>
          <w:sz w:val="26"/>
          <w:szCs w:val="26"/>
        </w:rPr>
        <w:t>were</w:t>
      </w:r>
      <w:r w:rsidR="00407455" w:rsidRPr="00407455">
        <w:rPr>
          <w:rFonts w:ascii="Helvetica" w:hAnsi="Helvetica"/>
          <w:color w:val="111111"/>
          <w:sz w:val="26"/>
          <w:szCs w:val="26"/>
        </w:rPr>
        <w:t xml:space="preserve"> more</w:t>
      </w:r>
      <w:r w:rsidR="00407455">
        <w:rPr>
          <w:rFonts w:ascii="Helvetica" w:hAnsi="Helvetica"/>
          <w:color w:val="111111"/>
          <w:sz w:val="26"/>
          <w:szCs w:val="26"/>
        </w:rPr>
        <w:t xml:space="preserve"> </w:t>
      </w:r>
      <w:r w:rsidR="00407455" w:rsidRPr="00407455">
        <w:rPr>
          <w:rFonts w:ascii="Helvetica" w:hAnsi="Helvetica"/>
          <w:color w:val="111111"/>
          <w:sz w:val="26"/>
          <w:szCs w:val="26"/>
        </w:rPr>
        <w:t>likely to transact.</w:t>
      </w:r>
    </w:p>
    <w:p w14:paraId="2EA41618" w14:textId="282CCE19" w:rsidR="00407455" w:rsidRPr="00407455" w:rsidRDefault="00407455" w:rsidP="00407455">
      <w:pPr>
        <w:pStyle w:val="NormalWeb"/>
        <w:shd w:val="clear" w:color="auto" w:fill="FFFFFF"/>
        <w:rPr>
          <w:rFonts w:ascii="Helvetica" w:hAnsi="Helvetica"/>
          <w:color w:val="111111"/>
          <w:sz w:val="26"/>
          <w:szCs w:val="26"/>
        </w:rPr>
      </w:pPr>
      <w:r w:rsidRPr="00407455">
        <w:rPr>
          <w:rFonts w:ascii="Helvetica" w:hAnsi="Helvetica"/>
          <w:color w:val="111111"/>
          <w:sz w:val="26"/>
          <w:szCs w:val="26"/>
        </w:rPr>
        <w:t>2. “Select</w:t>
      </w:r>
      <w:r w:rsidR="00F374AA">
        <w:rPr>
          <w:rFonts w:ascii="Helvetica" w:hAnsi="Helvetica"/>
          <w:color w:val="111111"/>
          <w:sz w:val="26"/>
          <w:szCs w:val="26"/>
        </w:rPr>
        <w:t xml:space="preserve"> retiree” annuity lift-outs</w:t>
      </w:r>
      <w:r w:rsidRPr="00407455">
        <w:rPr>
          <w:rFonts w:ascii="Helvetica" w:hAnsi="Helvetica"/>
          <w:color w:val="111111"/>
          <w:sz w:val="26"/>
          <w:szCs w:val="26"/>
        </w:rPr>
        <w:t xml:space="preserve"> dominate</w:t>
      </w:r>
      <w:r w:rsidR="00F374AA">
        <w:rPr>
          <w:rFonts w:ascii="Helvetica" w:hAnsi="Helvetica"/>
          <w:color w:val="111111"/>
          <w:sz w:val="26"/>
          <w:szCs w:val="26"/>
        </w:rPr>
        <w:t>d</w:t>
      </w:r>
      <w:r w:rsidRPr="00407455">
        <w:rPr>
          <w:rFonts w:ascii="Helvetica" w:hAnsi="Helvetica"/>
          <w:color w:val="111111"/>
          <w:sz w:val="26"/>
          <w:szCs w:val="26"/>
        </w:rPr>
        <w:t xml:space="preserve"> the 2018 market, similar to</w:t>
      </w:r>
      <w:r>
        <w:rPr>
          <w:rFonts w:ascii="Helvetica" w:hAnsi="Helvetica"/>
          <w:color w:val="111111"/>
          <w:sz w:val="26"/>
          <w:szCs w:val="26"/>
        </w:rPr>
        <w:t xml:space="preserve"> </w:t>
      </w:r>
      <w:r w:rsidRPr="00407455">
        <w:rPr>
          <w:rFonts w:ascii="Helvetica" w:hAnsi="Helvetica"/>
          <w:color w:val="111111"/>
          <w:sz w:val="26"/>
          <w:szCs w:val="26"/>
        </w:rPr>
        <w:t>the small annuity trend that started in 2016</w:t>
      </w:r>
      <w:r w:rsidR="00F374AA">
        <w:rPr>
          <w:rFonts w:ascii="Helvetica" w:hAnsi="Helvetica"/>
          <w:color w:val="111111"/>
          <w:sz w:val="26"/>
          <w:szCs w:val="26"/>
        </w:rPr>
        <w:t xml:space="preserve">. </w:t>
      </w:r>
      <w:r w:rsidRPr="00407455">
        <w:rPr>
          <w:rFonts w:ascii="Helvetica" w:hAnsi="Helvetica"/>
          <w:color w:val="111111"/>
          <w:sz w:val="26"/>
          <w:szCs w:val="26"/>
        </w:rPr>
        <w:t xml:space="preserve">And we </w:t>
      </w:r>
      <w:r w:rsidR="00F374AA">
        <w:rPr>
          <w:rFonts w:ascii="Helvetica" w:hAnsi="Helvetica"/>
          <w:color w:val="111111"/>
          <w:sz w:val="26"/>
          <w:szCs w:val="26"/>
        </w:rPr>
        <w:t xml:space="preserve">saw </w:t>
      </w:r>
      <w:r w:rsidRPr="00407455">
        <w:rPr>
          <w:rFonts w:ascii="Helvetica" w:hAnsi="Helvetica"/>
          <w:color w:val="111111"/>
          <w:sz w:val="26"/>
          <w:szCs w:val="26"/>
        </w:rPr>
        <w:t>more organizations looking at multiple</w:t>
      </w:r>
      <w:r>
        <w:rPr>
          <w:rFonts w:ascii="Helvetica" w:hAnsi="Helvetica"/>
          <w:color w:val="111111"/>
          <w:sz w:val="26"/>
          <w:szCs w:val="26"/>
        </w:rPr>
        <w:t xml:space="preserve"> </w:t>
      </w:r>
      <w:r w:rsidRPr="00407455">
        <w:rPr>
          <w:rFonts w:ascii="Helvetica" w:hAnsi="Helvetica"/>
          <w:color w:val="111111"/>
          <w:sz w:val="26"/>
          <w:szCs w:val="26"/>
        </w:rPr>
        <w:t>transactions as different retiree (or even non-retiree) groups are analyzed.</w:t>
      </w:r>
    </w:p>
    <w:p w14:paraId="5FA269F2" w14:textId="329BE400" w:rsidR="00407455" w:rsidRPr="00407455" w:rsidRDefault="00407455" w:rsidP="00407455">
      <w:pPr>
        <w:pStyle w:val="NormalWeb"/>
        <w:shd w:val="clear" w:color="auto" w:fill="FFFFFF"/>
        <w:rPr>
          <w:rFonts w:ascii="Helvetica" w:hAnsi="Helvetica"/>
          <w:color w:val="111111"/>
          <w:sz w:val="26"/>
          <w:szCs w:val="26"/>
        </w:rPr>
      </w:pPr>
      <w:r w:rsidRPr="00407455">
        <w:rPr>
          <w:rFonts w:ascii="Helvetica" w:hAnsi="Helvetica"/>
          <w:color w:val="111111"/>
          <w:sz w:val="26"/>
          <w:szCs w:val="26"/>
        </w:rPr>
        <w:t xml:space="preserve">3. Plan terminations </w:t>
      </w:r>
      <w:r w:rsidR="00F374AA">
        <w:rPr>
          <w:rFonts w:ascii="Helvetica" w:hAnsi="Helvetica"/>
          <w:color w:val="111111"/>
          <w:sz w:val="26"/>
          <w:szCs w:val="26"/>
        </w:rPr>
        <w:t>were</w:t>
      </w:r>
      <w:r w:rsidRPr="00407455">
        <w:rPr>
          <w:rFonts w:ascii="Helvetica" w:hAnsi="Helvetica"/>
          <w:color w:val="111111"/>
          <w:sz w:val="26"/>
          <w:szCs w:val="26"/>
        </w:rPr>
        <w:t xml:space="preserve"> becoming more popular as more pension plans are fully</w:t>
      </w:r>
      <w:r>
        <w:rPr>
          <w:rFonts w:ascii="Helvetica" w:hAnsi="Helvetica"/>
          <w:color w:val="111111"/>
          <w:sz w:val="26"/>
          <w:szCs w:val="26"/>
        </w:rPr>
        <w:t xml:space="preserve"> </w:t>
      </w:r>
      <w:r w:rsidRPr="00407455">
        <w:rPr>
          <w:rFonts w:ascii="Helvetica" w:hAnsi="Helvetica"/>
          <w:color w:val="111111"/>
          <w:sz w:val="26"/>
          <w:szCs w:val="26"/>
        </w:rPr>
        <w:t>frozen and become better funded. Remember that plan terminations can take as</w:t>
      </w:r>
      <w:r>
        <w:rPr>
          <w:rFonts w:ascii="Helvetica" w:hAnsi="Helvetica"/>
          <w:color w:val="111111"/>
          <w:sz w:val="26"/>
          <w:szCs w:val="26"/>
        </w:rPr>
        <w:t xml:space="preserve"> </w:t>
      </w:r>
      <w:r w:rsidRPr="00407455">
        <w:rPr>
          <w:rFonts w:ascii="Helvetica" w:hAnsi="Helvetica"/>
          <w:color w:val="111111"/>
          <w:sz w:val="26"/>
          <w:szCs w:val="26"/>
        </w:rPr>
        <w:t>much as 12 to 18 months to complete and typically include significant lump-sum</w:t>
      </w:r>
      <w:r>
        <w:rPr>
          <w:rFonts w:ascii="Helvetica" w:hAnsi="Helvetica"/>
          <w:color w:val="111111"/>
          <w:sz w:val="26"/>
          <w:szCs w:val="26"/>
        </w:rPr>
        <w:t xml:space="preserve"> </w:t>
      </w:r>
      <w:r w:rsidRPr="00407455">
        <w:rPr>
          <w:rFonts w:ascii="Helvetica" w:hAnsi="Helvetica"/>
          <w:color w:val="111111"/>
          <w:sz w:val="26"/>
          <w:szCs w:val="26"/>
        </w:rPr>
        <w:t xml:space="preserve">payouts, so different solutions </w:t>
      </w:r>
      <w:r w:rsidR="00F374AA">
        <w:rPr>
          <w:rFonts w:ascii="Helvetica" w:hAnsi="Helvetica"/>
          <w:color w:val="111111"/>
          <w:sz w:val="26"/>
          <w:szCs w:val="26"/>
        </w:rPr>
        <w:t>were</w:t>
      </w:r>
      <w:r w:rsidRPr="00407455">
        <w:rPr>
          <w:rFonts w:ascii="Helvetica" w:hAnsi="Helvetica"/>
          <w:color w:val="111111"/>
          <w:sz w:val="26"/>
          <w:szCs w:val="26"/>
        </w:rPr>
        <w:t xml:space="preserve"> deployed to lock in economics during this</w:t>
      </w:r>
      <w:r>
        <w:rPr>
          <w:rFonts w:ascii="Helvetica" w:hAnsi="Helvetica"/>
          <w:color w:val="111111"/>
          <w:sz w:val="26"/>
          <w:szCs w:val="26"/>
        </w:rPr>
        <w:t xml:space="preserve"> </w:t>
      </w:r>
      <w:r w:rsidRPr="00407455">
        <w:rPr>
          <w:rFonts w:ascii="Helvetica" w:hAnsi="Helvetica"/>
          <w:color w:val="111111"/>
          <w:sz w:val="26"/>
          <w:szCs w:val="26"/>
        </w:rPr>
        <w:t>lengthy process.</w:t>
      </w:r>
    </w:p>
    <w:p w14:paraId="720231D8" w14:textId="03CB71B5" w:rsidR="00407455" w:rsidRPr="00407455" w:rsidRDefault="00407455" w:rsidP="00407455">
      <w:pPr>
        <w:pStyle w:val="NormalWeb"/>
        <w:shd w:val="clear" w:color="auto" w:fill="FFFFFF"/>
        <w:rPr>
          <w:rFonts w:ascii="Helvetica" w:hAnsi="Helvetica"/>
          <w:color w:val="111111"/>
          <w:sz w:val="26"/>
          <w:szCs w:val="26"/>
        </w:rPr>
      </w:pPr>
      <w:r w:rsidRPr="00407455">
        <w:rPr>
          <w:rFonts w:ascii="Helvetica" w:hAnsi="Helvetica"/>
          <w:color w:val="111111"/>
          <w:sz w:val="26"/>
          <w:szCs w:val="26"/>
        </w:rPr>
        <w:t>4. Plan sponsors need</w:t>
      </w:r>
      <w:r w:rsidR="00F374AA">
        <w:rPr>
          <w:rFonts w:ascii="Helvetica" w:hAnsi="Helvetica"/>
          <w:color w:val="111111"/>
          <w:sz w:val="26"/>
          <w:szCs w:val="26"/>
        </w:rPr>
        <w:t>ed</w:t>
      </w:r>
      <w:r w:rsidRPr="00407455">
        <w:rPr>
          <w:rFonts w:ascii="Helvetica" w:hAnsi="Helvetica"/>
          <w:color w:val="111111"/>
          <w:sz w:val="26"/>
          <w:szCs w:val="26"/>
        </w:rPr>
        <w:t xml:space="preserve"> to prepare census data that is transaction-ready. Insurers</w:t>
      </w:r>
      <w:r>
        <w:rPr>
          <w:rFonts w:ascii="Helvetica" w:hAnsi="Helvetica"/>
          <w:color w:val="111111"/>
          <w:sz w:val="26"/>
          <w:szCs w:val="26"/>
        </w:rPr>
        <w:t xml:space="preserve"> </w:t>
      </w:r>
      <w:r w:rsidRPr="00407455">
        <w:rPr>
          <w:rFonts w:ascii="Helvetica" w:hAnsi="Helvetica"/>
          <w:color w:val="111111"/>
          <w:sz w:val="26"/>
          <w:szCs w:val="26"/>
        </w:rPr>
        <w:t>continue</w:t>
      </w:r>
      <w:r w:rsidR="00F374AA">
        <w:rPr>
          <w:rFonts w:ascii="Helvetica" w:hAnsi="Helvetica"/>
          <w:color w:val="111111"/>
          <w:sz w:val="26"/>
          <w:szCs w:val="26"/>
        </w:rPr>
        <w:t>d</w:t>
      </w:r>
      <w:r w:rsidRPr="00407455">
        <w:rPr>
          <w:rFonts w:ascii="Helvetica" w:hAnsi="Helvetica"/>
          <w:color w:val="111111"/>
          <w:sz w:val="26"/>
          <w:szCs w:val="26"/>
        </w:rPr>
        <w:t xml:space="preserve"> to</w:t>
      </w:r>
      <w:r w:rsidR="00F374AA">
        <w:rPr>
          <w:rFonts w:ascii="Helvetica" w:hAnsi="Helvetica"/>
          <w:color w:val="111111"/>
          <w:sz w:val="26"/>
          <w:szCs w:val="26"/>
        </w:rPr>
        <w:t xml:space="preserve"> improve their processes and were</w:t>
      </w:r>
      <w:r w:rsidRPr="00407455">
        <w:rPr>
          <w:rFonts w:ascii="Helvetica" w:hAnsi="Helvetica"/>
          <w:color w:val="111111"/>
          <w:sz w:val="26"/>
          <w:szCs w:val="26"/>
        </w:rPr>
        <w:t xml:space="preserve"> rightfully applying more pressure on</w:t>
      </w:r>
      <w:r>
        <w:rPr>
          <w:rFonts w:ascii="Helvetica" w:hAnsi="Helvetica"/>
          <w:color w:val="111111"/>
          <w:sz w:val="26"/>
          <w:szCs w:val="26"/>
        </w:rPr>
        <w:t xml:space="preserve"> </w:t>
      </w:r>
      <w:r w:rsidRPr="00407455">
        <w:rPr>
          <w:rFonts w:ascii="Helvetica" w:hAnsi="Helvetica"/>
          <w:color w:val="111111"/>
          <w:sz w:val="26"/>
          <w:szCs w:val="26"/>
        </w:rPr>
        <w:t>plan sponsors to lessen the gaps in their census data. Additionally, the ability to share</w:t>
      </w:r>
      <w:r>
        <w:rPr>
          <w:rFonts w:ascii="Helvetica" w:hAnsi="Helvetica"/>
          <w:color w:val="111111"/>
          <w:sz w:val="26"/>
          <w:szCs w:val="26"/>
        </w:rPr>
        <w:t xml:space="preserve"> </w:t>
      </w:r>
      <w:r w:rsidRPr="00407455">
        <w:rPr>
          <w:rFonts w:ascii="Helvetica" w:hAnsi="Helvetica"/>
          <w:color w:val="111111"/>
          <w:sz w:val="26"/>
          <w:szCs w:val="26"/>
        </w:rPr>
        <w:t>historical mortal</w:t>
      </w:r>
      <w:r w:rsidR="00F374AA">
        <w:rPr>
          <w:rFonts w:ascii="Helvetica" w:hAnsi="Helvetica"/>
          <w:color w:val="111111"/>
          <w:sz w:val="26"/>
          <w:szCs w:val="26"/>
        </w:rPr>
        <w:t>ity and demographic trends helped</w:t>
      </w:r>
      <w:r w:rsidRPr="00407455">
        <w:rPr>
          <w:rFonts w:ascii="Helvetica" w:hAnsi="Helvetica"/>
          <w:color w:val="111111"/>
          <w:sz w:val="26"/>
          <w:szCs w:val="26"/>
        </w:rPr>
        <w:t xml:space="preserve"> insurers understand specific plan</w:t>
      </w:r>
      <w:r>
        <w:rPr>
          <w:rFonts w:ascii="Helvetica" w:hAnsi="Helvetica"/>
          <w:color w:val="111111"/>
          <w:sz w:val="26"/>
          <w:szCs w:val="26"/>
        </w:rPr>
        <w:t xml:space="preserve"> </w:t>
      </w:r>
      <w:r w:rsidRPr="00407455">
        <w:rPr>
          <w:rFonts w:ascii="Helvetica" w:hAnsi="Helvetica"/>
          <w:color w:val="111111"/>
          <w:sz w:val="26"/>
          <w:szCs w:val="26"/>
        </w:rPr>
        <w:t>po</w:t>
      </w:r>
      <w:r w:rsidR="00F374AA">
        <w:rPr>
          <w:rFonts w:ascii="Helvetica" w:hAnsi="Helvetica"/>
          <w:color w:val="111111"/>
          <w:sz w:val="26"/>
          <w:szCs w:val="26"/>
        </w:rPr>
        <w:t>pulations and typically improved</w:t>
      </w:r>
      <w:r w:rsidRPr="00407455">
        <w:rPr>
          <w:rFonts w:ascii="Helvetica" w:hAnsi="Helvetica"/>
          <w:color w:val="111111"/>
          <w:sz w:val="26"/>
          <w:szCs w:val="26"/>
        </w:rPr>
        <w:t xml:space="preserve"> pricing.</w:t>
      </w:r>
    </w:p>
    <w:p w14:paraId="75593199" w14:textId="53333452" w:rsidR="006A6AD1" w:rsidRDefault="00407455" w:rsidP="00407455">
      <w:pPr>
        <w:pStyle w:val="NormalWeb"/>
        <w:shd w:val="clear" w:color="auto" w:fill="FFFFFF"/>
        <w:rPr>
          <w:rFonts w:ascii="Helvetica" w:hAnsi="Helvetica"/>
          <w:color w:val="111111"/>
          <w:sz w:val="26"/>
          <w:szCs w:val="26"/>
        </w:rPr>
      </w:pPr>
      <w:r w:rsidRPr="00407455">
        <w:rPr>
          <w:rFonts w:ascii="Helvetica" w:hAnsi="Helvetica"/>
          <w:color w:val="111111"/>
          <w:sz w:val="26"/>
          <w:szCs w:val="26"/>
        </w:rPr>
        <w:t xml:space="preserve">5. Robust fiduciary processes </w:t>
      </w:r>
      <w:r w:rsidR="00F374AA">
        <w:rPr>
          <w:rFonts w:ascii="Helvetica" w:hAnsi="Helvetica"/>
          <w:color w:val="111111"/>
          <w:sz w:val="26"/>
          <w:szCs w:val="26"/>
        </w:rPr>
        <w:t>must exist. While the market had</w:t>
      </w:r>
      <w:r w:rsidRPr="00407455">
        <w:rPr>
          <w:rFonts w:ascii="Helvetica" w:hAnsi="Helvetica"/>
          <w:color w:val="111111"/>
          <w:sz w:val="26"/>
          <w:szCs w:val="26"/>
        </w:rPr>
        <w:t xml:space="preserve"> become more</w:t>
      </w:r>
      <w:r>
        <w:rPr>
          <w:rFonts w:ascii="Helvetica" w:hAnsi="Helvetica"/>
          <w:color w:val="111111"/>
          <w:sz w:val="26"/>
          <w:szCs w:val="26"/>
        </w:rPr>
        <w:t xml:space="preserve"> </w:t>
      </w:r>
      <w:r w:rsidRPr="00407455">
        <w:rPr>
          <w:rFonts w:ascii="Helvetica" w:hAnsi="Helvetica"/>
          <w:color w:val="111111"/>
          <w:sz w:val="26"/>
          <w:szCs w:val="26"/>
        </w:rPr>
        <w:t>mature in the past few years, the need for a comprehensive fiduciary process cannot</w:t>
      </w:r>
      <w:r>
        <w:rPr>
          <w:rFonts w:ascii="Helvetica" w:hAnsi="Helvetica"/>
          <w:color w:val="111111"/>
          <w:sz w:val="26"/>
          <w:szCs w:val="26"/>
        </w:rPr>
        <w:t xml:space="preserve"> </w:t>
      </w:r>
      <w:r w:rsidRPr="00407455">
        <w:rPr>
          <w:rFonts w:ascii="Helvetica" w:hAnsi="Helvetica"/>
          <w:color w:val="111111"/>
          <w:sz w:val="26"/>
          <w:szCs w:val="26"/>
        </w:rPr>
        <w:t xml:space="preserve">be a casualty of that </w:t>
      </w:r>
      <w:r w:rsidR="00F374AA">
        <w:rPr>
          <w:rFonts w:ascii="Helvetica" w:hAnsi="Helvetica"/>
          <w:color w:val="111111"/>
          <w:sz w:val="26"/>
          <w:szCs w:val="26"/>
        </w:rPr>
        <w:t>experience. Each transaction was unique and required</w:t>
      </w:r>
      <w:r w:rsidRPr="00407455">
        <w:rPr>
          <w:rFonts w:ascii="Helvetica" w:hAnsi="Helvetica"/>
          <w:color w:val="111111"/>
          <w:sz w:val="26"/>
          <w:szCs w:val="26"/>
        </w:rPr>
        <w:t xml:space="preserve"> the fiduciary</w:t>
      </w:r>
      <w:r>
        <w:rPr>
          <w:rFonts w:ascii="Helvetica" w:hAnsi="Helvetica"/>
          <w:color w:val="111111"/>
          <w:sz w:val="26"/>
          <w:szCs w:val="26"/>
        </w:rPr>
        <w:t xml:space="preserve"> </w:t>
      </w:r>
      <w:r w:rsidRPr="00407455">
        <w:rPr>
          <w:rFonts w:ascii="Helvetica" w:hAnsi="Helvetica"/>
          <w:color w:val="111111"/>
          <w:sz w:val="26"/>
          <w:szCs w:val="26"/>
        </w:rPr>
        <w:t>to ensure that it is protecting all pension participants during a proposed transaction.</w:t>
      </w:r>
    </w:p>
    <w:p w14:paraId="733BD10E" w14:textId="77777777" w:rsidR="00F374AA" w:rsidRPr="00312CC5" w:rsidRDefault="00F374AA" w:rsidP="006F5C26">
      <w:pPr>
        <w:pStyle w:val="NormalWeb"/>
        <w:shd w:val="clear" w:color="auto" w:fill="FFFFFF"/>
        <w:spacing w:before="0" w:beforeAutospacing="0" w:after="225" w:afterAutospacing="0"/>
        <w:rPr>
          <w:rFonts w:ascii="Helvetica" w:hAnsi="Helvetica"/>
          <w:color w:val="333333"/>
          <w:sz w:val="26"/>
          <w:szCs w:val="26"/>
        </w:rPr>
      </w:pPr>
      <w:r w:rsidRPr="00312CC5">
        <w:rPr>
          <w:rStyle w:val="Strong"/>
          <w:rFonts w:ascii="Helvetica" w:hAnsi="Helvetica"/>
          <w:color w:val="333333"/>
          <w:sz w:val="26"/>
          <w:szCs w:val="26"/>
        </w:rPr>
        <w:t>How We Did Last Year</w:t>
      </w:r>
    </w:p>
    <w:p w14:paraId="58CFFDAC" w14:textId="71A48787" w:rsidR="00F374AA" w:rsidRPr="00312CC5" w:rsidRDefault="00F374AA" w:rsidP="006F5C26">
      <w:pPr>
        <w:pStyle w:val="NormalWeb"/>
        <w:shd w:val="clear" w:color="auto" w:fill="FFFFFF"/>
        <w:spacing w:before="0" w:beforeAutospacing="0" w:after="225" w:afterAutospacing="0"/>
        <w:rPr>
          <w:rFonts w:ascii="Helvetica" w:hAnsi="Helvetica"/>
          <w:color w:val="111111"/>
          <w:sz w:val="26"/>
          <w:szCs w:val="26"/>
        </w:rPr>
      </w:pPr>
      <w:r w:rsidRPr="00312CC5">
        <w:rPr>
          <w:rFonts w:ascii="Helvetica" w:hAnsi="Helvetica"/>
          <w:color w:val="111111"/>
          <w:sz w:val="26"/>
          <w:szCs w:val="26"/>
        </w:rPr>
        <w:t>Here are the questions we came up wi</w:t>
      </w:r>
      <w:r w:rsidR="006F5C26" w:rsidRPr="00312CC5">
        <w:rPr>
          <w:rFonts w:ascii="Helvetica" w:hAnsi="Helvetica"/>
          <w:color w:val="111111"/>
          <w:sz w:val="26"/>
          <w:szCs w:val="26"/>
        </w:rPr>
        <w:t xml:space="preserve">th a year ago, and how we think </w:t>
      </w:r>
      <w:r w:rsidRPr="00312CC5">
        <w:rPr>
          <w:rFonts w:ascii="Helvetica" w:hAnsi="Helvetica"/>
          <w:color w:val="111111"/>
          <w:sz w:val="26"/>
          <w:szCs w:val="26"/>
        </w:rPr>
        <w:t>those questions look now.</w:t>
      </w:r>
    </w:p>
    <w:p w14:paraId="3E43856D" w14:textId="77777777" w:rsidR="00F374AA" w:rsidRPr="00312CC5" w:rsidRDefault="00F374AA" w:rsidP="006F5C26">
      <w:pPr>
        <w:pStyle w:val="NormalWeb"/>
        <w:shd w:val="clear" w:color="auto" w:fill="FFFFFF"/>
        <w:spacing w:before="0" w:beforeAutospacing="0" w:after="225" w:afterAutospacing="0"/>
        <w:rPr>
          <w:rFonts w:ascii="Helvetica" w:hAnsi="Helvetica"/>
          <w:color w:val="333333"/>
          <w:sz w:val="26"/>
          <w:szCs w:val="26"/>
        </w:rPr>
      </w:pPr>
      <w:r w:rsidRPr="00312CC5">
        <w:rPr>
          <w:rStyle w:val="Strong"/>
          <w:rFonts w:ascii="Helvetica" w:hAnsi="Helvetica"/>
          <w:color w:val="333333"/>
          <w:sz w:val="26"/>
          <w:szCs w:val="26"/>
        </w:rPr>
        <w:t xml:space="preserve">1. How will </w:t>
      </w:r>
      <w:proofErr w:type="gramStart"/>
      <w:r w:rsidRPr="00312CC5">
        <w:rPr>
          <w:rStyle w:val="Strong"/>
          <w:rFonts w:ascii="Helvetica" w:hAnsi="Helvetica"/>
          <w:color w:val="333333"/>
          <w:sz w:val="26"/>
          <w:szCs w:val="26"/>
        </w:rPr>
        <w:t>annuity crediting</w:t>
      </w:r>
      <w:proofErr w:type="gramEnd"/>
      <w:r w:rsidRPr="00312CC5">
        <w:rPr>
          <w:rStyle w:val="Strong"/>
          <w:rFonts w:ascii="Helvetica" w:hAnsi="Helvetica"/>
          <w:color w:val="333333"/>
          <w:sz w:val="26"/>
          <w:szCs w:val="26"/>
        </w:rPr>
        <w:t xml:space="preserve"> rates compare with bank certificate of deposit (CD) rates?</w:t>
      </w:r>
    </w:p>
    <w:p w14:paraId="3F628D8D" w14:textId="77777777" w:rsidR="00F374AA" w:rsidRPr="00312CC5" w:rsidRDefault="00F374AA" w:rsidP="006F5C26">
      <w:pPr>
        <w:pStyle w:val="NormalWeb"/>
        <w:shd w:val="clear" w:color="auto" w:fill="FFFFFF"/>
        <w:spacing w:before="0" w:beforeAutospacing="0" w:after="225" w:afterAutospacing="0"/>
        <w:rPr>
          <w:rFonts w:ascii="Helvetica" w:hAnsi="Helvetica"/>
          <w:color w:val="333333"/>
          <w:sz w:val="26"/>
          <w:szCs w:val="26"/>
        </w:rPr>
      </w:pPr>
      <w:r w:rsidRPr="00312CC5">
        <w:rPr>
          <w:rFonts w:ascii="Helvetica" w:hAnsi="Helvetica"/>
          <w:color w:val="333333"/>
          <w:sz w:val="26"/>
          <w:szCs w:val="26"/>
        </w:rPr>
        <w:lastRenderedPageBreak/>
        <w:t>The annuity data streams we’re seeing these days don’t give us a clear picture of what’s happening with the spread between fixed annuity rates and bank CD rates.</w:t>
      </w:r>
    </w:p>
    <w:p w14:paraId="38B077AE" w14:textId="77777777" w:rsidR="00F374AA" w:rsidRPr="00312CC5" w:rsidRDefault="00F374AA" w:rsidP="006F5C26">
      <w:pPr>
        <w:pStyle w:val="NormalWeb"/>
        <w:shd w:val="clear" w:color="auto" w:fill="FFFFFF"/>
        <w:spacing w:before="0" w:beforeAutospacing="0" w:after="225" w:afterAutospacing="0"/>
        <w:rPr>
          <w:rStyle w:val="Strong"/>
          <w:sz w:val="26"/>
          <w:szCs w:val="26"/>
        </w:rPr>
      </w:pPr>
      <w:r w:rsidRPr="00312CC5">
        <w:rPr>
          <w:rStyle w:val="Strong"/>
          <w:rFonts w:ascii="Helvetica" w:hAnsi="Helvetica"/>
          <w:color w:val="333333"/>
          <w:sz w:val="26"/>
          <w:szCs w:val="26"/>
        </w:rPr>
        <w:t>2. Will anyone buy, or sell, the new fee-based annuity contracts?</w:t>
      </w:r>
    </w:p>
    <w:p w14:paraId="64EC1145" w14:textId="77777777" w:rsidR="00F374AA" w:rsidRPr="00312CC5" w:rsidRDefault="00F374AA" w:rsidP="006F5C26">
      <w:pPr>
        <w:pStyle w:val="NormalWeb"/>
        <w:shd w:val="clear" w:color="auto" w:fill="FFFFFF"/>
        <w:spacing w:before="0" w:beforeAutospacing="0" w:after="225" w:afterAutospacing="0"/>
        <w:rPr>
          <w:rFonts w:ascii="Helvetica" w:hAnsi="Helvetica"/>
          <w:color w:val="333333"/>
          <w:sz w:val="26"/>
          <w:szCs w:val="26"/>
        </w:rPr>
      </w:pPr>
      <w:r w:rsidRPr="00312CC5">
        <w:rPr>
          <w:rFonts w:ascii="Helvetica" w:hAnsi="Helvetica"/>
          <w:color w:val="333333"/>
          <w:sz w:val="26"/>
          <w:szCs w:val="26"/>
        </w:rPr>
        <w:t>Yes: LIMRA reported in November that, in the third quarter, sales of fee-based variable annuity sales were 43% higher than in the third quarter of November 2017.</w:t>
      </w:r>
    </w:p>
    <w:p w14:paraId="1BE6D952" w14:textId="77777777" w:rsidR="00F374AA" w:rsidRPr="00312CC5" w:rsidRDefault="00F374AA" w:rsidP="006F5C26">
      <w:pPr>
        <w:pStyle w:val="NormalWeb"/>
        <w:shd w:val="clear" w:color="auto" w:fill="FFFFFF"/>
        <w:spacing w:before="0" w:beforeAutospacing="0" w:after="225" w:afterAutospacing="0"/>
        <w:rPr>
          <w:rFonts w:ascii="Helvetica" w:hAnsi="Helvetica"/>
          <w:color w:val="333333"/>
          <w:sz w:val="26"/>
          <w:szCs w:val="26"/>
        </w:rPr>
      </w:pPr>
      <w:r w:rsidRPr="00312CC5">
        <w:rPr>
          <w:rStyle w:val="Strong"/>
          <w:rFonts w:ascii="Helvetica" w:hAnsi="Helvetica"/>
          <w:color w:val="333333"/>
          <w:sz w:val="26"/>
          <w:szCs w:val="26"/>
        </w:rPr>
        <w:t>3. How well can issuers buy their way out of benefits obligations guaranteed when interest rates were much higher?</w:t>
      </w:r>
    </w:p>
    <w:p w14:paraId="022BEE38" w14:textId="77777777" w:rsidR="00F374AA" w:rsidRPr="00312CC5" w:rsidRDefault="00F374AA" w:rsidP="006F5C26">
      <w:pPr>
        <w:pStyle w:val="NormalWeb"/>
        <w:shd w:val="clear" w:color="auto" w:fill="FFFFFF"/>
        <w:spacing w:before="0" w:beforeAutospacing="0" w:after="225" w:afterAutospacing="0"/>
        <w:rPr>
          <w:rFonts w:ascii="Helvetica" w:hAnsi="Helvetica"/>
          <w:color w:val="333333"/>
          <w:sz w:val="26"/>
          <w:szCs w:val="26"/>
        </w:rPr>
      </w:pPr>
      <w:r w:rsidRPr="00312CC5">
        <w:rPr>
          <w:rFonts w:ascii="Helvetica" w:hAnsi="Helvetica"/>
          <w:color w:val="333333"/>
          <w:sz w:val="26"/>
          <w:szCs w:val="26"/>
        </w:rPr>
        <w:t>The list of companies that have offered to buy back variable annuity guarantees in the past year includes AXA Equitable and Ohio National. Details about the percentage of annuity holders who take up guarantee buyback offers have been scarce.</w:t>
      </w:r>
    </w:p>
    <w:p w14:paraId="45CD217C" w14:textId="77777777" w:rsidR="00F374AA" w:rsidRPr="00312CC5" w:rsidRDefault="00F374AA" w:rsidP="006F5C26">
      <w:pPr>
        <w:pStyle w:val="NormalWeb"/>
        <w:shd w:val="clear" w:color="auto" w:fill="FFFFFF"/>
        <w:spacing w:before="0" w:beforeAutospacing="0" w:after="225" w:afterAutospacing="0"/>
        <w:rPr>
          <w:rFonts w:ascii="Helvetica" w:hAnsi="Helvetica"/>
          <w:color w:val="333333"/>
          <w:sz w:val="26"/>
          <w:szCs w:val="26"/>
        </w:rPr>
      </w:pPr>
      <w:r w:rsidRPr="00312CC5">
        <w:rPr>
          <w:rStyle w:val="Strong"/>
          <w:rFonts w:ascii="Helvetica" w:hAnsi="Helvetica"/>
          <w:color w:val="333333"/>
          <w:sz w:val="26"/>
          <w:szCs w:val="26"/>
        </w:rPr>
        <w:t>4. Will the aging of the boomers increase society’s overall awareness of annuities?</w:t>
      </w:r>
    </w:p>
    <w:p w14:paraId="698A6990" w14:textId="77777777" w:rsidR="00F374AA" w:rsidRPr="00312CC5" w:rsidRDefault="00F374AA" w:rsidP="006F5C26">
      <w:pPr>
        <w:pStyle w:val="NormalWeb"/>
        <w:shd w:val="clear" w:color="auto" w:fill="FFFFFF"/>
        <w:spacing w:before="0" w:beforeAutospacing="0" w:after="225" w:afterAutospacing="0"/>
        <w:rPr>
          <w:rFonts w:ascii="Helvetica" w:hAnsi="Helvetica"/>
          <w:color w:val="333333"/>
          <w:sz w:val="26"/>
          <w:szCs w:val="26"/>
        </w:rPr>
      </w:pPr>
      <w:proofErr w:type="gramStart"/>
      <w:r w:rsidRPr="00312CC5">
        <w:rPr>
          <w:rFonts w:ascii="Helvetica" w:hAnsi="Helvetica"/>
          <w:color w:val="333333"/>
          <w:sz w:val="26"/>
          <w:szCs w:val="26"/>
        </w:rPr>
        <w:t>At this point, probably not.</w:t>
      </w:r>
      <w:proofErr w:type="gramEnd"/>
    </w:p>
    <w:p w14:paraId="7800067E" w14:textId="77777777" w:rsidR="00F374AA" w:rsidRPr="00312CC5" w:rsidRDefault="00F374AA" w:rsidP="006F5C26">
      <w:pPr>
        <w:pStyle w:val="NormalWeb"/>
        <w:shd w:val="clear" w:color="auto" w:fill="FFFFFF"/>
        <w:spacing w:before="0" w:beforeAutospacing="0" w:after="225" w:afterAutospacing="0"/>
        <w:rPr>
          <w:rFonts w:ascii="Helvetica" w:hAnsi="Helvetica"/>
          <w:color w:val="333333"/>
          <w:sz w:val="26"/>
          <w:szCs w:val="26"/>
        </w:rPr>
      </w:pPr>
      <w:r w:rsidRPr="00312CC5">
        <w:rPr>
          <w:rStyle w:val="Strong"/>
          <w:rFonts w:ascii="Helvetica" w:hAnsi="Helvetica"/>
          <w:color w:val="333333"/>
          <w:sz w:val="26"/>
          <w:szCs w:val="26"/>
        </w:rPr>
        <w:t>5. Just how dead is the U.S. Department of Labor’s fiduciary rule?</w:t>
      </w:r>
    </w:p>
    <w:p w14:paraId="0D9A4AFF" w14:textId="6561D98C" w:rsidR="00F374AA" w:rsidRPr="00312CC5" w:rsidRDefault="00F374AA" w:rsidP="006F5C26">
      <w:pPr>
        <w:pStyle w:val="NormalWeb"/>
        <w:shd w:val="clear" w:color="auto" w:fill="FFFFFF"/>
        <w:spacing w:before="0" w:beforeAutospacing="0" w:after="225" w:afterAutospacing="0"/>
        <w:rPr>
          <w:rFonts w:ascii="Helvetica" w:hAnsi="Helvetica"/>
          <w:color w:val="333333"/>
          <w:sz w:val="26"/>
          <w:szCs w:val="26"/>
        </w:rPr>
      </w:pPr>
      <w:proofErr w:type="gramStart"/>
      <w:r w:rsidRPr="00312CC5">
        <w:rPr>
          <w:rFonts w:ascii="Helvetica" w:hAnsi="Helvetica"/>
          <w:color w:val="333333"/>
          <w:sz w:val="26"/>
          <w:szCs w:val="26"/>
        </w:rPr>
        <w:t>Apparently, undead.</w:t>
      </w:r>
      <w:proofErr w:type="gramEnd"/>
    </w:p>
    <w:p w14:paraId="42B28934" w14:textId="1AA1EE65" w:rsidR="00F374AA" w:rsidRPr="00F374AA" w:rsidRDefault="00F374AA" w:rsidP="00407455">
      <w:pPr>
        <w:pStyle w:val="NormalWeb"/>
        <w:shd w:val="clear" w:color="auto" w:fill="FFFFFF"/>
        <w:rPr>
          <w:rFonts w:asciiTheme="minorHAnsi" w:hAnsiTheme="minorHAnsi" w:cstheme="minorBidi"/>
          <w:b/>
          <w:sz w:val="32"/>
          <w:szCs w:val="32"/>
          <w:lang w:eastAsia="zh-CN"/>
        </w:rPr>
      </w:pPr>
      <w:r>
        <w:rPr>
          <w:rFonts w:asciiTheme="minorHAnsi" w:hAnsiTheme="minorHAnsi" w:cstheme="minorBidi"/>
          <w:b/>
          <w:sz w:val="32"/>
          <w:szCs w:val="32"/>
          <w:lang w:eastAsia="zh-CN"/>
        </w:rPr>
        <w:t>Looking Ahead on 2019</w:t>
      </w:r>
    </w:p>
    <w:p w14:paraId="4C6E4F6F" w14:textId="77777777" w:rsidR="00F374AA" w:rsidRPr="00312CC5" w:rsidRDefault="00F374AA" w:rsidP="00F374AA">
      <w:pPr>
        <w:pStyle w:val="NormalWeb"/>
        <w:shd w:val="clear" w:color="auto" w:fill="FFFFFF"/>
        <w:spacing w:before="0" w:beforeAutospacing="0" w:after="225" w:afterAutospacing="0" w:line="450" w:lineRule="atLeast"/>
        <w:rPr>
          <w:rFonts w:ascii="Helvetica" w:hAnsi="Helvetica"/>
          <w:color w:val="333333"/>
          <w:sz w:val="26"/>
          <w:szCs w:val="26"/>
        </w:rPr>
      </w:pPr>
      <w:r w:rsidRPr="00312CC5">
        <w:rPr>
          <w:rStyle w:val="Strong"/>
          <w:rFonts w:ascii="Helvetica" w:hAnsi="Helvetica"/>
          <w:color w:val="333333"/>
          <w:sz w:val="26"/>
          <w:szCs w:val="26"/>
        </w:rPr>
        <w:t>1. Will volatility change how consumers see annuity product guarantees?</w:t>
      </w:r>
    </w:p>
    <w:p w14:paraId="3EEA28CB" w14:textId="77777777" w:rsidR="00F374AA" w:rsidRPr="00312CC5" w:rsidRDefault="00F374AA" w:rsidP="006F5C26">
      <w:pPr>
        <w:pStyle w:val="NormalWeb"/>
        <w:shd w:val="clear" w:color="auto" w:fill="FFFFFF"/>
        <w:spacing w:before="0" w:beforeAutospacing="0" w:after="225" w:afterAutospacing="0"/>
        <w:rPr>
          <w:rFonts w:ascii="Helvetica" w:hAnsi="Helvetica"/>
          <w:color w:val="111111"/>
          <w:sz w:val="26"/>
          <w:szCs w:val="26"/>
        </w:rPr>
      </w:pPr>
      <w:r w:rsidRPr="00312CC5">
        <w:rPr>
          <w:rFonts w:ascii="Helvetica" w:hAnsi="Helvetica"/>
          <w:color w:val="111111"/>
          <w:sz w:val="26"/>
          <w:szCs w:val="26"/>
        </w:rPr>
        <w:t>Issuers of variable annuity contracts often talk about the income and withdrawal guarantees available with the products.</w:t>
      </w:r>
    </w:p>
    <w:p w14:paraId="382BDAEC" w14:textId="77777777" w:rsidR="00F374AA" w:rsidRPr="00312CC5" w:rsidRDefault="00F374AA" w:rsidP="006F5C26">
      <w:pPr>
        <w:pStyle w:val="NormalWeb"/>
        <w:shd w:val="clear" w:color="auto" w:fill="FFFFFF"/>
        <w:spacing w:before="0" w:beforeAutospacing="0" w:after="225" w:afterAutospacing="0"/>
        <w:rPr>
          <w:rFonts w:ascii="Helvetica" w:hAnsi="Helvetica"/>
          <w:color w:val="111111"/>
          <w:sz w:val="26"/>
          <w:szCs w:val="26"/>
        </w:rPr>
      </w:pPr>
      <w:r w:rsidRPr="00312CC5">
        <w:rPr>
          <w:rFonts w:ascii="Helvetica" w:hAnsi="Helvetica"/>
          <w:color w:val="111111"/>
          <w:sz w:val="26"/>
          <w:szCs w:val="26"/>
        </w:rPr>
        <w:t xml:space="preserve">But analysts at </w:t>
      </w:r>
      <w:proofErr w:type="spellStart"/>
      <w:r w:rsidRPr="00312CC5">
        <w:rPr>
          <w:rFonts w:ascii="Helvetica" w:hAnsi="Helvetica"/>
          <w:color w:val="111111"/>
          <w:sz w:val="26"/>
          <w:szCs w:val="26"/>
        </w:rPr>
        <w:t>Cerulli</w:t>
      </w:r>
      <w:proofErr w:type="spellEnd"/>
      <w:r w:rsidRPr="00312CC5">
        <w:rPr>
          <w:rFonts w:ascii="Helvetica" w:hAnsi="Helvetica"/>
          <w:color w:val="111111"/>
          <w:sz w:val="26"/>
          <w:szCs w:val="26"/>
        </w:rPr>
        <w:t xml:space="preserve"> Associates suggest in a 2019 annuity market review that indexed annuity guarantees still tend to be better than the optional guarantees available with variable annuities.</w:t>
      </w:r>
    </w:p>
    <w:p w14:paraId="6FB389E3" w14:textId="55BDB49C" w:rsidR="00E23BC0" w:rsidRPr="00312CC5" w:rsidRDefault="00F374AA" w:rsidP="006F5C26">
      <w:pPr>
        <w:pStyle w:val="NormalWeb"/>
        <w:shd w:val="clear" w:color="auto" w:fill="FFFFFF"/>
        <w:spacing w:before="0" w:beforeAutospacing="0" w:after="225" w:afterAutospacing="0"/>
        <w:rPr>
          <w:rFonts w:ascii="Helvetica" w:hAnsi="Helvetica"/>
          <w:color w:val="111111"/>
          <w:sz w:val="26"/>
          <w:szCs w:val="26"/>
        </w:rPr>
      </w:pPr>
      <w:r w:rsidRPr="00312CC5">
        <w:rPr>
          <w:rFonts w:ascii="Helvetica" w:hAnsi="Helvetica"/>
          <w:color w:val="111111"/>
          <w:sz w:val="26"/>
          <w:szCs w:val="26"/>
        </w:rPr>
        <w:t xml:space="preserve">“Although a few carriers have increased the attractiveness of their optional guarantees, </w:t>
      </w:r>
      <w:proofErr w:type="spellStart"/>
      <w:r w:rsidRPr="00312CC5">
        <w:rPr>
          <w:rFonts w:ascii="Helvetica" w:hAnsi="Helvetica"/>
          <w:color w:val="111111"/>
          <w:sz w:val="26"/>
          <w:szCs w:val="26"/>
        </w:rPr>
        <w:t>Cerulli</w:t>
      </w:r>
      <w:proofErr w:type="spellEnd"/>
      <w:r w:rsidRPr="00312CC5">
        <w:rPr>
          <w:rFonts w:ascii="Helvetica" w:hAnsi="Helvetica"/>
          <w:color w:val="111111"/>
          <w:sz w:val="26"/>
          <w:szCs w:val="26"/>
        </w:rPr>
        <w:t xml:space="preserve"> does not see the sales trend reversing unless a greater of VAs follow,’ Donnie </w:t>
      </w:r>
      <w:proofErr w:type="spellStart"/>
      <w:r w:rsidRPr="00312CC5">
        <w:rPr>
          <w:rFonts w:ascii="Helvetica" w:hAnsi="Helvetica"/>
          <w:color w:val="111111"/>
          <w:sz w:val="26"/>
          <w:szCs w:val="26"/>
        </w:rPr>
        <w:t>Ethier</w:t>
      </w:r>
      <w:proofErr w:type="spellEnd"/>
      <w:r w:rsidRPr="00312CC5">
        <w:rPr>
          <w:rFonts w:ascii="Helvetica" w:hAnsi="Helvetica"/>
          <w:color w:val="111111"/>
          <w:sz w:val="26"/>
          <w:szCs w:val="26"/>
        </w:rPr>
        <w:t xml:space="preserve">, a </w:t>
      </w:r>
      <w:proofErr w:type="spellStart"/>
      <w:r w:rsidRPr="00312CC5">
        <w:rPr>
          <w:rFonts w:ascii="Helvetica" w:hAnsi="Helvetica"/>
          <w:color w:val="111111"/>
          <w:sz w:val="26"/>
          <w:szCs w:val="26"/>
        </w:rPr>
        <w:t>Cerulli</w:t>
      </w:r>
      <w:proofErr w:type="spellEnd"/>
      <w:r w:rsidRPr="00312CC5">
        <w:rPr>
          <w:rFonts w:ascii="Helvetica" w:hAnsi="Helvetica"/>
          <w:color w:val="111111"/>
          <w:sz w:val="26"/>
          <w:szCs w:val="26"/>
        </w:rPr>
        <w:t xml:space="preserve"> director, says in a summary of the market review.</w:t>
      </w:r>
    </w:p>
    <w:p w14:paraId="44E0562F" w14:textId="77777777" w:rsidR="00F374AA" w:rsidRPr="00312CC5" w:rsidRDefault="00F374AA" w:rsidP="006F5C26">
      <w:pPr>
        <w:pStyle w:val="NormalWeb"/>
        <w:shd w:val="clear" w:color="auto" w:fill="FFFFFF"/>
        <w:spacing w:before="0" w:beforeAutospacing="0" w:after="225" w:afterAutospacing="0"/>
        <w:rPr>
          <w:rFonts w:ascii="Helvetica" w:hAnsi="Helvetica"/>
          <w:color w:val="333333"/>
          <w:sz w:val="26"/>
          <w:szCs w:val="26"/>
        </w:rPr>
      </w:pPr>
      <w:r w:rsidRPr="00312CC5">
        <w:rPr>
          <w:rStyle w:val="Strong"/>
          <w:rFonts w:ascii="Helvetica" w:hAnsi="Helvetica"/>
          <w:color w:val="333333"/>
          <w:sz w:val="26"/>
          <w:szCs w:val="26"/>
        </w:rPr>
        <w:lastRenderedPageBreak/>
        <w:t>2. How exactly are life insurers supporting their annuity guarantees?</w:t>
      </w:r>
    </w:p>
    <w:p w14:paraId="6D57339F" w14:textId="77777777" w:rsidR="00F374AA" w:rsidRPr="00312CC5" w:rsidRDefault="00F374AA" w:rsidP="006F5C26">
      <w:pPr>
        <w:pStyle w:val="NormalWeb"/>
        <w:shd w:val="clear" w:color="auto" w:fill="FFFFFF"/>
        <w:spacing w:before="0" w:beforeAutospacing="0" w:after="225" w:afterAutospacing="0"/>
        <w:rPr>
          <w:rFonts w:ascii="Helvetica" w:hAnsi="Helvetica"/>
          <w:color w:val="111111"/>
          <w:sz w:val="26"/>
          <w:szCs w:val="26"/>
        </w:rPr>
      </w:pPr>
      <w:r w:rsidRPr="00312CC5">
        <w:rPr>
          <w:rFonts w:ascii="Helvetica" w:hAnsi="Helvetica"/>
          <w:color w:val="111111"/>
          <w:sz w:val="26"/>
          <w:szCs w:val="26"/>
        </w:rPr>
        <w:t>A new volatility stress test could lead to greater clarity about how life insurers’ derivatives arrangements work.</w:t>
      </w:r>
    </w:p>
    <w:p w14:paraId="45643FD7" w14:textId="77777777" w:rsidR="00F374AA" w:rsidRPr="00312CC5" w:rsidRDefault="00F374AA" w:rsidP="006F5C26">
      <w:pPr>
        <w:pStyle w:val="NormalWeb"/>
        <w:shd w:val="clear" w:color="auto" w:fill="FFFFFF"/>
        <w:spacing w:before="0" w:beforeAutospacing="0" w:after="225" w:afterAutospacing="0"/>
        <w:rPr>
          <w:rFonts w:ascii="Helvetica" w:hAnsi="Helvetica"/>
          <w:color w:val="333333"/>
          <w:sz w:val="26"/>
          <w:szCs w:val="26"/>
        </w:rPr>
      </w:pPr>
      <w:r w:rsidRPr="00312CC5">
        <w:rPr>
          <w:rStyle w:val="Strong"/>
          <w:rFonts w:ascii="Helvetica" w:hAnsi="Helvetica"/>
          <w:color w:val="333333"/>
          <w:sz w:val="26"/>
          <w:szCs w:val="26"/>
        </w:rPr>
        <w:t>3. Will financial professionals with roots outside the life insurance sector ever warm up to guarantees? </w:t>
      </w:r>
    </w:p>
    <w:p w14:paraId="2A827742" w14:textId="795485C2" w:rsidR="00F374AA" w:rsidRPr="00312CC5" w:rsidRDefault="00F374AA" w:rsidP="006F5C26">
      <w:pPr>
        <w:pStyle w:val="NormalWeb"/>
        <w:shd w:val="clear" w:color="auto" w:fill="FFFFFF"/>
        <w:spacing w:before="0" w:beforeAutospacing="0" w:after="225" w:afterAutospacing="0"/>
        <w:rPr>
          <w:rFonts w:ascii="Helvetica" w:hAnsi="Helvetica"/>
          <w:color w:val="111111"/>
          <w:sz w:val="26"/>
          <w:szCs w:val="26"/>
        </w:rPr>
      </w:pPr>
      <w:r w:rsidRPr="00312CC5">
        <w:rPr>
          <w:rFonts w:ascii="Helvetica" w:hAnsi="Helvetica"/>
          <w:color w:val="111111"/>
          <w:sz w:val="26"/>
          <w:szCs w:val="26"/>
        </w:rPr>
        <w:t>Maybe not, but there’s nothing like a sharp drop in stock prices to get people to wondering if a well-diversified portfolio is the only protection consumers need against market volatility.</w:t>
      </w:r>
    </w:p>
    <w:p w14:paraId="6A25FAE9" w14:textId="77777777" w:rsidR="00F374AA" w:rsidRPr="00312CC5" w:rsidRDefault="00F374AA" w:rsidP="006F5C26">
      <w:pPr>
        <w:pStyle w:val="NormalWeb"/>
        <w:shd w:val="clear" w:color="auto" w:fill="FFFFFF"/>
        <w:spacing w:before="0" w:beforeAutospacing="0" w:after="225" w:afterAutospacing="0"/>
        <w:rPr>
          <w:rFonts w:ascii="Helvetica" w:hAnsi="Helvetica"/>
          <w:color w:val="333333"/>
          <w:sz w:val="26"/>
          <w:szCs w:val="26"/>
        </w:rPr>
      </w:pPr>
      <w:r w:rsidRPr="00312CC5">
        <w:rPr>
          <w:rStyle w:val="Strong"/>
          <w:rFonts w:ascii="Helvetica" w:hAnsi="Helvetica"/>
          <w:color w:val="333333"/>
          <w:sz w:val="26"/>
          <w:szCs w:val="26"/>
        </w:rPr>
        <w:t>4. How well will the new, proprietary investment indexes available in some indexed annuity products work in a year of increased investment market volatility?</w:t>
      </w:r>
    </w:p>
    <w:p w14:paraId="4E17B7FA" w14:textId="77777777" w:rsidR="00F374AA" w:rsidRPr="00312CC5" w:rsidRDefault="00F374AA" w:rsidP="006F5C26">
      <w:pPr>
        <w:pStyle w:val="NormalWeb"/>
        <w:shd w:val="clear" w:color="auto" w:fill="FFFFFF"/>
        <w:spacing w:before="0" w:beforeAutospacing="0" w:after="225" w:afterAutospacing="0"/>
        <w:rPr>
          <w:rFonts w:ascii="Helvetica" w:hAnsi="Helvetica"/>
          <w:color w:val="111111"/>
          <w:sz w:val="26"/>
          <w:szCs w:val="26"/>
        </w:rPr>
      </w:pPr>
      <w:r w:rsidRPr="00312CC5">
        <w:rPr>
          <w:rFonts w:ascii="Helvetica" w:hAnsi="Helvetica"/>
          <w:color w:val="111111"/>
          <w:sz w:val="26"/>
          <w:szCs w:val="26"/>
        </w:rPr>
        <w:t>It’s possible that the performance of the derivatives arrangements supporting older, plain vanilla indexes will be different from the performance of the arrangements supporting the newer indexes.</w:t>
      </w:r>
    </w:p>
    <w:p w14:paraId="7EF9CAE8" w14:textId="77777777" w:rsidR="00F374AA" w:rsidRPr="00312CC5" w:rsidRDefault="00F374AA" w:rsidP="006F5C26">
      <w:pPr>
        <w:pStyle w:val="NormalWeb"/>
        <w:shd w:val="clear" w:color="auto" w:fill="FFFFFF"/>
        <w:spacing w:before="0" w:beforeAutospacing="0" w:after="225" w:afterAutospacing="0"/>
        <w:rPr>
          <w:rFonts w:ascii="Helvetica" w:hAnsi="Helvetica"/>
          <w:color w:val="333333"/>
          <w:sz w:val="26"/>
          <w:szCs w:val="26"/>
        </w:rPr>
      </w:pPr>
      <w:r w:rsidRPr="00312CC5">
        <w:rPr>
          <w:rStyle w:val="Strong"/>
          <w:rFonts w:ascii="Helvetica" w:hAnsi="Helvetica"/>
          <w:color w:val="333333"/>
          <w:sz w:val="26"/>
          <w:szCs w:val="26"/>
        </w:rPr>
        <w:t>5. Will interest rates continue to increase, and, if so, will that change the relative appeal of annuities when compared with bonds?</w:t>
      </w:r>
    </w:p>
    <w:p w14:paraId="4FEA255C" w14:textId="77777777" w:rsidR="00F374AA" w:rsidRPr="00312CC5" w:rsidRDefault="00F374AA" w:rsidP="006F5C26">
      <w:pPr>
        <w:pStyle w:val="NormalWeb"/>
        <w:shd w:val="clear" w:color="auto" w:fill="FFFFFF"/>
        <w:spacing w:before="0" w:beforeAutospacing="0" w:after="225" w:afterAutospacing="0"/>
        <w:rPr>
          <w:rFonts w:ascii="Helvetica" w:hAnsi="Helvetica"/>
          <w:color w:val="111111"/>
          <w:sz w:val="26"/>
          <w:szCs w:val="26"/>
        </w:rPr>
      </w:pPr>
      <w:r w:rsidRPr="00312CC5">
        <w:rPr>
          <w:rFonts w:ascii="Helvetica" w:hAnsi="Helvetica"/>
          <w:color w:val="111111"/>
          <w:sz w:val="26"/>
          <w:szCs w:val="26"/>
        </w:rPr>
        <w:t>Eric Henderson, a senior vice president at Nationwide, says in his company’s 2019 outlook commentary that higher rates will increase guaranteed crediting rates on annuities.</w:t>
      </w:r>
    </w:p>
    <w:p w14:paraId="64A816A8" w14:textId="77777777" w:rsidR="00F374AA" w:rsidRPr="00312CC5" w:rsidRDefault="00F374AA" w:rsidP="006F5C26">
      <w:pPr>
        <w:pStyle w:val="NormalWeb"/>
        <w:shd w:val="clear" w:color="auto" w:fill="FFFFFF"/>
        <w:spacing w:before="0" w:beforeAutospacing="0" w:after="225" w:afterAutospacing="0"/>
        <w:rPr>
          <w:rFonts w:ascii="Helvetica" w:hAnsi="Helvetica"/>
          <w:color w:val="111111"/>
          <w:sz w:val="26"/>
          <w:szCs w:val="26"/>
        </w:rPr>
      </w:pPr>
      <w:r w:rsidRPr="00312CC5">
        <w:rPr>
          <w:rFonts w:ascii="Helvetica" w:hAnsi="Helvetica"/>
          <w:color w:val="111111"/>
          <w:sz w:val="26"/>
          <w:szCs w:val="26"/>
        </w:rPr>
        <w:t>Higher rates “will also increase the potential downside risk of bonds,” Henderson says.</w:t>
      </w:r>
    </w:p>
    <w:p w14:paraId="1F7A1BE0" w14:textId="77777777" w:rsidR="00F374AA" w:rsidRPr="00312CC5" w:rsidRDefault="00F374AA" w:rsidP="006F5C26">
      <w:pPr>
        <w:pStyle w:val="NormalWeb"/>
        <w:shd w:val="clear" w:color="auto" w:fill="FFFFFF"/>
        <w:spacing w:before="0" w:beforeAutospacing="0" w:after="225" w:afterAutospacing="0"/>
        <w:rPr>
          <w:rFonts w:ascii="Helvetica" w:hAnsi="Helvetica"/>
          <w:color w:val="111111"/>
          <w:sz w:val="26"/>
          <w:szCs w:val="26"/>
        </w:rPr>
      </w:pPr>
      <w:r w:rsidRPr="00312CC5">
        <w:rPr>
          <w:rFonts w:ascii="Helvetica" w:hAnsi="Helvetica"/>
          <w:color w:val="111111"/>
          <w:sz w:val="26"/>
          <w:szCs w:val="26"/>
        </w:rPr>
        <w:t>That increase in potential downside risk could make indexed annuities more attractive, Henderson says.</w:t>
      </w:r>
    </w:p>
    <w:p w14:paraId="6A15148A" w14:textId="080BA79B" w:rsidR="006F5C26" w:rsidRPr="00E23BC0" w:rsidRDefault="00E23BC0" w:rsidP="00F374AA">
      <w:pPr>
        <w:pStyle w:val="NormalWeb"/>
        <w:shd w:val="clear" w:color="auto" w:fill="FFFFFF"/>
        <w:spacing w:before="0" w:beforeAutospacing="0" w:after="225" w:afterAutospacing="0" w:line="450" w:lineRule="atLeast"/>
        <w:rPr>
          <w:rFonts w:asciiTheme="minorHAnsi" w:hAnsiTheme="minorHAnsi" w:cstheme="minorBidi"/>
          <w:b/>
          <w:sz w:val="32"/>
          <w:szCs w:val="32"/>
          <w:lang w:eastAsia="zh-CN"/>
        </w:rPr>
      </w:pPr>
      <w:r w:rsidRPr="00E23BC0">
        <w:rPr>
          <w:rFonts w:asciiTheme="minorHAnsi" w:hAnsiTheme="minorHAnsi" w:cstheme="minorBidi"/>
          <w:b/>
          <w:sz w:val="32"/>
          <w:szCs w:val="32"/>
          <w:lang w:eastAsia="zh-CN"/>
        </w:rPr>
        <w:t>Trend Prediction on 2019</w:t>
      </w:r>
    </w:p>
    <w:p w14:paraId="01BF1FDE"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The previous year had more than its share of big news for the annuities industry.</w:t>
      </w:r>
    </w:p>
    <w:p w14:paraId="1C36489D"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Ambiguity around the Department of Labor’s fiduciary rule led to a bit of a muted start to the year. Despite the rule’s eventual pullback, the industry forged ahead with procedures and policies designed to help increase clarity and simplicity, and provide even greater access and understanding to advisors and investors.</w:t>
      </w:r>
    </w:p>
    <w:p w14:paraId="698C7505" w14:textId="69C6BB48"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lastRenderedPageBreak/>
        <w:t>With an industry</w:t>
      </w:r>
      <w:r w:rsidR="00E23BC0" w:rsidRPr="00312CC5">
        <w:rPr>
          <w:rFonts w:ascii="Helvetica" w:hAnsi="Helvetica"/>
          <w:color w:val="111111"/>
          <w:sz w:val="26"/>
          <w:szCs w:val="26"/>
        </w:rPr>
        <w:t>-</w:t>
      </w:r>
      <w:r w:rsidRPr="00312CC5">
        <w:rPr>
          <w:rFonts w:ascii="Helvetica" w:hAnsi="Helvetica"/>
          <w:color w:val="111111"/>
          <w:sz w:val="26"/>
          <w:szCs w:val="26"/>
        </w:rPr>
        <w:t>wide sales rebound in 2018, there are reasons to be optimistic this year.</w:t>
      </w:r>
    </w:p>
    <w:p w14:paraId="4C722452"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What does 2019 have in store for annuities? Based on the ripples that are starting to show, we expect four key trends to define the industry in the year ahead.</w:t>
      </w:r>
    </w:p>
    <w:p w14:paraId="51E84005" w14:textId="77777777" w:rsidR="006F5C26" w:rsidRPr="00312CC5" w:rsidRDefault="006F5C26" w:rsidP="006F5C26">
      <w:pPr>
        <w:pStyle w:val="Heading2"/>
        <w:shd w:val="clear" w:color="auto" w:fill="FFFFFF"/>
        <w:rPr>
          <w:rStyle w:val="Strong"/>
          <w:rFonts w:ascii="Helvetica" w:hAnsi="Helvetica" w:cs="Times New Roman"/>
          <w:b/>
          <w:bCs/>
          <w:color w:val="333333"/>
          <w:sz w:val="26"/>
          <w:szCs w:val="26"/>
        </w:rPr>
      </w:pPr>
      <w:r w:rsidRPr="00312CC5">
        <w:rPr>
          <w:rStyle w:val="Strong"/>
          <w:rFonts w:ascii="Helvetica" w:hAnsi="Helvetica" w:cs="Times New Roman"/>
          <w:b/>
          <w:bCs/>
          <w:color w:val="333333"/>
          <w:sz w:val="26"/>
          <w:szCs w:val="26"/>
        </w:rPr>
        <w:t>Trend 1: Provider Consolidation Continues</w:t>
      </w:r>
    </w:p>
    <w:p w14:paraId="55ECDEAD"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 xml:space="preserve">The annuities industry has gone through significant consolidation over the past year. </w:t>
      </w:r>
      <w:proofErr w:type="spellStart"/>
      <w:r w:rsidRPr="00312CC5">
        <w:rPr>
          <w:rFonts w:ascii="Helvetica" w:hAnsi="Helvetica"/>
          <w:color w:val="111111"/>
          <w:sz w:val="26"/>
          <w:szCs w:val="26"/>
        </w:rPr>
        <w:t>Voya</w:t>
      </w:r>
      <w:proofErr w:type="spellEnd"/>
      <w:r w:rsidRPr="00312CC5">
        <w:rPr>
          <w:rFonts w:ascii="Helvetica" w:hAnsi="Helvetica"/>
          <w:color w:val="111111"/>
          <w:sz w:val="26"/>
          <w:szCs w:val="26"/>
        </w:rPr>
        <w:t>, The Hartford and Ohio National all exited the annuities sector. In 2019, industry consolidation will lead to opportunities for consumers, as the range of products offered by remaining providers continues to grow to meet consumers’ strategic needs.</w:t>
      </w:r>
    </w:p>
    <w:p w14:paraId="7B276B09"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For advisors, this means more products are likely to be available on platforms they already use to manage their clients’ business. You’ll see a greater emphasis on service as fee compression and demand on advisors’ time reduces advisors’ willingness to use multiple platforms to bring products to clients.</w:t>
      </w:r>
    </w:p>
    <w:p w14:paraId="32423075"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The result will be highly flexible one-stop shops for advisors to tap into a comprehensive range of products they can offer, coupled with white-glove, back-end service designed for time savings, cost savings and ease of use.</w:t>
      </w:r>
    </w:p>
    <w:p w14:paraId="3049B978" w14:textId="77777777" w:rsidR="006F5C26" w:rsidRPr="00312CC5" w:rsidRDefault="006F5C26" w:rsidP="006F5C26">
      <w:pPr>
        <w:pStyle w:val="Heading2"/>
        <w:shd w:val="clear" w:color="auto" w:fill="FFFFFF"/>
        <w:rPr>
          <w:rStyle w:val="Strong"/>
          <w:rFonts w:ascii="Helvetica" w:hAnsi="Helvetica" w:cs="Times New Roman"/>
          <w:b/>
          <w:bCs/>
          <w:color w:val="333333"/>
          <w:sz w:val="26"/>
          <w:szCs w:val="26"/>
        </w:rPr>
      </w:pPr>
      <w:r w:rsidRPr="00312CC5">
        <w:rPr>
          <w:rStyle w:val="Strong"/>
          <w:rFonts w:ascii="Helvetica" w:hAnsi="Helvetica" w:cs="Times New Roman"/>
          <w:b/>
          <w:bCs/>
          <w:color w:val="333333"/>
          <w:sz w:val="26"/>
          <w:szCs w:val="26"/>
        </w:rPr>
        <w:t>Trend 2: Annuities Industry Gets ‘Amazon-</w:t>
      </w:r>
      <w:proofErr w:type="spellStart"/>
      <w:r w:rsidRPr="00312CC5">
        <w:rPr>
          <w:rStyle w:val="Strong"/>
          <w:rFonts w:ascii="Helvetica" w:hAnsi="Helvetica" w:cs="Times New Roman"/>
          <w:b/>
          <w:bCs/>
          <w:color w:val="333333"/>
          <w:sz w:val="26"/>
          <w:szCs w:val="26"/>
        </w:rPr>
        <w:t>ification</w:t>
      </w:r>
      <w:proofErr w:type="spellEnd"/>
      <w:r w:rsidRPr="00312CC5">
        <w:rPr>
          <w:rStyle w:val="Strong"/>
          <w:rFonts w:ascii="Helvetica" w:hAnsi="Helvetica" w:cs="Times New Roman"/>
          <w:b/>
          <w:bCs/>
          <w:color w:val="333333"/>
          <w:sz w:val="26"/>
          <w:szCs w:val="26"/>
        </w:rPr>
        <w:t>’</w:t>
      </w:r>
    </w:p>
    <w:p w14:paraId="175CF694"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The “Amazon-</w:t>
      </w:r>
      <w:proofErr w:type="spellStart"/>
      <w:r w:rsidRPr="00312CC5">
        <w:rPr>
          <w:rFonts w:ascii="Helvetica" w:hAnsi="Helvetica"/>
          <w:color w:val="111111"/>
          <w:sz w:val="26"/>
          <w:szCs w:val="26"/>
        </w:rPr>
        <w:t>ification</w:t>
      </w:r>
      <w:proofErr w:type="spellEnd"/>
      <w:r w:rsidRPr="00312CC5">
        <w:rPr>
          <w:rFonts w:ascii="Helvetica" w:hAnsi="Helvetica"/>
          <w:color w:val="111111"/>
          <w:sz w:val="26"/>
          <w:szCs w:val="26"/>
        </w:rPr>
        <w:t>” of financial services will reach closer to the annuities industry, increasing demand for both self-directed optionality coupled with high-touch service through personal advice. The consumer experience often weaves together self-directed and advisor-guided financial product purchases, according to LIMRA research.</w:t>
      </w:r>
    </w:p>
    <w:p w14:paraId="646C5844"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We’ll see more emphasis on enabling customers to shop and get advice wherever they want — with an advisor, in the workplace or on self-directed platforms. This will give consumers the freedom to invest and buy products independently while also having options for those seeking professional advice.</w:t>
      </w:r>
    </w:p>
    <w:p w14:paraId="2B831401"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Because of consumers’ preference to be able to shift from self-service to professional advice, self-service platforms will increasingly serve as a pipeline for financial professionals, supporting their business.</w:t>
      </w:r>
    </w:p>
    <w:p w14:paraId="5EA32209"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lastRenderedPageBreak/>
        <w:t>Financial professionals will still have a key role to play in helping people develop retirement income strategies that meet their retirement goals, and help them realize the lifestyle they want in retirement. Professional advice is even more accessible than ever and is especially critical in retirement income planning.</w:t>
      </w:r>
    </w:p>
    <w:p w14:paraId="335D8B89"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In 2019, we can expect to see more digital platforms opening to direct consumer access that will only continue to fuel advisors’ business.</w:t>
      </w:r>
    </w:p>
    <w:p w14:paraId="26BEDF90" w14:textId="77777777" w:rsidR="006F5C26" w:rsidRPr="00312CC5" w:rsidRDefault="006F5C26" w:rsidP="006F5C26">
      <w:pPr>
        <w:pStyle w:val="Heading2"/>
        <w:shd w:val="clear" w:color="auto" w:fill="FFFFFF"/>
        <w:rPr>
          <w:rFonts w:ascii="Helvetica" w:hAnsi="Helvetica" w:cs="Times New Roman"/>
          <w:bCs w:val="0"/>
          <w:color w:val="111111"/>
          <w:sz w:val="26"/>
          <w:szCs w:val="26"/>
        </w:rPr>
      </w:pPr>
      <w:r w:rsidRPr="00312CC5">
        <w:rPr>
          <w:rFonts w:ascii="Helvetica" w:hAnsi="Helvetica" w:cs="Times New Roman"/>
          <w:bCs w:val="0"/>
          <w:color w:val="111111"/>
          <w:sz w:val="26"/>
          <w:szCs w:val="26"/>
        </w:rPr>
        <w:t>Trend 3: Complexity Fades; Fixed Annuities Gain Share</w:t>
      </w:r>
    </w:p>
    <w:p w14:paraId="03935429"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Investors see product complexity as a holdover from the 2008 financial crisis. This will continue to increase pressure on providers to deliver easy-to-understand, transparent products. This drive away from complexity aligns with regulatory trends, such as the Securities and Exchange Commission’s proposed Regulation Best Interest, as well as the momentum for more do-it-yourself investment options.</w:t>
      </w:r>
    </w:p>
    <w:p w14:paraId="461048E4"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Expect continued growth in the fixed annuities space. Providers will bring more simplified, transparent offerings to the market. Meanwhile, investors will be more willing to accept limited upside potential for guaranteed floors and risk mitigation in retirement income.</w:t>
      </w:r>
    </w:p>
    <w:p w14:paraId="79C91BCE"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LIMRA data shows that more than 50 percent of consumers will choose the guaranteed income over a lump-sum payment in retirement. This indicates the demand for fixed products is likely to continue as baby boomers continue to retire in record numbers.</w:t>
      </w:r>
    </w:p>
    <w:p w14:paraId="333CAAE4"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 xml:space="preserve">In 2011, the annuities sector was heavily weighted toward variable annuities. The pendulum is now swinging in the other direction and fixed products are increasingly prevalent. A continued rising interest rate environment in 2019 will only add fuel to the fire, driving fixed product sales in the </w:t>
      </w:r>
      <w:proofErr w:type="gramStart"/>
      <w:r w:rsidRPr="00312CC5">
        <w:rPr>
          <w:rFonts w:ascii="Helvetica" w:hAnsi="Helvetica"/>
          <w:color w:val="111111"/>
          <w:sz w:val="26"/>
          <w:szCs w:val="26"/>
        </w:rPr>
        <w:t>new year</w:t>
      </w:r>
      <w:proofErr w:type="gramEnd"/>
      <w:r w:rsidRPr="00312CC5">
        <w:rPr>
          <w:rFonts w:ascii="Helvetica" w:hAnsi="Helvetica"/>
          <w:color w:val="111111"/>
          <w:sz w:val="26"/>
          <w:szCs w:val="26"/>
        </w:rPr>
        <w:t>.</w:t>
      </w:r>
    </w:p>
    <w:p w14:paraId="3974CCD0" w14:textId="77777777" w:rsidR="006F5C26" w:rsidRPr="00312CC5" w:rsidRDefault="006F5C26" w:rsidP="006F5C26">
      <w:pPr>
        <w:pStyle w:val="Heading2"/>
        <w:shd w:val="clear" w:color="auto" w:fill="FFFFFF"/>
        <w:rPr>
          <w:rFonts w:ascii="Helvetica" w:hAnsi="Helvetica" w:cs="Times New Roman"/>
          <w:bCs w:val="0"/>
          <w:color w:val="111111"/>
          <w:sz w:val="26"/>
          <w:szCs w:val="26"/>
        </w:rPr>
      </w:pPr>
      <w:r w:rsidRPr="00312CC5">
        <w:rPr>
          <w:rFonts w:ascii="Helvetica" w:hAnsi="Helvetica" w:cs="Times New Roman"/>
          <w:bCs w:val="0"/>
          <w:color w:val="111111"/>
          <w:sz w:val="26"/>
          <w:szCs w:val="26"/>
        </w:rPr>
        <w:t>Trend 4: Retirement Income Takes the Lead</w:t>
      </w:r>
    </w:p>
    <w:p w14:paraId="50E21530"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The most fundamental shift in the industry is likely to be less tangible, but arguably more impactful in the long run. The financial planning mindset is fundamentally changing.</w:t>
      </w:r>
    </w:p>
    <w:p w14:paraId="0C53B32C"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 xml:space="preserve">Against the backdrop of an aging population, increasing longevity, risks to Social Security and stagnant wage growth, there is a growing, silent </w:t>
      </w:r>
      <w:r w:rsidRPr="00312CC5">
        <w:rPr>
          <w:rFonts w:ascii="Helvetica" w:hAnsi="Helvetica"/>
          <w:color w:val="111111"/>
          <w:sz w:val="26"/>
          <w:szCs w:val="26"/>
        </w:rPr>
        <w:lastRenderedPageBreak/>
        <w:t>retirement crisis of individuals entering retirement without sufficient income to fuel their lifestyle. As a result, the rates of debt and bankruptcy filings among the elderly have more than tripled since the early 1990s.</w:t>
      </w:r>
    </w:p>
    <w:p w14:paraId="020D6592"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Industry-wide initiatives are underway to change the dialogue away from retirement asset accumulation and instead focus on retirement income. This momentum will continue to build in 2019, benefiting from a growing recognition of the challenges an aging population faces, as well as tailwinds from legislative efforts that could include the Retirement Enhancement and Savings Act and the Family Savings Act.</w:t>
      </w:r>
    </w:p>
    <w:p w14:paraId="56FE498F"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Given the challenges and barriers people face in preparing for retirement, annuities can provide part of the solution, giving them a little more security and confidence in the future. In addition to securing a steady stream of retirement income a retiree can rely on to supplement other savings; annuities can also lower the amount a consumer needs to save in order to guarantee a given amount of retirement income.</w:t>
      </w:r>
    </w:p>
    <w:p w14:paraId="7458E3A4"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A 2017 study found that most Americans favor financial strategies that offer guaranteed lifetime income. Ninety percent of all consumers who responded to the survey said they are very interested or somewhat interested in receiving lifetime income.</w:t>
      </w:r>
    </w:p>
    <w:p w14:paraId="1122029E"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Further, the new research from the Alliance for Lifetime Income found that 74 percent of households with a guaranteed retirement income stream are confident their retirement savings will last the rest of their lives.</w:t>
      </w:r>
    </w:p>
    <w:p w14:paraId="60CB1A93" w14:textId="77777777" w:rsidR="006F5C26" w:rsidRPr="00312CC5" w:rsidRDefault="006F5C26" w:rsidP="006F5C26">
      <w:pPr>
        <w:pStyle w:val="Heading2"/>
        <w:shd w:val="clear" w:color="auto" w:fill="FFFFFF"/>
        <w:rPr>
          <w:rFonts w:ascii="Helvetica" w:hAnsi="Helvetica" w:cs="Times New Roman"/>
          <w:bCs w:val="0"/>
          <w:color w:val="111111"/>
          <w:sz w:val="26"/>
          <w:szCs w:val="26"/>
        </w:rPr>
      </w:pPr>
      <w:r w:rsidRPr="00312CC5">
        <w:rPr>
          <w:rFonts w:ascii="Helvetica" w:hAnsi="Helvetica" w:cs="Times New Roman"/>
          <w:bCs w:val="0"/>
          <w:color w:val="111111"/>
          <w:sz w:val="26"/>
          <w:szCs w:val="26"/>
        </w:rPr>
        <w:t>Annuities For A New Decade</w:t>
      </w:r>
    </w:p>
    <w:p w14:paraId="6AC75590"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This year will be another year of transition for the annuities industry, as the mix of both providers and products changes to suit the needs of advisors and consumers alike. A smaller group of insurers will end the year providing a wider range of product options. These products will be more accessible to advisors on the platforms they use and easier for consumers to understand.</w:t>
      </w:r>
    </w:p>
    <w:p w14:paraId="7C2A5F2F" w14:textId="77777777" w:rsidR="006F5C26" w:rsidRPr="00312CC5" w:rsidRDefault="006F5C26" w:rsidP="006F5C26">
      <w:pPr>
        <w:pStyle w:val="NormalWeb"/>
        <w:shd w:val="clear" w:color="auto" w:fill="FFFFFF"/>
        <w:rPr>
          <w:rFonts w:ascii="Helvetica" w:hAnsi="Helvetica"/>
          <w:color w:val="111111"/>
          <w:sz w:val="26"/>
          <w:szCs w:val="26"/>
        </w:rPr>
      </w:pPr>
      <w:r w:rsidRPr="00312CC5">
        <w:rPr>
          <w:rFonts w:ascii="Helvetica" w:hAnsi="Helvetica"/>
          <w:color w:val="111111"/>
          <w:sz w:val="26"/>
          <w:szCs w:val="26"/>
        </w:rPr>
        <w:t>The changing approach to retirement planning will shine a new light on annuities, which are increasingly seen as a critical tool to provide the guaranteed retirement income consumers need to provide the peace of mind and security to live their ideal retirement.</w:t>
      </w:r>
    </w:p>
    <w:p w14:paraId="7CF52538" w14:textId="37F5FD2D" w:rsidR="006A6AD1" w:rsidRPr="00312CC5" w:rsidRDefault="006F5C26" w:rsidP="00312CC5">
      <w:pPr>
        <w:pStyle w:val="NormalWeb"/>
        <w:shd w:val="clear" w:color="auto" w:fill="FFFFFF"/>
        <w:rPr>
          <w:rFonts w:ascii="Helvetica" w:hAnsi="Helvetica"/>
          <w:color w:val="111111"/>
          <w:sz w:val="24"/>
          <w:szCs w:val="26"/>
        </w:rPr>
      </w:pPr>
      <w:r w:rsidRPr="00312CC5">
        <w:rPr>
          <w:rFonts w:ascii="Helvetica" w:hAnsi="Helvetica"/>
          <w:color w:val="111111"/>
          <w:sz w:val="26"/>
          <w:szCs w:val="26"/>
        </w:rPr>
        <w:lastRenderedPageBreak/>
        <w:t>And by this time next year, annuities products and the industry at large will have preserved the best of the past, while reinventing for the new decade in 2020.</w:t>
      </w:r>
    </w:p>
    <w:p w14:paraId="08C0DAFD" w14:textId="29B6DAC4" w:rsidR="007B4C5A" w:rsidRPr="009E5EDB" w:rsidRDefault="007B4C5A" w:rsidP="007B4C5A">
      <w:pPr>
        <w:pStyle w:val="NormalWeb"/>
        <w:shd w:val="clear" w:color="auto" w:fill="FFFFFF"/>
        <w:spacing w:before="0" w:beforeAutospacing="0"/>
        <w:rPr>
          <w:rFonts w:ascii="Helvetica" w:hAnsi="Helvetica"/>
          <w:color w:val="111111"/>
          <w:sz w:val="26"/>
          <w:szCs w:val="26"/>
        </w:rPr>
      </w:pPr>
      <w:r w:rsidRPr="00975488">
        <w:rPr>
          <w:rFonts w:asciiTheme="minorHAnsi" w:hAnsiTheme="minorHAnsi" w:cstheme="minorBidi"/>
          <w:b/>
          <w:sz w:val="32"/>
          <w:szCs w:val="32"/>
          <w:lang w:eastAsia="zh-CN"/>
        </w:rPr>
        <w:t>Summary</w:t>
      </w:r>
    </w:p>
    <w:p w14:paraId="2130AFC2" w14:textId="1C28A07D" w:rsidR="009E5EDB" w:rsidRDefault="00E23BC0" w:rsidP="009E5EDB">
      <w:pPr>
        <w:pStyle w:val="NormalWeb"/>
        <w:shd w:val="clear" w:color="auto" w:fill="FFFFFF"/>
        <w:spacing w:before="0" w:beforeAutospacing="0"/>
        <w:rPr>
          <w:rFonts w:ascii="Helvetica" w:hAnsi="Helvetica"/>
          <w:color w:val="111111"/>
          <w:sz w:val="26"/>
          <w:szCs w:val="26"/>
        </w:rPr>
      </w:pPr>
      <w:r>
        <w:rPr>
          <w:rFonts w:ascii="Helvetica" w:hAnsi="Helvetica"/>
          <w:color w:val="111111"/>
          <w:sz w:val="26"/>
          <w:szCs w:val="26"/>
        </w:rPr>
        <w:t>Annuity market situation is prone to change all the time and annuity products are crucial to everyone, especially for elderly people. These require professional planning and advice provided by</w:t>
      </w:r>
      <w:r w:rsidR="009E5EDB">
        <w:rPr>
          <w:rFonts w:ascii="Helvetica" w:hAnsi="Helvetica"/>
          <w:color w:val="111111"/>
          <w:sz w:val="26"/>
          <w:szCs w:val="26"/>
        </w:rPr>
        <w:t xml:space="preserve"> firms like Legacy Financial Advisors, Inc.</w:t>
      </w:r>
      <w:r>
        <w:rPr>
          <w:rFonts w:ascii="Helvetica" w:hAnsi="Helvetica"/>
          <w:color w:val="111111"/>
          <w:sz w:val="26"/>
          <w:szCs w:val="26"/>
        </w:rPr>
        <w:t>, which</w:t>
      </w:r>
      <w:r w:rsidR="009E5EDB">
        <w:rPr>
          <w:rFonts w:ascii="Helvetica" w:hAnsi="Helvetica"/>
          <w:color w:val="111111"/>
          <w:sz w:val="26"/>
          <w:szCs w:val="26"/>
        </w:rPr>
        <w:t xml:space="preserve"> can help reduce market </w:t>
      </w:r>
      <w:r w:rsidR="00EF40F7">
        <w:rPr>
          <w:rFonts w:ascii="Helvetica" w:hAnsi="Helvetica"/>
          <w:color w:val="111111"/>
          <w:sz w:val="26"/>
          <w:szCs w:val="26"/>
        </w:rPr>
        <w:t>mistakes</w:t>
      </w:r>
      <w:r w:rsidR="009E5EDB">
        <w:rPr>
          <w:rFonts w:ascii="Helvetica" w:hAnsi="Helvetica"/>
          <w:color w:val="111111"/>
          <w:sz w:val="26"/>
          <w:szCs w:val="26"/>
        </w:rPr>
        <w:t xml:space="preserve"> and increase the odds of a successful outcome over time.</w:t>
      </w:r>
    </w:p>
    <w:p w14:paraId="19C57FD8" w14:textId="77777777" w:rsidR="006A6AD1" w:rsidRDefault="006A6AD1" w:rsidP="007B4C5A">
      <w:pPr>
        <w:pStyle w:val="NormalWeb"/>
        <w:shd w:val="clear" w:color="auto" w:fill="FFFFFF"/>
        <w:spacing w:before="0" w:beforeAutospacing="0"/>
        <w:rPr>
          <w:rFonts w:ascii="Helvetica" w:hAnsi="Helvetica"/>
          <w:i/>
          <w:color w:val="111111"/>
          <w:sz w:val="26"/>
          <w:szCs w:val="26"/>
        </w:rPr>
      </w:pPr>
    </w:p>
    <w:p w14:paraId="5102A27B" w14:textId="77777777" w:rsidR="007E5D58" w:rsidRDefault="007E5D58" w:rsidP="007B4C5A">
      <w:pPr>
        <w:pStyle w:val="NormalWeb"/>
        <w:shd w:val="clear" w:color="auto" w:fill="FFFFFF"/>
        <w:spacing w:before="0" w:beforeAutospacing="0"/>
        <w:rPr>
          <w:rFonts w:ascii="Helvetica" w:hAnsi="Helvetica"/>
          <w:i/>
          <w:color w:val="111111"/>
          <w:sz w:val="26"/>
          <w:szCs w:val="26"/>
        </w:rPr>
      </w:pPr>
    </w:p>
    <w:p w14:paraId="6D202D76" w14:textId="77777777" w:rsidR="007E5D58" w:rsidRDefault="007E5D58" w:rsidP="007B4C5A">
      <w:pPr>
        <w:pStyle w:val="NormalWeb"/>
        <w:shd w:val="clear" w:color="auto" w:fill="FFFFFF"/>
        <w:spacing w:before="0" w:beforeAutospacing="0"/>
        <w:rPr>
          <w:rFonts w:ascii="Helvetica" w:hAnsi="Helvetica"/>
          <w:i/>
          <w:color w:val="111111"/>
          <w:sz w:val="26"/>
          <w:szCs w:val="26"/>
        </w:rPr>
      </w:pPr>
    </w:p>
    <w:p w14:paraId="067CED79" w14:textId="77777777" w:rsidR="007E5D58" w:rsidRDefault="007E5D58" w:rsidP="007B4C5A">
      <w:pPr>
        <w:pStyle w:val="NormalWeb"/>
        <w:shd w:val="clear" w:color="auto" w:fill="FFFFFF"/>
        <w:spacing w:before="0" w:beforeAutospacing="0"/>
        <w:rPr>
          <w:rFonts w:ascii="Helvetica" w:hAnsi="Helvetica"/>
          <w:i/>
          <w:color w:val="111111"/>
          <w:sz w:val="26"/>
          <w:szCs w:val="26"/>
        </w:rPr>
      </w:pPr>
    </w:p>
    <w:p w14:paraId="01AEFA20" w14:textId="77777777" w:rsidR="007E5D58" w:rsidRDefault="007E5D58" w:rsidP="007B4C5A">
      <w:pPr>
        <w:pStyle w:val="NormalWeb"/>
        <w:shd w:val="clear" w:color="auto" w:fill="FFFFFF"/>
        <w:spacing w:before="0" w:beforeAutospacing="0"/>
        <w:rPr>
          <w:rFonts w:ascii="Helvetica" w:hAnsi="Helvetica"/>
          <w:i/>
          <w:color w:val="111111"/>
          <w:sz w:val="26"/>
          <w:szCs w:val="26"/>
        </w:rPr>
      </w:pPr>
    </w:p>
    <w:p w14:paraId="72FE79C4" w14:textId="77777777" w:rsidR="00312CC5" w:rsidRDefault="00312CC5" w:rsidP="007B4C5A">
      <w:pPr>
        <w:pStyle w:val="NormalWeb"/>
        <w:shd w:val="clear" w:color="auto" w:fill="FFFFFF"/>
        <w:spacing w:before="0" w:beforeAutospacing="0"/>
        <w:rPr>
          <w:rFonts w:ascii="Helvetica" w:hAnsi="Helvetica"/>
          <w:i/>
          <w:color w:val="111111"/>
          <w:sz w:val="26"/>
          <w:szCs w:val="26"/>
        </w:rPr>
      </w:pPr>
    </w:p>
    <w:p w14:paraId="27924CEA" w14:textId="77777777" w:rsidR="00312CC5" w:rsidRDefault="00312CC5" w:rsidP="007B4C5A">
      <w:pPr>
        <w:pStyle w:val="NormalWeb"/>
        <w:shd w:val="clear" w:color="auto" w:fill="FFFFFF"/>
        <w:spacing w:before="0" w:beforeAutospacing="0"/>
        <w:rPr>
          <w:rFonts w:ascii="Helvetica" w:hAnsi="Helvetica"/>
          <w:i/>
          <w:color w:val="111111"/>
          <w:sz w:val="26"/>
          <w:szCs w:val="26"/>
        </w:rPr>
      </w:pPr>
    </w:p>
    <w:p w14:paraId="329D7876" w14:textId="77777777" w:rsidR="00312CC5" w:rsidRDefault="00312CC5" w:rsidP="007B4C5A">
      <w:pPr>
        <w:pStyle w:val="NormalWeb"/>
        <w:shd w:val="clear" w:color="auto" w:fill="FFFFFF"/>
        <w:spacing w:before="0" w:beforeAutospacing="0"/>
        <w:rPr>
          <w:rFonts w:ascii="Helvetica" w:hAnsi="Helvetica"/>
          <w:i/>
          <w:color w:val="111111"/>
          <w:sz w:val="26"/>
          <w:szCs w:val="26"/>
        </w:rPr>
      </w:pPr>
    </w:p>
    <w:p w14:paraId="5E231D55" w14:textId="77777777" w:rsidR="00312CC5" w:rsidRDefault="00312CC5" w:rsidP="007B4C5A">
      <w:pPr>
        <w:pStyle w:val="NormalWeb"/>
        <w:shd w:val="clear" w:color="auto" w:fill="FFFFFF"/>
        <w:spacing w:before="0" w:beforeAutospacing="0"/>
        <w:rPr>
          <w:rFonts w:ascii="Helvetica" w:hAnsi="Helvetica"/>
          <w:i/>
          <w:color w:val="111111"/>
          <w:sz w:val="26"/>
          <w:szCs w:val="26"/>
        </w:rPr>
      </w:pPr>
    </w:p>
    <w:p w14:paraId="04293740" w14:textId="77777777" w:rsidR="00312CC5" w:rsidRDefault="00312CC5" w:rsidP="007B4C5A">
      <w:pPr>
        <w:pStyle w:val="NormalWeb"/>
        <w:shd w:val="clear" w:color="auto" w:fill="FFFFFF"/>
        <w:spacing w:before="0" w:beforeAutospacing="0"/>
        <w:rPr>
          <w:rFonts w:ascii="Helvetica" w:hAnsi="Helvetica"/>
          <w:i/>
          <w:color w:val="111111"/>
          <w:sz w:val="26"/>
          <w:szCs w:val="26"/>
        </w:rPr>
      </w:pPr>
    </w:p>
    <w:p w14:paraId="3C393EE8" w14:textId="77777777" w:rsidR="00312CC5" w:rsidRDefault="00312CC5" w:rsidP="007B4C5A">
      <w:pPr>
        <w:pStyle w:val="NormalWeb"/>
        <w:shd w:val="clear" w:color="auto" w:fill="FFFFFF"/>
        <w:spacing w:before="0" w:beforeAutospacing="0"/>
        <w:rPr>
          <w:rFonts w:ascii="Helvetica" w:hAnsi="Helvetica"/>
          <w:i/>
          <w:color w:val="111111"/>
          <w:sz w:val="26"/>
          <w:szCs w:val="26"/>
        </w:rPr>
      </w:pPr>
    </w:p>
    <w:p w14:paraId="7B2F2E02" w14:textId="77777777" w:rsidR="00312CC5" w:rsidRDefault="00312CC5" w:rsidP="007B4C5A">
      <w:pPr>
        <w:pStyle w:val="NormalWeb"/>
        <w:shd w:val="clear" w:color="auto" w:fill="FFFFFF"/>
        <w:spacing w:before="0" w:beforeAutospacing="0"/>
        <w:rPr>
          <w:rFonts w:ascii="Helvetica" w:hAnsi="Helvetica"/>
          <w:i/>
          <w:color w:val="111111"/>
          <w:sz w:val="26"/>
          <w:szCs w:val="26"/>
        </w:rPr>
      </w:pPr>
    </w:p>
    <w:p w14:paraId="5C04F9DC" w14:textId="77777777" w:rsidR="00312CC5" w:rsidRDefault="00312CC5" w:rsidP="007B4C5A">
      <w:pPr>
        <w:pStyle w:val="NormalWeb"/>
        <w:shd w:val="clear" w:color="auto" w:fill="FFFFFF"/>
        <w:spacing w:before="0" w:beforeAutospacing="0"/>
        <w:rPr>
          <w:rFonts w:ascii="Helvetica" w:hAnsi="Helvetica"/>
          <w:i/>
          <w:color w:val="111111"/>
          <w:sz w:val="26"/>
          <w:szCs w:val="26"/>
        </w:rPr>
      </w:pPr>
    </w:p>
    <w:p w14:paraId="45F265EE" w14:textId="77777777" w:rsidR="00312CC5" w:rsidRDefault="00312CC5" w:rsidP="007B4C5A">
      <w:pPr>
        <w:pStyle w:val="NormalWeb"/>
        <w:shd w:val="clear" w:color="auto" w:fill="FFFFFF"/>
        <w:spacing w:before="0" w:beforeAutospacing="0"/>
        <w:rPr>
          <w:rFonts w:ascii="Helvetica" w:hAnsi="Helvetica"/>
          <w:i/>
          <w:color w:val="111111"/>
          <w:sz w:val="26"/>
          <w:szCs w:val="26"/>
        </w:rPr>
      </w:pPr>
    </w:p>
    <w:p w14:paraId="7F3D42B5" w14:textId="77777777" w:rsidR="00312CC5" w:rsidRDefault="00312CC5" w:rsidP="007B4C5A">
      <w:pPr>
        <w:pStyle w:val="NormalWeb"/>
        <w:shd w:val="clear" w:color="auto" w:fill="FFFFFF"/>
        <w:spacing w:before="0" w:beforeAutospacing="0"/>
        <w:rPr>
          <w:rFonts w:ascii="Helvetica" w:hAnsi="Helvetica"/>
          <w:i/>
          <w:color w:val="111111"/>
          <w:sz w:val="26"/>
          <w:szCs w:val="26"/>
        </w:rPr>
      </w:pPr>
    </w:p>
    <w:p w14:paraId="6C35257E" w14:textId="77777777" w:rsidR="00312CC5" w:rsidRDefault="00312CC5" w:rsidP="007B4C5A">
      <w:pPr>
        <w:pStyle w:val="NormalWeb"/>
        <w:shd w:val="clear" w:color="auto" w:fill="FFFFFF"/>
        <w:spacing w:before="0" w:beforeAutospacing="0"/>
        <w:rPr>
          <w:rFonts w:ascii="Helvetica" w:hAnsi="Helvetica"/>
          <w:i/>
          <w:color w:val="111111"/>
          <w:sz w:val="26"/>
          <w:szCs w:val="26"/>
        </w:rPr>
      </w:pPr>
    </w:p>
    <w:p w14:paraId="3F39D071" w14:textId="77777777" w:rsidR="007B4C5A" w:rsidRPr="009F2FF5" w:rsidRDefault="007B4C5A" w:rsidP="007B4C5A">
      <w:pPr>
        <w:pStyle w:val="NormalWeb"/>
        <w:shd w:val="clear" w:color="auto" w:fill="FFFFFF"/>
        <w:spacing w:before="0" w:beforeAutospacing="0"/>
        <w:rPr>
          <w:rFonts w:ascii="Helvetica" w:hAnsi="Helvetica"/>
          <w:i/>
          <w:color w:val="111111"/>
          <w:sz w:val="26"/>
          <w:szCs w:val="26"/>
        </w:rPr>
      </w:pPr>
      <w:r w:rsidRPr="009F2FF5">
        <w:rPr>
          <w:rFonts w:ascii="Helvetica" w:hAnsi="Helvetica"/>
          <w:i/>
          <w:color w:val="111111"/>
          <w:sz w:val="26"/>
          <w:szCs w:val="26"/>
        </w:rPr>
        <w:lastRenderedPageBreak/>
        <w:t>Resource</w:t>
      </w:r>
    </w:p>
    <w:p w14:paraId="27FE56B8" w14:textId="6031B87B" w:rsidR="007B4C5A" w:rsidRDefault="00E23BC0" w:rsidP="007B4C5A">
      <w:pPr>
        <w:pStyle w:val="NormalWeb"/>
        <w:numPr>
          <w:ilvl w:val="0"/>
          <w:numId w:val="3"/>
        </w:numPr>
        <w:shd w:val="clear" w:color="auto" w:fill="FFFFFF"/>
        <w:spacing w:before="0" w:beforeAutospacing="0"/>
        <w:rPr>
          <w:rFonts w:ascii="Helvetica" w:hAnsi="Helvetica"/>
          <w:color w:val="111111"/>
          <w:sz w:val="26"/>
          <w:szCs w:val="26"/>
        </w:rPr>
      </w:pPr>
      <w:proofErr w:type="spellStart"/>
      <w:r>
        <w:rPr>
          <w:rFonts w:ascii="Helvetica" w:hAnsi="Helvetica"/>
          <w:color w:val="111111"/>
          <w:sz w:val="26"/>
          <w:szCs w:val="26"/>
        </w:rPr>
        <w:t>Investopedia</w:t>
      </w:r>
      <w:proofErr w:type="spellEnd"/>
    </w:p>
    <w:p w14:paraId="3990288F" w14:textId="77777777" w:rsidR="00E23BC0" w:rsidRDefault="00E23BC0" w:rsidP="00E23BC0">
      <w:pPr>
        <w:pStyle w:val="NormalWeb"/>
        <w:numPr>
          <w:ilvl w:val="0"/>
          <w:numId w:val="3"/>
        </w:numPr>
        <w:shd w:val="clear" w:color="auto" w:fill="FFFFFF"/>
        <w:spacing w:before="0" w:beforeAutospacing="0"/>
        <w:rPr>
          <w:rFonts w:ascii="Helvetica" w:hAnsi="Helvetica"/>
          <w:color w:val="111111"/>
          <w:sz w:val="26"/>
          <w:szCs w:val="26"/>
        </w:rPr>
      </w:pPr>
      <w:r w:rsidRPr="00E23BC0">
        <w:rPr>
          <w:rFonts w:ascii="Helvetica" w:hAnsi="Helvetica"/>
          <w:color w:val="111111"/>
          <w:sz w:val="26"/>
          <w:szCs w:val="26"/>
        </w:rPr>
        <w:t>5 New Questions About How the Annuity Market Will Weather 2019</w:t>
      </w:r>
      <w:r w:rsidR="007B4C5A">
        <w:rPr>
          <w:rFonts w:ascii="Helvetica" w:hAnsi="Helvetica"/>
          <w:color w:val="111111"/>
          <w:sz w:val="26"/>
          <w:szCs w:val="26"/>
        </w:rPr>
        <w:t xml:space="preserve">, by </w:t>
      </w:r>
      <w:r w:rsidR="00833BF1">
        <w:rPr>
          <w:rFonts w:ascii="Helvetica" w:hAnsi="Helvetica"/>
          <w:color w:val="111111"/>
          <w:sz w:val="26"/>
          <w:szCs w:val="26"/>
        </w:rPr>
        <w:t>Hartford Funds</w:t>
      </w:r>
      <w:r>
        <w:rPr>
          <w:rFonts w:ascii="Helvetica" w:hAnsi="Helvetica"/>
          <w:color w:val="111111"/>
          <w:sz w:val="26"/>
          <w:szCs w:val="26"/>
        </w:rPr>
        <w:t>, by Allison Bell, 2018</w:t>
      </w:r>
    </w:p>
    <w:p w14:paraId="64122769" w14:textId="720612E3" w:rsidR="009F2FF5" w:rsidRDefault="00E23BC0" w:rsidP="007B4C5A">
      <w:pPr>
        <w:pStyle w:val="NormalWeb"/>
        <w:numPr>
          <w:ilvl w:val="0"/>
          <w:numId w:val="3"/>
        </w:numPr>
        <w:shd w:val="clear" w:color="auto" w:fill="FFFFFF"/>
        <w:spacing w:before="0" w:beforeAutospacing="0"/>
      </w:pPr>
      <w:r w:rsidRPr="00E23BC0">
        <w:rPr>
          <w:rFonts w:ascii="Helvetica" w:hAnsi="Helvetica"/>
          <w:color w:val="111111"/>
          <w:sz w:val="26"/>
          <w:szCs w:val="26"/>
        </w:rPr>
        <w:t>Key 2019 Annuity Trends: Mergers, Simplification, Amazon-</w:t>
      </w:r>
      <w:proofErr w:type="spellStart"/>
      <w:r w:rsidRPr="00E23BC0">
        <w:rPr>
          <w:rFonts w:ascii="Helvetica" w:hAnsi="Helvetica"/>
          <w:color w:val="111111"/>
          <w:sz w:val="26"/>
          <w:szCs w:val="26"/>
        </w:rPr>
        <w:t>ification</w:t>
      </w:r>
      <w:proofErr w:type="spellEnd"/>
      <w:r w:rsidRPr="00E23BC0">
        <w:rPr>
          <w:rFonts w:ascii="Helvetica" w:hAnsi="Helvetica"/>
          <w:color w:val="111111"/>
          <w:sz w:val="26"/>
          <w:szCs w:val="26"/>
        </w:rPr>
        <w:t xml:space="preserve">, </w:t>
      </w:r>
      <w:r w:rsidR="007B4C5A" w:rsidRPr="00E23BC0">
        <w:rPr>
          <w:rFonts w:ascii="Helvetica" w:hAnsi="Helvetica"/>
          <w:color w:val="111111"/>
          <w:sz w:val="26"/>
          <w:szCs w:val="26"/>
        </w:rPr>
        <w:t xml:space="preserve">by </w:t>
      </w:r>
      <w:r>
        <w:rPr>
          <w:rFonts w:ascii="Helvetica" w:hAnsi="Helvetica"/>
          <w:color w:val="111111"/>
          <w:sz w:val="26"/>
          <w:szCs w:val="26"/>
        </w:rPr>
        <w:t xml:space="preserve">Kent </w:t>
      </w:r>
      <w:proofErr w:type="spellStart"/>
      <w:r>
        <w:rPr>
          <w:rFonts w:ascii="Helvetica" w:hAnsi="Helvetica"/>
          <w:color w:val="111111"/>
          <w:sz w:val="26"/>
          <w:szCs w:val="26"/>
        </w:rPr>
        <w:t>Sluyter</w:t>
      </w:r>
      <w:proofErr w:type="spellEnd"/>
    </w:p>
    <w:p w14:paraId="3210849D" w14:textId="77777777" w:rsidR="00860C8D" w:rsidRDefault="00860C8D" w:rsidP="007B4C5A"/>
    <w:p w14:paraId="3EBC4EF5" w14:textId="77777777" w:rsidR="00860C8D" w:rsidRDefault="00860C8D" w:rsidP="007B4C5A"/>
    <w:p w14:paraId="592DD143" w14:textId="77777777" w:rsidR="00860C8D" w:rsidRDefault="00860C8D" w:rsidP="007B4C5A"/>
    <w:p w14:paraId="4DC1E363" w14:textId="77777777" w:rsidR="00860C8D" w:rsidRDefault="00860C8D" w:rsidP="007B4C5A"/>
    <w:p w14:paraId="223D23F5" w14:textId="77777777" w:rsidR="00860C8D" w:rsidRDefault="00860C8D" w:rsidP="007B4C5A"/>
    <w:p w14:paraId="43BDE701" w14:textId="77777777" w:rsidR="00860C8D" w:rsidRDefault="00860C8D" w:rsidP="007B4C5A"/>
    <w:p w14:paraId="42C7D1B6" w14:textId="77777777" w:rsidR="00860C8D" w:rsidRDefault="00860C8D" w:rsidP="007B4C5A"/>
    <w:p w14:paraId="06C51CC5" w14:textId="77777777" w:rsidR="00860C8D" w:rsidRDefault="00860C8D" w:rsidP="007B4C5A"/>
    <w:p w14:paraId="52ED6963" w14:textId="77777777" w:rsidR="00860C8D" w:rsidRDefault="00860C8D" w:rsidP="007B4C5A"/>
    <w:p w14:paraId="78F0E12A" w14:textId="77777777" w:rsidR="00860C8D" w:rsidRDefault="00860C8D" w:rsidP="007B4C5A"/>
    <w:p w14:paraId="4BFAFF2B" w14:textId="77777777" w:rsidR="00860C8D" w:rsidRDefault="00860C8D" w:rsidP="007B4C5A"/>
    <w:p w14:paraId="771BF8A6" w14:textId="77777777" w:rsidR="00860C8D" w:rsidRDefault="00860C8D" w:rsidP="007B4C5A"/>
    <w:p w14:paraId="2C768BEE" w14:textId="77777777" w:rsidR="00860C8D" w:rsidRDefault="00860C8D" w:rsidP="007B4C5A"/>
    <w:p w14:paraId="3C337237" w14:textId="77777777" w:rsidR="009E5EDB" w:rsidRDefault="009E5EDB" w:rsidP="007B4C5A"/>
    <w:p w14:paraId="1CB16E57" w14:textId="77777777" w:rsidR="009E5EDB" w:rsidRDefault="009E5EDB" w:rsidP="007B4C5A"/>
    <w:p w14:paraId="5DE2C896" w14:textId="77777777" w:rsidR="009E5EDB" w:rsidRDefault="009E5EDB" w:rsidP="007B4C5A"/>
    <w:p w14:paraId="6035F92F" w14:textId="77777777" w:rsidR="009E5EDB" w:rsidRDefault="009E5EDB" w:rsidP="007B4C5A"/>
    <w:p w14:paraId="11A55FFC" w14:textId="77777777" w:rsidR="009E5EDB" w:rsidRDefault="009E5EDB" w:rsidP="007B4C5A"/>
    <w:p w14:paraId="10600D35" w14:textId="77777777" w:rsidR="009E5EDB" w:rsidRDefault="009E5EDB" w:rsidP="007B4C5A"/>
    <w:p w14:paraId="4FE768BE" w14:textId="77777777" w:rsidR="009E5EDB" w:rsidRDefault="009E5EDB" w:rsidP="007B4C5A"/>
    <w:p w14:paraId="7BAA2D97" w14:textId="77777777" w:rsidR="009E5EDB" w:rsidRDefault="009E5EDB" w:rsidP="007B4C5A"/>
    <w:p w14:paraId="2E832FAB" w14:textId="77777777" w:rsidR="00860C8D" w:rsidRDefault="00860C8D" w:rsidP="007B4C5A"/>
    <w:p w14:paraId="1CEE9563" w14:textId="77777777" w:rsidR="00860C8D" w:rsidRDefault="00860C8D" w:rsidP="007B4C5A"/>
    <w:p w14:paraId="60019C25" w14:textId="77777777" w:rsidR="005C493F" w:rsidRPr="005C493F" w:rsidRDefault="005C493F" w:rsidP="005C493F">
      <w:pPr>
        <w:rPr>
          <w:rFonts w:ascii="Times New Roman" w:eastAsia="Times New Roman" w:hAnsi="Times New Roman" w:cs="Times New Roman"/>
          <w:sz w:val="20"/>
          <w:szCs w:val="20"/>
        </w:rPr>
      </w:pPr>
      <w:r w:rsidRPr="005C493F">
        <w:rPr>
          <w:rFonts w:ascii="Times New Roman" w:eastAsia="Times New Roman" w:hAnsi="Times New Roman" w:cs="Times New Roman"/>
          <w:sz w:val="20"/>
          <w:szCs w:val="20"/>
        </w:rPr>
        <w:br/>
      </w:r>
      <w:r w:rsidRPr="005C493F">
        <w:rPr>
          <w:rFonts w:ascii="Times New Roman" w:eastAsia="Times New Roman" w:hAnsi="Times New Roman" w:cs="Times New Roman"/>
          <w:color w:val="2E74B5"/>
          <w:sz w:val="22"/>
          <w:szCs w:val="22"/>
        </w:rPr>
        <w:t xml:space="preserve">The views expressed are not necessarily the opinion of </w:t>
      </w:r>
      <w:proofErr w:type="spellStart"/>
      <w:r w:rsidRPr="005C493F">
        <w:rPr>
          <w:rFonts w:ascii="Times New Roman" w:eastAsia="Times New Roman" w:hAnsi="Times New Roman" w:cs="Times New Roman"/>
          <w:color w:val="2E74B5"/>
          <w:sz w:val="22"/>
          <w:szCs w:val="22"/>
        </w:rPr>
        <w:t>SagePoint</w:t>
      </w:r>
      <w:proofErr w:type="spellEnd"/>
      <w:r w:rsidRPr="005C493F">
        <w:rPr>
          <w:rFonts w:ascii="Times New Roman" w:eastAsia="Times New Roman" w:hAnsi="Times New Roman" w:cs="Times New Roman"/>
          <w:color w:val="2E74B5"/>
          <w:sz w:val="22"/>
          <w:szCs w:val="22"/>
        </w:rPr>
        <w:t xml:space="preserve"> Financial, Inc., and should not be construed directly or indirectly, as an offer to buy or sell any securities. Individual circumstances vary. Investing is subject to risks including loss of principal invested.  No strategy can assure a profit against loss. Foreign investments involve special risks including greater economic, political, and currency fluctuation risks, which may be even greater in emerging markets. Indices cannot be invested in directly, are unmanaged and do not incur management fees, costs or expenses. Due to volatility within the markets mentioned, opinions are subject to change without notice.  Information is based on sources believed to be reliable; however, their accuracy or completeness cannot be guaranteed.</w:t>
      </w:r>
    </w:p>
    <w:p w14:paraId="6B090B98" w14:textId="77777777" w:rsidR="00860C8D" w:rsidRPr="00A63900" w:rsidRDefault="00860C8D" w:rsidP="00860C8D">
      <w:pPr>
        <w:pStyle w:val="Footer"/>
        <w:rPr>
          <w:rFonts w:ascii="Helvetica" w:hAnsi="Helvetica" w:cs="Helvetica"/>
          <w:sz w:val="20"/>
          <w:szCs w:val="26"/>
          <w:shd w:val="clear" w:color="auto" w:fill="FFFFFF"/>
        </w:rPr>
      </w:pPr>
    </w:p>
    <w:p w14:paraId="550EC3CC" w14:textId="77777777" w:rsidR="00860C8D" w:rsidRPr="00A63900" w:rsidRDefault="00860C8D" w:rsidP="00860C8D">
      <w:pPr>
        <w:shd w:val="clear" w:color="auto" w:fill="FFFFFF"/>
        <w:rPr>
          <w:rFonts w:ascii="Segoe UI" w:eastAsia="Times New Roman" w:hAnsi="Segoe UI" w:cs="Segoe UI"/>
          <w:sz w:val="22"/>
          <w:szCs w:val="27"/>
          <w:lang w:eastAsia="zh-CN"/>
        </w:rPr>
      </w:pPr>
      <w:r w:rsidRPr="00A63900">
        <w:rPr>
          <w:rFonts w:ascii="Helvetica" w:eastAsia="Times New Roman" w:hAnsi="Helvetica" w:cs="Helvetica"/>
          <w:sz w:val="22"/>
          <w:szCs w:val="26"/>
          <w:shd w:val="clear" w:color="auto" w:fill="FFFFFF"/>
          <w:lang w:eastAsia="zh-CN"/>
        </w:rPr>
        <w:t xml:space="preserve">1500 WEST PARK DR SUITE 100 WESTBOROUGH, MA, </w:t>
      </w:r>
      <w:proofErr w:type="gramStart"/>
      <w:r w:rsidRPr="00A63900">
        <w:rPr>
          <w:rFonts w:ascii="Helvetica" w:eastAsia="Times New Roman" w:hAnsi="Helvetica" w:cs="Helvetica"/>
          <w:sz w:val="22"/>
          <w:szCs w:val="26"/>
          <w:shd w:val="clear" w:color="auto" w:fill="FFFFFF"/>
          <w:lang w:eastAsia="zh-CN"/>
        </w:rPr>
        <w:t>01581  800</w:t>
      </w:r>
      <w:proofErr w:type="gramEnd"/>
      <w:r w:rsidRPr="00A63900">
        <w:rPr>
          <w:rFonts w:ascii="Helvetica" w:eastAsia="Times New Roman" w:hAnsi="Helvetica" w:cs="Helvetica"/>
          <w:sz w:val="22"/>
          <w:szCs w:val="26"/>
          <w:shd w:val="clear" w:color="auto" w:fill="FFFFFF"/>
          <w:lang w:eastAsia="zh-CN"/>
        </w:rPr>
        <w:t>-427-9781</w:t>
      </w:r>
    </w:p>
    <w:p w14:paraId="36557282" w14:textId="1BD46026" w:rsidR="00860C8D" w:rsidRPr="00860C8D" w:rsidRDefault="00860C8D" w:rsidP="00860C8D">
      <w:pPr>
        <w:shd w:val="clear" w:color="auto" w:fill="FFFFFF"/>
        <w:rPr>
          <w:rFonts w:ascii="Segoe UI" w:eastAsia="Times New Roman" w:hAnsi="Segoe UI" w:cs="Segoe UI"/>
          <w:sz w:val="20"/>
          <w:szCs w:val="27"/>
          <w:lang w:eastAsia="zh-CN"/>
        </w:rPr>
      </w:pPr>
      <w:r w:rsidRPr="00A63900">
        <w:rPr>
          <w:rFonts w:ascii="Helvetica" w:eastAsia="Times New Roman" w:hAnsi="Helvetica" w:cs="Helvetica"/>
          <w:sz w:val="20"/>
          <w:szCs w:val="26"/>
          <w:shd w:val="clear" w:color="auto" w:fill="FFFFFF"/>
          <w:lang w:eastAsia="zh-CN"/>
        </w:rPr>
        <w:t xml:space="preserve">Securities and advisory services offered through </w:t>
      </w:r>
      <w:proofErr w:type="spellStart"/>
      <w:r w:rsidRPr="00A63900">
        <w:rPr>
          <w:rFonts w:ascii="Helvetica" w:eastAsia="Times New Roman" w:hAnsi="Helvetica" w:cs="Helvetica"/>
          <w:sz w:val="20"/>
          <w:szCs w:val="26"/>
          <w:shd w:val="clear" w:color="auto" w:fill="FFFFFF"/>
          <w:lang w:eastAsia="zh-CN"/>
        </w:rPr>
        <w:t>SagePoint</w:t>
      </w:r>
      <w:proofErr w:type="spellEnd"/>
      <w:r w:rsidRPr="00A63900">
        <w:rPr>
          <w:rFonts w:ascii="Helvetica" w:eastAsia="Times New Roman" w:hAnsi="Helvetica" w:cs="Helvetica"/>
          <w:sz w:val="20"/>
          <w:szCs w:val="26"/>
          <w:shd w:val="clear" w:color="auto" w:fill="FFFFFF"/>
          <w:lang w:eastAsia="zh-CN"/>
        </w:rPr>
        <w:t xml:space="preserve"> Financial, Inc. (SPF), member FINRA/SIPC. SPF is separately owned and other entities and/or marketing names, products or services referenc</w:t>
      </w:r>
      <w:bookmarkStart w:id="0" w:name="_GoBack"/>
      <w:bookmarkEnd w:id="0"/>
      <w:r w:rsidRPr="00A63900">
        <w:rPr>
          <w:rFonts w:ascii="Helvetica" w:eastAsia="Times New Roman" w:hAnsi="Helvetica" w:cs="Helvetica"/>
          <w:sz w:val="20"/>
          <w:szCs w:val="26"/>
          <w:shd w:val="clear" w:color="auto" w:fill="FFFFFF"/>
          <w:lang w:eastAsia="zh-CN"/>
        </w:rPr>
        <w:t>ed here are independent of SPF.</w:t>
      </w:r>
    </w:p>
    <w:sectPr w:rsidR="00860C8D" w:rsidRPr="00860C8D" w:rsidSect="00860C8D">
      <w:head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6E4D1" w14:textId="77777777" w:rsidR="00E23BC0" w:rsidRDefault="00E23BC0" w:rsidP="00FA6501">
      <w:r>
        <w:separator/>
      </w:r>
    </w:p>
  </w:endnote>
  <w:endnote w:type="continuationSeparator" w:id="0">
    <w:p w14:paraId="2E4A99C5" w14:textId="77777777" w:rsidR="00E23BC0" w:rsidRDefault="00E23BC0" w:rsidP="00FA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1869E" w14:textId="77777777" w:rsidR="00E23BC0" w:rsidRDefault="00E23BC0" w:rsidP="00FA6501">
      <w:r>
        <w:separator/>
      </w:r>
    </w:p>
  </w:footnote>
  <w:footnote w:type="continuationSeparator" w:id="0">
    <w:p w14:paraId="67ED7B2C" w14:textId="77777777" w:rsidR="00E23BC0" w:rsidRDefault="00E23BC0" w:rsidP="00FA65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85242" w14:textId="1070E513" w:rsidR="00E23BC0" w:rsidRDefault="00E23BC0">
    <w:pPr>
      <w:pStyle w:val="Header"/>
    </w:pPr>
    <w:r>
      <w:t>Jay Song, CFA</w:t>
    </w:r>
  </w:p>
  <w:p w14:paraId="25357FB4" w14:textId="5610C4B8" w:rsidR="00E23BC0" w:rsidRDefault="00E23BC0">
    <w:pPr>
      <w:pStyle w:val="Header"/>
    </w:pPr>
    <w:r>
      <w:t>Legacy Financial Advisors, Inc.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1CDC"/>
    <w:multiLevelType w:val="hybridMultilevel"/>
    <w:tmpl w:val="4E1E4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61FB7"/>
    <w:multiLevelType w:val="hybridMultilevel"/>
    <w:tmpl w:val="C1927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22452"/>
    <w:multiLevelType w:val="multilevel"/>
    <w:tmpl w:val="403E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912F27"/>
    <w:multiLevelType w:val="multilevel"/>
    <w:tmpl w:val="6024A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345E64"/>
    <w:multiLevelType w:val="hybridMultilevel"/>
    <w:tmpl w:val="ED7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35"/>
    <w:rsid w:val="00017AAC"/>
    <w:rsid w:val="00041448"/>
    <w:rsid w:val="000F046B"/>
    <w:rsid w:val="00141443"/>
    <w:rsid w:val="00147616"/>
    <w:rsid w:val="00177EC0"/>
    <w:rsid w:val="001C2257"/>
    <w:rsid w:val="001C3F12"/>
    <w:rsid w:val="001C4AEA"/>
    <w:rsid w:val="001D254D"/>
    <w:rsid w:val="001D2F68"/>
    <w:rsid w:val="001D65E6"/>
    <w:rsid w:val="001E57E2"/>
    <w:rsid w:val="001F24E6"/>
    <w:rsid w:val="002A7BF6"/>
    <w:rsid w:val="00312CC5"/>
    <w:rsid w:val="00374950"/>
    <w:rsid w:val="00376BFA"/>
    <w:rsid w:val="00394E55"/>
    <w:rsid w:val="003A2151"/>
    <w:rsid w:val="00407455"/>
    <w:rsid w:val="00420FB2"/>
    <w:rsid w:val="00497A3B"/>
    <w:rsid w:val="00500E1D"/>
    <w:rsid w:val="00527DDB"/>
    <w:rsid w:val="00584659"/>
    <w:rsid w:val="00592E75"/>
    <w:rsid w:val="005C493F"/>
    <w:rsid w:val="005E4DD5"/>
    <w:rsid w:val="00696C97"/>
    <w:rsid w:val="006A6AD1"/>
    <w:rsid w:val="006C238E"/>
    <w:rsid w:val="006F5C26"/>
    <w:rsid w:val="006F6782"/>
    <w:rsid w:val="007053BC"/>
    <w:rsid w:val="007107B8"/>
    <w:rsid w:val="007974E2"/>
    <w:rsid w:val="007B4C5A"/>
    <w:rsid w:val="007D1B78"/>
    <w:rsid w:val="007E5D58"/>
    <w:rsid w:val="00826CDC"/>
    <w:rsid w:val="00833BF1"/>
    <w:rsid w:val="00851A21"/>
    <w:rsid w:val="00860C8D"/>
    <w:rsid w:val="009628B4"/>
    <w:rsid w:val="00975488"/>
    <w:rsid w:val="00975793"/>
    <w:rsid w:val="00991E37"/>
    <w:rsid w:val="009E5EDB"/>
    <w:rsid w:val="009F2FF5"/>
    <w:rsid w:val="00A02C20"/>
    <w:rsid w:val="00A07FA2"/>
    <w:rsid w:val="00A56D0D"/>
    <w:rsid w:val="00A63900"/>
    <w:rsid w:val="00A92D1B"/>
    <w:rsid w:val="00AC585A"/>
    <w:rsid w:val="00B32C5E"/>
    <w:rsid w:val="00B57390"/>
    <w:rsid w:val="00BA6E8F"/>
    <w:rsid w:val="00C00493"/>
    <w:rsid w:val="00C76E69"/>
    <w:rsid w:val="00C83E0D"/>
    <w:rsid w:val="00CB57B5"/>
    <w:rsid w:val="00CB7A35"/>
    <w:rsid w:val="00CE39AA"/>
    <w:rsid w:val="00CE69F6"/>
    <w:rsid w:val="00CF1840"/>
    <w:rsid w:val="00D30953"/>
    <w:rsid w:val="00D73AA2"/>
    <w:rsid w:val="00DF663F"/>
    <w:rsid w:val="00E23BC0"/>
    <w:rsid w:val="00EB06D4"/>
    <w:rsid w:val="00EF40F7"/>
    <w:rsid w:val="00F33768"/>
    <w:rsid w:val="00F374AA"/>
    <w:rsid w:val="00F75F58"/>
    <w:rsid w:val="00FA6501"/>
    <w:rsid w:val="00FD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647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5A"/>
  </w:style>
  <w:style w:type="paragraph" w:styleId="Heading1">
    <w:name w:val="heading 1"/>
    <w:basedOn w:val="Normal"/>
    <w:next w:val="Normal"/>
    <w:link w:val="Heading1Char"/>
    <w:uiPriority w:val="9"/>
    <w:qFormat/>
    <w:rsid w:val="00AC58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C585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AC585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85A"/>
    <w:rPr>
      <w:rFonts w:ascii="Times New Roman" w:hAnsi="Times New Roman"/>
      <w:b/>
      <w:bCs/>
      <w:sz w:val="36"/>
      <w:szCs w:val="36"/>
    </w:rPr>
  </w:style>
  <w:style w:type="character" w:customStyle="1" w:styleId="Heading3Char">
    <w:name w:val="Heading 3 Char"/>
    <w:basedOn w:val="DefaultParagraphFont"/>
    <w:link w:val="Heading3"/>
    <w:uiPriority w:val="9"/>
    <w:rsid w:val="00AC585A"/>
    <w:rPr>
      <w:rFonts w:ascii="Times New Roman" w:hAnsi="Times New Roman"/>
      <w:b/>
      <w:bCs/>
      <w:sz w:val="27"/>
      <w:szCs w:val="27"/>
    </w:rPr>
  </w:style>
  <w:style w:type="paragraph" w:styleId="NormalWeb">
    <w:name w:val="Normal (Web)"/>
    <w:basedOn w:val="Normal"/>
    <w:uiPriority w:val="99"/>
    <w:unhideWhenUsed/>
    <w:rsid w:val="00AC585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C585A"/>
    <w:rPr>
      <w:color w:val="0000FF"/>
      <w:u w:val="single"/>
    </w:rPr>
  </w:style>
  <w:style w:type="character" w:styleId="Emphasis">
    <w:name w:val="Emphasis"/>
    <w:basedOn w:val="DefaultParagraphFont"/>
    <w:uiPriority w:val="20"/>
    <w:qFormat/>
    <w:rsid w:val="00AC585A"/>
    <w:rPr>
      <w:i/>
      <w:iCs/>
    </w:rPr>
  </w:style>
  <w:style w:type="character" w:styleId="Strong">
    <w:name w:val="Strong"/>
    <w:basedOn w:val="DefaultParagraphFont"/>
    <w:uiPriority w:val="22"/>
    <w:qFormat/>
    <w:rsid w:val="00AC585A"/>
    <w:rPr>
      <w:b/>
      <w:bCs/>
    </w:rPr>
  </w:style>
  <w:style w:type="character" w:styleId="FollowedHyperlink">
    <w:name w:val="FollowedHyperlink"/>
    <w:basedOn w:val="DefaultParagraphFont"/>
    <w:uiPriority w:val="99"/>
    <w:semiHidden/>
    <w:unhideWhenUsed/>
    <w:rsid w:val="00AC585A"/>
    <w:rPr>
      <w:color w:val="800080" w:themeColor="followedHyperlink"/>
      <w:u w:val="single"/>
    </w:rPr>
  </w:style>
  <w:style w:type="character" w:customStyle="1" w:styleId="Heading1Char">
    <w:name w:val="Heading 1 Char"/>
    <w:basedOn w:val="DefaultParagraphFont"/>
    <w:link w:val="Heading1"/>
    <w:uiPriority w:val="9"/>
    <w:rsid w:val="00AC585A"/>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FA6501"/>
    <w:pPr>
      <w:tabs>
        <w:tab w:val="center" w:pos="4320"/>
        <w:tab w:val="right" w:pos="8640"/>
      </w:tabs>
    </w:pPr>
  </w:style>
  <w:style w:type="character" w:customStyle="1" w:styleId="HeaderChar">
    <w:name w:val="Header Char"/>
    <w:basedOn w:val="DefaultParagraphFont"/>
    <w:link w:val="Header"/>
    <w:uiPriority w:val="99"/>
    <w:rsid w:val="00FA6501"/>
  </w:style>
  <w:style w:type="paragraph" w:styleId="Footer">
    <w:name w:val="footer"/>
    <w:basedOn w:val="Normal"/>
    <w:link w:val="FooterChar"/>
    <w:uiPriority w:val="99"/>
    <w:unhideWhenUsed/>
    <w:rsid w:val="00FA6501"/>
    <w:pPr>
      <w:tabs>
        <w:tab w:val="center" w:pos="4320"/>
        <w:tab w:val="right" w:pos="8640"/>
      </w:tabs>
    </w:pPr>
  </w:style>
  <w:style w:type="character" w:customStyle="1" w:styleId="FooterChar">
    <w:name w:val="Footer Char"/>
    <w:basedOn w:val="DefaultParagraphFont"/>
    <w:link w:val="Footer"/>
    <w:uiPriority w:val="99"/>
    <w:rsid w:val="00FA6501"/>
  </w:style>
  <w:style w:type="paragraph" w:styleId="ListParagraph">
    <w:name w:val="List Paragraph"/>
    <w:basedOn w:val="Normal"/>
    <w:uiPriority w:val="34"/>
    <w:qFormat/>
    <w:rsid w:val="001D25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5A"/>
  </w:style>
  <w:style w:type="paragraph" w:styleId="Heading1">
    <w:name w:val="heading 1"/>
    <w:basedOn w:val="Normal"/>
    <w:next w:val="Normal"/>
    <w:link w:val="Heading1Char"/>
    <w:uiPriority w:val="9"/>
    <w:qFormat/>
    <w:rsid w:val="00AC58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C585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AC585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85A"/>
    <w:rPr>
      <w:rFonts w:ascii="Times New Roman" w:hAnsi="Times New Roman"/>
      <w:b/>
      <w:bCs/>
      <w:sz w:val="36"/>
      <w:szCs w:val="36"/>
    </w:rPr>
  </w:style>
  <w:style w:type="character" w:customStyle="1" w:styleId="Heading3Char">
    <w:name w:val="Heading 3 Char"/>
    <w:basedOn w:val="DefaultParagraphFont"/>
    <w:link w:val="Heading3"/>
    <w:uiPriority w:val="9"/>
    <w:rsid w:val="00AC585A"/>
    <w:rPr>
      <w:rFonts w:ascii="Times New Roman" w:hAnsi="Times New Roman"/>
      <w:b/>
      <w:bCs/>
      <w:sz w:val="27"/>
      <w:szCs w:val="27"/>
    </w:rPr>
  </w:style>
  <w:style w:type="paragraph" w:styleId="NormalWeb">
    <w:name w:val="Normal (Web)"/>
    <w:basedOn w:val="Normal"/>
    <w:uiPriority w:val="99"/>
    <w:unhideWhenUsed/>
    <w:rsid w:val="00AC585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C585A"/>
    <w:rPr>
      <w:color w:val="0000FF"/>
      <w:u w:val="single"/>
    </w:rPr>
  </w:style>
  <w:style w:type="character" w:styleId="Emphasis">
    <w:name w:val="Emphasis"/>
    <w:basedOn w:val="DefaultParagraphFont"/>
    <w:uiPriority w:val="20"/>
    <w:qFormat/>
    <w:rsid w:val="00AC585A"/>
    <w:rPr>
      <w:i/>
      <w:iCs/>
    </w:rPr>
  </w:style>
  <w:style w:type="character" w:styleId="Strong">
    <w:name w:val="Strong"/>
    <w:basedOn w:val="DefaultParagraphFont"/>
    <w:uiPriority w:val="22"/>
    <w:qFormat/>
    <w:rsid w:val="00AC585A"/>
    <w:rPr>
      <w:b/>
      <w:bCs/>
    </w:rPr>
  </w:style>
  <w:style w:type="character" w:styleId="FollowedHyperlink">
    <w:name w:val="FollowedHyperlink"/>
    <w:basedOn w:val="DefaultParagraphFont"/>
    <w:uiPriority w:val="99"/>
    <w:semiHidden/>
    <w:unhideWhenUsed/>
    <w:rsid w:val="00AC585A"/>
    <w:rPr>
      <w:color w:val="800080" w:themeColor="followedHyperlink"/>
      <w:u w:val="single"/>
    </w:rPr>
  </w:style>
  <w:style w:type="character" w:customStyle="1" w:styleId="Heading1Char">
    <w:name w:val="Heading 1 Char"/>
    <w:basedOn w:val="DefaultParagraphFont"/>
    <w:link w:val="Heading1"/>
    <w:uiPriority w:val="9"/>
    <w:rsid w:val="00AC585A"/>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FA6501"/>
    <w:pPr>
      <w:tabs>
        <w:tab w:val="center" w:pos="4320"/>
        <w:tab w:val="right" w:pos="8640"/>
      </w:tabs>
    </w:pPr>
  </w:style>
  <w:style w:type="character" w:customStyle="1" w:styleId="HeaderChar">
    <w:name w:val="Header Char"/>
    <w:basedOn w:val="DefaultParagraphFont"/>
    <w:link w:val="Header"/>
    <w:uiPriority w:val="99"/>
    <w:rsid w:val="00FA6501"/>
  </w:style>
  <w:style w:type="paragraph" w:styleId="Footer">
    <w:name w:val="footer"/>
    <w:basedOn w:val="Normal"/>
    <w:link w:val="FooterChar"/>
    <w:uiPriority w:val="99"/>
    <w:unhideWhenUsed/>
    <w:rsid w:val="00FA6501"/>
    <w:pPr>
      <w:tabs>
        <w:tab w:val="center" w:pos="4320"/>
        <w:tab w:val="right" w:pos="8640"/>
      </w:tabs>
    </w:pPr>
  </w:style>
  <w:style w:type="character" w:customStyle="1" w:styleId="FooterChar">
    <w:name w:val="Footer Char"/>
    <w:basedOn w:val="DefaultParagraphFont"/>
    <w:link w:val="Footer"/>
    <w:uiPriority w:val="99"/>
    <w:rsid w:val="00FA6501"/>
  </w:style>
  <w:style w:type="paragraph" w:styleId="ListParagraph">
    <w:name w:val="List Paragraph"/>
    <w:basedOn w:val="Normal"/>
    <w:uiPriority w:val="34"/>
    <w:qFormat/>
    <w:rsid w:val="001D2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9594">
      <w:bodyDiv w:val="1"/>
      <w:marLeft w:val="0"/>
      <w:marRight w:val="0"/>
      <w:marTop w:val="0"/>
      <w:marBottom w:val="0"/>
      <w:divBdr>
        <w:top w:val="none" w:sz="0" w:space="0" w:color="auto"/>
        <w:left w:val="none" w:sz="0" w:space="0" w:color="auto"/>
        <w:bottom w:val="none" w:sz="0" w:space="0" w:color="auto"/>
        <w:right w:val="none" w:sz="0" w:space="0" w:color="auto"/>
      </w:divBdr>
    </w:div>
    <w:div w:id="83574141">
      <w:bodyDiv w:val="1"/>
      <w:marLeft w:val="0"/>
      <w:marRight w:val="0"/>
      <w:marTop w:val="0"/>
      <w:marBottom w:val="0"/>
      <w:divBdr>
        <w:top w:val="none" w:sz="0" w:space="0" w:color="auto"/>
        <w:left w:val="none" w:sz="0" w:space="0" w:color="auto"/>
        <w:bottom w:val="none" w:sz="0" w:space="0" w:color="auto"/>
        <w:right w:val="none" w:sz="0" w:space="0" w:color="auto"/>
      </w:divBdr>
    </w:div>
    <w:div w:id="89860201">
      <w:bodyDiv w:val="1"/>
      <w:marLeft w:val="0"/>
      <w:marRight w:val="0"/>
      <w:marTop w:val="0"/>
      <w:marBottom w:val="0"/>
      <w:divBdr>
        <w:top w:val="none" w:sz="0" w:space="0" w:color="auto"/>
        <w:left w:val="none" w:sz="0" w:space="0" w:color="auto"/>
        <w:bottom w:val="none" w:sz="0" w:space="0" w:color="auto"/>
        <w:right w:val="none" w:sz="0" w:space="0" w:color="auto"/>
      </w:divBdr>
    </w:div>
    <w:div w:id="162818096">
      <w:bodyDiv w:val="1"/>
      <w:marLeft w:val="0"/>
      <w:marRight w:val="0"/>
      <w:marTop w:val="0"/>
      <w:marBottom w:val="0"/>
      <w:divBdr>
        <w:top w:val="none" w:sz="0" w:space="0" w:color="auto"/>
        <w:left w:val="none" w:sz="0" w:space="0" w:color="auto"/>
        <w:bottom w:val="none" w:sz="0" w:space="0" w:color="auto"/>
        <w:right w:val="none" w:sz="0" w:space="0" w:color="auto"/>
      </w:divBdr>
    </w:div>
    <w:div w:id="336618819">
      <w:bodyDiv w:val="1"/>
      <w:marLeft w:val="0"/>
      <w:marRight w:val="0"/>
      <w:marTop w:val="0"/>
      <w:marBottom w:val="0"/>
      <w:divBdr>
        <w:top w:val="none" w:sz="0" w:space="0" w:color="auto"/>
        <w:left w:val="none" w:sz="0" w:space="0" w:color="auto"/>
        <w:bottom w:val="none" w:sz="0" w:space="0" w:color="auto"/>
        <w:right w:val="none" w:sz="0" w:space="0" w:color="auto"/>
      </w:divBdr>
    </w:div>
    <w:div w:id="481121955">
      <w:bodyDiv w:val="1"/>
      <w:marLeft w:val="0"/>
      <w:marRight w:val="0"/>
      <w:marTop w:val="0"/>
      <w:marBottom w:val="0"/>
      <w:divBdr>
        <w:top w:val="none" w:sz="0" w:space="0" w:color="auto"/>
        <w:left w:val="none" w:sz="0" w:space="0" w:color="auto"/>
        <w:bottom w:val="none" w:sz="0" w:space="0" w:color="auto"/>
        <w:right w:val="none" w:sz="0" w:space="0" w:color="auto"/>
      </w:divBdr>
      <w:divsChild>
        <w:div w:id="113986930">
          <w:marLeft w:val="0"/>
          <w:marRight w:val="0"/>
          <w:marTop w:val="0"/>
          <w:marBottom w:val="180"/>
          <w:divBdr>
            <w:top w:val="none" w:sz="0" w:space="0" w:color="auto"/>
            <w:left w:val="none" w:sz="0" w:space="0" w:color="auto"/>
            <w:bottom w:val="single" w:sz="6" w:space="2" w:color="E4E5E6"/>
            <w:right w:val="none" w:sz="0" w:space="0" w:color="auto"/>
          </w:divBdr>
        </w:div>
        <w:div w:id="71245059">
          <w:marLeft w:val="0"/>
          <w:marRight w:val="0"/>
          <w:marTop w:val="0"/>
          <w:marBottom w:val="375"/>
          <w:divBdr>
            <w:top w:val="none" w:sz="0" w:space="0" w:color="auto"/>
            <w:left w:val="none" w:sz="0" w:space="0" w:color="auto"/>
            <w:bottom w:val="none" w:sz="0" w:space="0" w:color="auto"/>
            <w:right w:val="none" w:sz="0" w:space="0" w:color="auto"/>
          </w:divBdr>
        </w:div>
      </w:divsChild>
    </w:div>
    <w:div w:id="610740696">
      <w:bodyDiv w:val="1"/>
      <w:marLeft w:val="0"/>
      <w:marRight w:val="0"/>
      <w:marTop w:val="0"/>
      <w:marBottom w:val="0"/>
      <w:divBdr>
        <w:top w:val="none" w:sz="0" w:space="0" w:color="auto"/>
        <w:left w:val="none" w:sz="0" w:space="0" w:color="auto"/>
        <w:bottom w:val="none" w:sz="0" w:space="0" w:color="auto"/>
        <w:right w:val="none" w:sz="0" w:space="0" w:color="auto"/>
      </w:divBdr>
    </w:div>
    <w:div w:id="960764805">
      <w:bodyDiv w:val="1"/>
      <w:marLeft w:val="0"/>
      <w:marRight w:val="0"/>
      <w:marTop w:val="0"/>
      <w:marBottom w:val="0"/>
      <w:divBdr>
        <w:top w:val="none" w:sz="0" w:space="0" w:color="auto"/>
        <w:left w:val="none" w:sz="0" w:space="0" w:color="auto"/>
        <w:bottom w:val="none" w:sz="0" w:space="0" w:color="auto"/>
        <w:right w:val="none" w:sz="0" w:space="0" w:color="auto"/>
      </w:divBdr>
    </w:div>
    <w:div w:id="1066757491">
      <w:bodyDiv w:val="1"/>
      <w:marLeft w:val="0"/>
      <w:marRight w:val="0"/>
      <w:marTop w:val="0"/>
      <w:marBottom w:val="0"/>
      <w:divBdr>
        <w:top w:val="none" w:sz="0" w:space="0" w:color="auto"/>
        <w:left w:val="none" w:sz="0" w:space="0" w:color="auto"/>
        <w:bottom w:val="none" w:sz="0" w:space="0" w:color="auto"/>
        <w:right w:val="none" w:sz="0" w:space="0" w:color="auto"/>
      </w:divBdr>
    </w:div>
    <w:div w:id="1096245244">
      <w:bodyDiv w:val="1"/>
      <w:marLeft w:val="0"/>
      <w:marRight w:val="0"/>
      <w:marTop w:val="0"/>
      <w:marBottom w:val="0"/>
      <w:divBdr>
        <w:top w:val="none" w:sz="0" w:space="0" w:color="auto"/>
        <w:left w:val="none" w:sz="0" w:space="0" w:color="auto"/>
        <w:bottom w:val="none" w:sz="0" w:space="0" w:color="auto"/>
        <w:right w:val="none" w:sz="0" w:space="0" w:color="auto"/>
      </w:divBdr>
    </w:div>
    <w:div w:id="1254631995">
      <w:bodyDiv w:val="1"/>
      <w:marLeft w:val="0"/>
      <w:marRight w:val="0"/>
      <w:marTop w:val="0"/>
      <w:marBottom w:val="0"/>
      <w:divBdr>
        <w:top w:val="none" w:sz="0" w:space="0" w:color="auto"/>
        <w:left w:val="none" w:sz="0" w:space="0" w:color="auto"/>
        <w:bottom w:val="none" w:sz="0" w:space="0" w:color="auto"/>
        <w:right w:val="none" w:sz="0" w:space="0" w:color="auto"/>
      </w:divBdr>
      <w:divsChild>
        <w:div w:id="1728913268">
          <w:marLeft w:val="0"/>
          <w:marRight w:val="0"/>
          <w:marTop w:val="0"/>
          <w:marBottom w:val="0"/>
          <w:divBdr>
            <w:top w:val="none" w:sz="0" w:space="0" w:color="auto"/>
            <w:left w:val="none" w:sz="0" w:space="0" w:color="auto"/>
            <w:bottom w:val="none" w:sz="0" w:space="0" w:color="auto"/>
            <w:right w:val="none" w:sz="0" w:space="0" w:color="auto"/>
          </w:divBdr>
        </w:div>
        <w:div w:id="1151167851">
          <w:marLeft w:val="0"/>
          <w:marRight w:val="0"/>
          <w:marTop w:val="0"/>
          <w:marBottom w:val="0"/>
          <w:divBdr>
            <w:top w:val="none" w:sz="0" w:space="0" w:color="auto"/>
            <w:left w:val="none" w:sz="0" w:space="0" w:color="auto"/>
            <w:bottom w:val="none" w:sz="0" w:space="0" w:color="auto"/>
            <w:right w:val="none" w:sz="0" w:space="0" w:color="auto"/>
          </w:divBdr>
        </w:div>
      </w:divsChild>
    </w:div>
    <w:div w:id="1444378798">
      <w:bodyDiv w:val="1"/>
      <w:marLeft w:val="0"/>
      <w:marRight w:val="0"/>
      <w:marTop w:val="0"/>
      <w:marBottom w:val="0"/>
      <w:divBdr>
        <w:top w:val="none" w:sz="0" w:space="0" w:color="auto"/>
        <w:left w:val="none" w:sz="0" w:space="0" w:color="auto"/>
        <w:bottom w:val="none" w:sz="0" w:space="0" w:color="auto"/>
        <w:right w:val="none" w:sz="0" w:space="0" w:color="auto"/>
      </w:divBdr>
    </w:div>
    <w:div w:id="1446997901">
      <w:bodyDiv w:val="1"/>
      <w:marLeft w:val="0"/>
      <w:marRight w:val="0"/>
      <w:marTop w:val="0"/>
      <w:marBottom w:val="0"/>
      <w:divBdr>
        <w:top w:val="none" w:sz="0" w:space="0" w:color="auto"/>
        <w:left w:val="none" w:sz="0" w:space="0" w:color="auto"/>
        <w:bottom w:val="none" w:sz="0" w:space="0" w:color="auto"/>
        <w:right w:val="none" w:sz="0" w:space="0" w:color="auto"/>
      </w:divBdr>
    </w:div>
    <w:div w:id="1577864755">
      <w:bodyDiv w:val="1"/>
      <w:marLeft w:val="0"/>
      <w:marRight w:val="0"/>
      <w:marTop w:val="0"/>
      <w:marBottom w:val="0"/>
      <w:divBdr>
        <w:top w:val="none" w:sz="0" w:space="0" w:color="auto"/>
        <w:left w:val="none" w:sz="0" w:space="0" w:color="auto"/>
        <w:bottom w:val="none" w:sz="0" w:space="0" w:color="auto"/>
        <w:right w:val="none" w:sz="0" w:space="0" w:color="auto"/>
      </w:divBdr>
    </w:div>
    <w:div w:id="1605501428">
      <w:bodyDiv w:val="1"/>
      <w:marLeft w:val="0"/>
      <w:marRight w:val="0"/>
      <w:marTop w:val="0"/>
      <w:marBottom w:val="0"/>
      <w:divBdr>
        <w:top w:val="none" w:sz="0" w:space="0" w:color="auto"/>
        <w:left w:val="none" w:sz="0" w:space="0" w:color="auto"/>
        <w:bottom w:val="none" w:sz="0" w:space="0" w:color="auto"/>
        <w:right w:val="none" w:sz="0" w:space="0" w:color="auto"/>
      </w:divBdr>
    </w:div>
    <w:div w:id="1695299926">
      <w:bodyDiv w:val="1"/>
      <w:marLeft w:val="0"/>
      <w:marRight w:val="0"/>
      <w:marTop w:val="0"/>
      <w:marBottom w:val="0"/>
      <w:divBdr>
        <w:top w:val="none" w:sz="0" w:space="0" w:color="auto"/>
        <w:left w:val="none" w:sz="0" w:space="0" w:color="auto"/>
        <w:bottom w:val="none" w:sz="0" w:space="0" w:color="auto"/>
        <w:right w:val="none" w:sz="0" w:space="0" w:color="auto"/>
      </w:divBdr>
    </w:div>
    <w:div w:id="1890413275">
      <w:bodyDiv w:val="1"/>
      <w:marLeft w:val="0"/>
      <w:marRight w:val="0"/>
      <w:marTop w:val="0"/>
      <w:marBottom w:val="0"/>
      <w:divBdr>
        <w:top w:val="none" w:sz="0" w:space="0" w:color="auto"/>
        <w:left w:val="none" w:sz="0" w:space="0" w:color="auto"/>
        <w:bottom w:val="none" w:sz="0" w:space="0" w:color="auto"/>
        <w:right w:val="none" w:sz="0" w:space="0" w:color="auto"/>
      </w:divBdr>
      <w:divsChild>
        <w:div w:id="1654791997">
          <w:marLeft w:val="0"/>
          <w:marRight w:val="0"/>
          <w:marTop w:val="0"/>
          <w:marBottom w:val="0"/>
          <w:divBdr>
            <w:top w:val="none" w:sz="0" w:space="0" w:color="auto"/>
            <w:left w:val="none" w:sz="0" w:space="0" w:color="auto"/>
            <w:bottom w:val="none" w:sz="0" w:space="0" w:color="auto"/>
            <w:right w:val="none" w:sz="0" w:space="0" w:color="auto"/>
          </w:divBdr>
        </w:div>
        <w:div w:id="61146789">
          <w:marLeft w:val="0"/>
          <w:marRight w:val="0"/>
          <w:marTop w:val="0"/>
          <w:marBottom w:val="0"/>
          <w:divBdr>
            <w:top w:val="none" w:sz="0" w:space="0" w:color="auto"/>
            <w:left w:val="none" w:sz="0" w:space="0" w:color="auto"/>
            <w:bottom w:val="none" w:sz="0" w:space="0" w:color="auto"/>
            <w:right w:val="none" w:sz="0" w:space="0" w:color="auto"/>
          </w:divBdr>
        </w:div>
        <w:div w:id="1617517501">
          <w:marLeft w:val="0"/>
          <w:marRight w:val="0"/>
          <w:marTop w:val="0"/>
          <w:marBottom w:val="0"/>
          <w:divBdr>
            <w:top w:val="none" w:sz="0" w:space="0" w:color="auto"/>
            <w:left w:val="none" w:sz="0" w:space="0" w:color="auto"/>
            <w:bottom w:val="none" w:sz="0" w:space="0" w:color="auto"/>
            <w:right w:val="none" w:sz="0" w:space="0" w:color="auto"/>
          </w:divBdr>
        </w:div>
        <w:div w:id="2143887787">
          <w:marLeft w:val="0"/>
          <w:marRight w:val="0"/>
          <w:marTop w:val="0"/>
          <w:marBottom w:val="0"/>
          <w:divBdr>
            <w:top w:val="none" w:sz="0" w:space="0" w:color="auto"/>
            <w:left w:val="none" w:sz="0" w:space="0" w:color="auto"/>
            <w:bottom w:val="none" w:sz="0" w:space="0" w:color="auto"/>
            <w:right w:val="none" w:sz="0" w:space="0" w:color="auto"/>
          </w:divBdr>
        </w:div>
        <w:div w:id="809396575">
          <w:marLeft w:val="0"/>
          <w:marRight w:val="0"/>
          <w:marTop w:val="0"/>
          <w:marBottom w:val="0"/>
          <w:divBdr>
            <w:top w:val="none" w:sz="0" w:space="0" w:color="auto"/>
            <w:left w:val="none" w:sz="0" w:space="0" w:color="auto"/>
            <w:bottom w:val="none" w:sz="0" w:space="0" w:color="auto"/>
            <w:right w:val="none" w:sz="0" w:space="0" w:color="auto"/>
          </w:divBdr>
        </w:div>
        <w:div w:id="420224378">
          <w:marLeft w:val="0"/>
          <w:marRight w:val="0"/>
          <w:marTop w:val="0"/>
          <w:marBottom w:val="0"/>
          <w:divBdr>
            <w:top w:val="none" w:sz="0" w:space="0" w:color="auto"/>
            <w:left w:val="none" w:sz="0" w:space="0" w:color="auto"/>
            <w:bottom w:val="none" w:sz="0" w:space="0" w:color="auto"/>
            <w:right w:val="none" w:sz="0" w:space="0" w:color="auto"/>
          </w:divBdr>
        </w:div>
        <w:div w:id="1925798331">
          <w:marLeft w:val="0"/>
          <w:marRight w:val="0"/>
          <w:marTop w:val="0"/>
          <w:marBottom w:val="0"/>
          <w:divBdr>
            <w:top w:val="none" w:sz="0" w:space="0" w:color="auto"/>
            <w:left w:val="none" w:sz="0" w:space="0" w:color="auto"/>
            <w:bottom w:val="none" w:sz="0" w:space="0" w:color="auto"/>
            <w:right w:val="none" w:sz="0" w:space="0" w:color="auto"/>
          </w:divBdr>
        </w:div>
        <w:div w:id="1892109392">
          <w:marLeft w:val="0"/>
          <w:marRight w:val="0"/>
          <w:marTop w:val="0"/>
          <w:marBottom w:val="0"/>
          <w:divBdr>
            <w:top w:val="none" w:sz="0" w:space="0" w:color="auto"/>
            <w:left w:val="none" w:sz="0" w:space="0" w:color="auto"/>
            <w:bottom w:val="none" w:sz="0" w:space="0" w:color="auto"/>
            <w:right w:val="none" w:sz="0" w:space="0" w:color="auto"/>
          </w:divBdr>
        </w:div>
        <w:div w:id="714353023">
          <w:marLeft w:val="0"/>
          <w:marRight w:val="0"/>
          <w:marTop w:val="0"/>
          <w:marBottom w:val="0"/>
          <w:divBdr>
            <w:top w:val="none" w:sz="0" w:space="0" w:color="auto"/>
            <w:left w:val="none" w:sz="0" w:space="0" w:color="auto"/>
            <w:bottom w:val="none" w:sz="0" w:space="0" w:color="auto"/>
            <w:right w:val="none" w:sz="0" w:space="0" w:color="auto"/>
          </w:divBdr>
        </w:div>
      </w:divsChild>
    </w:div>
    <w:div w:id="1955939991">
      <w:bodyDiv w:val="1"/>
      <w:marLeft w:val="0"/>
      <w:marRight w:val="0"/>
      <w:marTop w:val="0"/>
      <w:marBottom w:val="0"/>
      <w:divBdr>
        <w:top w:val="none" w:sz="0" w:space="0" w:color="auto"/>
        <w:left w:val="none" w:sz="0" w:space="0" w:color="auto"/>
        <w:bottom w:val="none" w:sz="0" w:space="0" w:color="auto"/>
        <w:right w:val="none" w:sz="0" w:space="0" w:color="auto"/>
      </w:divBdr>
    </w:div>
    <w:div w:id="2078018898">
      <w:bodyDiv w:val="1"/>
      <w:marLeft w:val="0"/>
      <w:marRight w:val="0"/>
      <w:marTop w:val="0"/>
      <w:marBottom w:val="0"/>
      <w:divBdr>
        <w:top w:val="none" w:sz="0" w:space="0" w:color="auto"/>
        <w:left w:val="none" w:sz="0" w:space="0" w:color="auto"/>
        <w:bottom w:val="none" w:sz="0" w:space="0" w:color="auto"/>
        <w:right w:val="none" w:sz="0" w:space="0" w:color="auto"/>
      </w:divBdr>
      <w:divsChild>
        <w:div w:id="1348677702">
          <w:marLeft w:val="0"/>
          <w:marRight w:val="0"/>
          <w:marTop w:val="0"/>
          <w:marBottom w:val="0"/>
          <w:divBdr>
            <w:top w:val="none" w:sz="0" w:space="0" w:color="auto"/>
            <w:left w:val="none" w:sz="0" w:space="0" w:color="auto"/>
            <w:bottom w:val="none" w:sz="0" w:space="0" w:color="auto"/>
            <w:right w:val="none" w:sz="0" w:space="0" w:color="auto"/>
          </w:divBdr>
          <w:divsChild>
            <w:div w:id="134808732">
              <w:marLeft w:val="0"/>
              <w:marRight w:val="0"/>
              <w:marTop w:val="0"/>
              <w:marBottom w:val="0"/>
              <w:divBdr>
                <w:top w:val="none" w:sz="0" w:space="0" w:color="auto"/>
                <w:left w:val="none" w:sz="0" w:space="0" w:color="auto"/>
                <w:bottom w:val="none" w:sz="0" w:space="0" w:color="auto"/>
                <w:right w:val="none" w:sz="0" w:space="0" w:color="auto"/>
              </w:divBdr>
              <w:divsChild>
                <w:div w:id="848374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92968224">
      <w:bodyDiv w:val="1"/>
      <w:marLeft w:val="0"/>
      <w:marRight w:val="0"/>
      <w:marTop w:val="0"/>
      <w:marBottom w:val="0"/>
      <w:divBdr>
        <w:top w:val="none" w:sz="0" w:space="0" w:color="auto"/>
        <w:left w:val="none" w:sz="0" w:space="0" w:color="auto"/>
        <w:bottom w:val="none" w:sz="0" w:space="0" w:color="auto"/>
        <w:right w:val="none" w:sz="0" w:space="0" w:color="auto"/>
      </w:divBdr>
    </w:div>
    <w:div w:id="2143108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nvestopedia.com/terms/a/annuity.asp" TargetMode="External"/><Relationship Id="rId20" Type="http://schemas.openxmlformats.org/officeDocument/2006/relationships/hyperlink" Target="https://www.investopedia.com/terms/m/marketindex.asp" TargetMode="External"/><Relationship Id="rId21" Type="http://schemas.openxmlformats.org/officeDocument/2006/relationships/hyperlink" Target="https://www.investopedia.com/financial-edge/1210/401k-fees-you-need-to-know.aspx" TargetMode="External"/><Relationship Id="rId22" Type="http://schemas.openxmlformats.org/officeDocument/2006/relationships/hyperlink" Target="https://www.investopedia.com/terms/a/annuitant.asp"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investopedia.com/terms/a/accrue.asp" TargetMode="External"/><Relationship Id="rId11" Type="http://schemas.openxmlformats.org/officeDocument/2006/relationships/hyperlink" Target="https://www.investopedia.com/terms/1/401kplan.asp" TargetMode="External"/><Relationship Id="rId12" Type="http://schemas.openxmlformats.org/officeDocument/2006/relationships/hyperlink" Target="https://www.investopedia.com/terms/l/lump-sum-payment.asp" TargetMode="External"/><Relationship Id="rId13" Type="http://schemas.openxmlformats.org/officeDocument/2006/relationships/hyperlink" Target="https://www.investopedia.com/terms/p/payout.asp" TargetMode="External"/><Relationship Id="rId14" Type="http://schemas.openxmlformats.org/officeDocument/2006/relationships/hyperlink" Target="https://www.investopedia.com/terms/f/fixedannuity.asp" TargetMode="External"/><Relationship Id="rId15" Type="http://schemas.openxmlformats.org/officeDocument/2006/relationships/hyperlink" Target="https://www.investopedia.com/terms/a/annual-return.asp" TargetMode="External"/><Relationship Id="rId16" Type="http://schemas.openxmlformats.org/officeDocument/2006/relationships/hyperlink" Target="https://www.investopedia.com/terms/c/certificateofdeposit.asp" TargetMode="External"/><Relationship Id="rId17" Type="http://schemas.openxmlformats.org/officeDocument/2006/relationships/hyperlink" Target="https://www.investopedia.com/terms/v/variableannuity.asp" TargetMode="External"/><Relationship Id="rId18" Type="http://schemas.openxmlformats.org/officeDocument/2006/relationships/hyperlink" Target="https://www.investopedia.com/articles/mutualfund/05/shareclass.asp" TargetMode="External"/><Relationship Id="rId19" Type="http://schemas.openxmlformats.org/officeDocument/2006/relationships/hyperlink" Target="https://www.investopedia.com/terms/i/indexedannuity.as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CDC8-F96A-3A4D-921F-14F1286B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2442</Words>
  <Characters>13923</Characters>
  <Application>Microsoft Macintosh Word</Application>
  <DocSecurity>0</DocSecurity>
  <Lines>116</Lines>
  <Paragraphs>32</Paragraphs>
  <ScaleCrop>false</ScaleCrop>
  <Company>Jay</Company>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Song</dc:creator>
  <cp:keywords/>
  <dc:description/>
  <cp:lastModifiedBy>Jian Song</cp:lastModifiedBy>
  <cp:revision>3</cp:revision>
  <dcterms:created xsi:type="dcterms:W3CDTF">2019-04-08T16:03:00Z</dcterms:created>
  <dcterms:modified xsi:type="dcterms:W3CDTF">2019-04-08T17:33:00Z</dcterms:modified>
</cp:coreProperties>
</file>