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400" w:rsidRPr="00A06400" w:rsidRDefault="00A06400" w:rsidP="008779B6">
      <w:pPr>
        <w:pStyle w:val="QEUareviewof"/>
        <w:rPr>
          <w:b/>
        </w:rPr>
      </w:pPr>
      <w:r w:rsidRPr="00A06400">
        <w:t>A review of Q</w:t>
      </w:r>
      <w:r w:rsidR="0071593E">
        <w:t>1 2019</w:t>
      </w:r>
    </w:p>
    <w:p w:rsidR="00F07553" w:rsidRPr="008779B6" w:rsidRDefault="005B1D7C" w:rsidP="008779B6">
      <w:pPr>
        <w:pStyle w:val="QEUTitle"/>
      </w:pPr>
      <w:r w:rsidRPr="008779B6">
        <w:t>Q</w:t>
      </w:r>
      <w:r w:rsidR="00A06400" w:rsidRPr="008779B6">
        <w:t>uarterly</w:t>
      </w:r>
      <w:r w:rsidRPr="008779B6">
        <w:t xml:space="preserve"> E</w:t>
      </w:r>
      <w:r w:rsidR="00A06400" w:rsidRPr="008779B6">
        <w:t>conomic</w:t>
      </w:r>
      <w:r w:rsidRPr="008779B6">
        <w:t xml:space="preserve"> U</w:t>
      </w:r>
      <w:r w:rsidR="00A06400" w:rsidRPr="008779B6">
        <w:t>pdate</w:t>
      </w:r>
    </w:p>
    <w:p w:rsidR="00A06400" w:rsidRPr="00685F99" w:rsidRDefault="005B1D7C" w:rsidP="008779B6">
      <w:pPr>
        <w:pStyle w:val="QEU-PresentedBy"/>
      </w:pPr>
      <w:r w:rsidRPr="00685F99">
        <w:t>Presented</w:t>
      </w:r>
      <w:r w:rsidR="00A06400" w:rsidRPr="00685F99">
        <w:t xml:space="preserve"> </w:t>
      </w:r>
      <w:r w:rsidRPr="00685F99">
        <w:t>by</w:t>
      </w:r>
      <w:r w:rsidRPr="00E2553D">
        <w:t>:</w:t>
      </w:r>
      <w:r w:rsidR="00E2553D" w:rsidRPr="00E2553D">
        <w:rPr>
          <w:noProof/>
        </w:rPr>
        <w:t xml:space="preserve"> ClearView Wealth Advisors</w:t>
      </w:r>
      <w:bookmarkStart w:id="0" w:name="_GoBack"/>
      <w:bookmarkEnd w:id="0"/>
    </w:p>
    <w:p w:rsidR="00BD054A" w:rsidRPr="000B0B46" w:rsidRDefault="00095069" w:rsidP="008779B6">
      <w:pPr>
        <w:pStyle w:val="QEUInThisUpdatelinks"/>
        <w:rPr>
          <w:rFonts w:asciiTheme="majorHAnsi" w:hAnsiTheme="majorHAnsi"/>
          <w:color w:val="009CDE" w:themeColor="accent2"/>
          <w:sz w:val="24"/>
          <w:szCs w:val="24"/>
        </w:rPr>
      </w:pPr>
      <w:r w:rsidRPr="00095069">
        <w:rPr>
          <w:sz w:val="22"/>
        </w:rPr>
        <w:br/>
      </w:r>
      <w:r w:rsidR="00BD054A" w:rsidRPr="000B0B46">
        <w:rPr>
          <w:rStyle w:val="Bold"/>
          <w:rFonts w:ascii="Century Gothic" w:hAnsi="Century Gothic"/>
        </w:rPr>
        <w:t xml:space="preserve">In this </w:t>
      </w:r>
      <w:r w:rsidR="0071593E">
        <w:rPr>
          <w:rStyle w:val="Bold"/>
          <w:rFonts w:ascii="Century Gothic" w:hAnsi="Century Gothic"/>
        </w:rPr>
        <w:t>Q1</w:t>
      </w:r>
      <w:r w:rsidR="002B5866">
        <w:rPr>
          <w:rStyle w:val="Bold"/>
          <w:rFonts w:ascii="Century Gothic" w:hAnsi="Century Gothic"/>
        </w:rPr>
        <w:t xml:space="preserve"> recap</w:t>
      </w:r>
      <w:r w:rsidR="000B0B46" w:rsidRPr="000B0B46">
        <w:rPr>
          <w:rStyle w:val="Bold"/>
          <w:rFonts w:ascii="Century Gothic" w:hAnsi="Century Gothic"/>
        </w:rPr>
        <w:t>:</w:t>
      </w:r>
      <w:r w:rsidR="000B0B46" w:rsidRPr="000B0B46">
        <w:rPr>
          <w:rFonts w:asciiTheme="majorHAnsi" w:hAnsiTheme="majorHAnsi"/>
          <w:color w:val="009CDE" w:themeColor="accent2"/>
          <w:sz w:val="24"/>
          <w:szCs w:val="24"/>
        </w:rPr>
        <w:t xml:space="preserve"> </w:t>
      </w:r>
      <w:r w:rsidR="0071593E">
        <w:rPr>
          <w:rFonts w:asciiTheme="majorHAnsi" w:hAnsiTheme="majorHAnsi"/>
          <w:color w:val="009CDE" w:themeColor="accent2"/>
          <w:sz w:val="24"/>
          <w:szCs w:val="24"/>
        </w:rPr>
        <w:t>T</w:t>
      </w:r>
      <w:r w:rsidR="0071593E" w:rsidRPr="0071593E">
        <w:rPr>
          <w:rFonts w:asciiTheme="majorHAnsi" w:hAnsiTheme="majorHAnsi"/>
          <w:color w:val="009CDE" w:themeColor="accent2"/>
          <w:sz w:val="24"/>
          <w:szCs w:val="24"/>
        </w:rPr>
        <w:t>he Federal Reserve alters its outlook, the truce in the trade dispute holds, the real estate market strengthens, and stocks make an impressive comeback from Q4, even as growth concerns mount.</w:t>
      </w:r>
    </w:p>
    <w:tbl>
      <w:tblPr>
        <w:tblStyle w:val="FT1"/>
        <w:tblW w:w="10858" w:type="dxa"/>
        <w:tblLayout w:type="fixed"/>
        <w:tblLook w:val="04A0" w:firstRow="1" w:lastRow="0" w:firstColumn="1" w:lastColumn="0" w:noHBand="0" w:noVBand="1"/>
      </w:tblPr>
      <w:tblGrid>
        <w:gridCol w:w="1408"/>
        <w:gridCol w:w="9450"/>
      </w:tblGrid>
      <w:tr w:rsidR="00971FC0" w:rsidRPr="00971FC0" w:rsidTr="00D8715B">
        <w:tc>
          <w:tcPr>
            <w:cnfStyle w:val="001000000000" w:firstRow="0" w:lastRow="0" w:firstColumn="1" w:lastColumn="0" w:oddVBand="0" w:evenVBand="0" w:oddHBand="0" w:evenHBand="0" w:firstRowFirstColumn="0" w:firstRowLastColumn="0" w:lastRowFirstColumn="0" w:lastRowLastColumn="0"/>
            <w:tcW w:w="1408" w:type="dxa"/>
            <w:tcMar>
              <w:top w:w="173" w:type="dxa"/>
            </w:tcMar>
          </w:tcPr>
          <w:p w:rsidR="00971FC0" w:rsidRPr="00114AB0" w:rsidRDefault="00A06400" w:rsidP="00935A3D">
            <w:pPr>
              <w:pStyle w:val="QEULeftColumnTitles"/>
              <w:rPr>
                <w:rStyle w:val="Bold"/>
                <w:rFonts w:ascii="Century Gothic" w:hAnsi="Century Gothic"/>
              </w:rPr>
            </w:pPr>
            <w:bookmarkStart w:id="1" w:name="Brief"/>
            <w:r>
              <w:rPr>
                <w:rStyle w:val="Bold"/>
                <w:rFonts w:ascii="Century Gothic" w:hAnsi="Century Gothic"/>
              </w:rPr>
              <w:t xml:space="preserve">The Quarter </w:t>
            </w:r>
            <w:r w:rsidR="006C6202">
              <w:rPr>
                <w:rStyle w:val="Bold"/>
                <w:rFonts w:ascii="Century Gothic" w:hAnsi="Century Gothic"/>
              </w:rPr>
              <w:br/>
            </w:r>
            <w:r>
              <w:rPr>
                <w:rStyle w:val="Bold"/>
                <w:rFonts w:ascii="Century Gothic" w:hAnsi="Century Gothic"/>
              </w:rPr>
              <w:t>in Brief</w:t>
            </w:r>
            <w:bookmarkEnd w:id="1"/>
          </w:p>
        </w:tc>
        <w:tc>
          <w:tcPr>
            <w:tcW w:w="9450" w:type="dxa"/>
            <w:tcMar>
              <w:top w:w="173" w:type="dxa"/>
            </w:tcMar>
          </w:tcPr>
          <w:p w:rsidR="00971FC0" w:rsidRPr="0071593E" w:rsidRDefault="0071593E" w:rsidP="0071593E">
            <w:pPr>
              <w:tabs>
                <w:tab w:val="clear" w:pos="1872"/>
              </w:tabs>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imes New Roman"/>
                <w:color w:val="auto"/>
                <w:sz w:val="24"/>
                <w:szCs w:val="24"/>
              </w:rPr>
            </w:pPr>
            <w:r w:rsidRPr="0071593E">
              <w:rPr>
                <w:rFonts w:ascii="Calibri Light" w:eastAsia="Calibri" w:hAnsi="Calibri Light" w:cs="Times New Roman"/>
                <w:color w:val="auto"/>
                <w:sz w:val="24"/>
                <w:szCs w:val="24"/>
              </w:rPr>
              <w:t>The strongest first quarter for stocks in 21 years featured all kinds of news. Central banks revised their outlook on monetary policy, seeing less robust economies in 2019. Faint glimmers of progress emerged in the U.S.-China trade dispute. Concerns over near-term corporate earnings and bond yields grew. The possibility of a “hard” Brexit loomed in Europe. The real estate market showed signs of heating up again. As the closing bell rang on the last trading day of March, the Standard and Poor’s 500 notched a 13% gain for the first three months of the year.</w:t>
            </w:r>
            <w:r w:rsidRPr="0071593E">
              <w:rPr>
                <w:rFonts w:ascii="Calibri Light" w:eastAsia="Calibri" w:hAnsi="Calibri Light" w:cs="Times New Roman"/>
                <w:color w:val="auto"/>
                <w:sz w:val="24"/>
                <w:szCs w:val="24"/>
                <w:vertAlign w:val="superscript"/>
              </w:rPr>
              <w:t>1</w:t>
            </w:r>
          </w:p>
        </w:tc>
      </w:tr>
      <w:tr w:rsidR="00971FC0" w:rsidRPr="00971FC0" w:rsidTr="00D8715B">
        <w:tc>
          <w:tcPr>
            <w:cnfStyle w:val="001000000000" w:firstRow="0" w:lastRow="0" w:firstColumn="1" w:lastColumn="0" w:oddVBand="0" w:evenVBand="0" w:oddHBand="0" w:evenHBand="0" w:firstRowFirstColumn="0" w:firstRowLastColumn="0" w:lastRowFirstColumn="0" w:lastRowLastColumn="0"/>
            <w:tcW w:w="1408" w:type="dxa"/>
            <w:tcMar>
              <w:top w:w="173" w:type="dxa"/>
            </w:tcMar>
          </w:tcPr>
          <w:p w:rsidR="00971FC0" w:rsidRPr="00AB6546" w:rsidRDefault="00A06400" w:rsidP="00935A3D">
            <w:pPr>
              <w:pStyle w:val="QEULeftColumnTitles"/>
              <w:rPr>
                <w:rStyle w:val="Bold"/>
              </w:rPr>
            </w:pPr>
            <w:bookmarkStart w:id="2" w:name="Health"/>
            <w:bookmarkStart w:id="3" w:name="DomesticHealth"/>
            <w:r>
              <w:rPr>
                <w:rStyle w:val="Bold"/>
              </w:rPr>
              <w:t>Domestic Economic Health</w:t>
            </w:r>
            <w:bookmarkEnd w:id="2"/>
            <w:bookmarkEnd w:id="3"/>
          </w:p>
        </w:tc>
        <w:tc>
          <w:tcPr>
            <w:tcW w:w="9450" w:type="dxa"/>
            <w:tcMar>
              <w:top w:w="173" w:type="dxa"/>
            </w:tcMar>
          </w:tcPr>
          <w:p w:rsidR="0071593E" w:rsidRPr="0071593E" w:rsidRDefault="0071593E" w:rsidP="0071593E">
            <w:pPr>
              <w:tabs>
                <w:tab w:val="clear" w:pos="1872"/>
              </w:tabs>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imes New Roman"/>
                <w:color w:val="auto"/>
                <w:sz w:val="24"/>
                <w:szCs w:val="24"/>
              </w:rPr>
            </w:pPr>
            <w:r w:rsidRPr="0071593E">
              <w:rPr>
                <w:rFonts w:ascii="Calibri Light" w:eastAsia="Calibri" w:hAnsi="Calibri Light" w:cs="Times New Roman"/>
                <w:color w:val="auto"/>
                <w:sz w:val="24"/>
                <w:szCs w:val="24"/>
              </w:rPr>
              <w:t xml:space="preserve">Late last year, the Federal Reserve was forecasting two interest rate hikes for 2019 and maintaining a </w:t>
            </w:r>
            <w:proofErr w:type="gramStart"/>
            <w:r w:rsidRPr="0071593E">
              <w:rPr>
                <w:rFonts w:ascii="Calibri Light" w:eastAsia="Calibri" w:hAnsi="Calibri Light" w:cs="Times New Roman"/>
                <w:color w:val="auto"/>
                <w:sz w:val="24"/>
                <w:szCs w:val="24"/>
              </w:rPr>
              <w:t>fairly hawkish</w:t>
            </w:r>
            <w:proofErr w:type="gramEnd"/>
            <w:r w:rsidRPr="0071593E">
              <w:rPr>
                <w:rFonts w:ascii="Calibri Light" w:eastAsia="Calibri" w:hAnsi="Calibri Light" w:cs="Times New Roman"/>
                <w:color w:val="auto"/>
                <w:sz w:val="24"/>
                <w:szCs w:val="24"/>
              </w:rPr>
              <w:t xml:space="preserve"> outlook. On March 20, the central bank veered away from all that. It cut its 2019 growth forecast for the economy by 0.2% to 2.1%, indicated it would not raise interest rates this year, and </w:t>
            </w:r>
            <w:r w:rsidRPr="0071593E">
              <w:rPr>
                <w:rFonts w:ascii="Calibri Light" w:eastAsia="Calibri" w:hAnsi="Calibri Light" w:cs="Calibri Light"/>
                <w:color w:val="auto"/>
                <w:sz w:val="24"/>
                <w:szCs w:val="24"/>
              </w:rPr>
              <w:t>projected just one quarter-point hike through 2021. At a press conference immediately after the release of the March policy statement, Fed Chairman Jerome Powell shared his view that the “growth of economic activity has slowed,” but he added that Fed policymakers did not foresee a recession developing.</w:t>
            </w:r>
            <w:r w:rsidRPr="0071593E">
              <w:rPr>
                <w:rFonts w:ascii="Calibri Light" w:eastAsia="Calibri" w:hAnsi="Calibri Light" w:cs="Times New Roman"/>
                <w:color w:val="auto"/>
                <w:sz w:val="24"/>
                <w:szCs w:val="24"/>
                <w:vertAlign w:val="superscript"/>
              </w:rPr>
              <w:t>2</w:t>
            </w:r>
            <w:r w:rsidRPr="0071593E">
              <w:rPr>
                <w:rFonts w:ascii="Calibri Light" w:eastAsia="Calibri" w:hAnsi="Calibri Light" w:cs="Times New Roman"/>
                <w:color w:val="auto"/>
                <w:sz w:val="24"/>
                <w:szCs w:val="24"/>
              </w:rPr>
              <w:t xml:space="preserve"> </w:t>
            </w:r>
          </w:p>
          <w:p w:rsidR="0071593E" w:rsidRPr="0071593E" w:rsidRDefault="0071593E" w:rsidP="0071593E">
            <w:pPr>
              <w:tabs>
                <w:tab w:val="clear" w:pos="1872"/>
              </w:tabs>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imes New Roman"/>
                <w:color w:val="auto"/>
                <w:sz w:val="24"/>
                <w:szCs w:val="24"/>
              </w:rPr>
            </w:pPr>
            <w:r w:rsidRPr="0071593E">
              <w:rPr>
                <w:rFonts w:ascii="Calibri Light" w:eastAsia="Calibri" w:hAnsi="Calibri Light" w:cs="Times New Roman"/>
                <w:color w:val="auto"/>
                <w:sz w:val="24"/>
                <w:szCs w:val="24"/>
              </w:rPr>
              <w:t xml:space="preserve">The financial markets reacted swiftly. Demand for longer-term Treasury notes rose. By March 22, the yield on the 10-year Treasury had fallen dramatically, to the point where the yield on the 2-year Treasury exceeded it. (Bond yields fall when bond prices rise.) Economists refer to this as an inverted yield curve. Some economists see an inverted yield curve as a recession signal, while others disagree. The sudden flight to longer-term Treasuries did seem to reflect a lessening of risk appetite among institutional investors. Just six days after the Fed made its pivot, the </w:t>
            </w:r>
            <w:proofErr w:type="spellStart"/>
            <w:r w:rsidRPr="0071593E">
              <w:rPr>
                <w:rFonts w:ascii="Calibri Light" w:eastAsia="Calibri" w:hAnsi="Calibri Light" w:cs="Times New Roman"/>
                <w:color w:val="auto"/>
                <w:sz w:val="24"/>
                <w:szCs w:val="24"/>
              </w:rPr>
              <w:t>CMEGroup’s</w:t>
            </w:r>
            <w:proofErr w:type="spellEnd"/>
            <w:r w:rsidRPr="0071593E">
              <w:rPr>
                <w:rFonts w:ascii="Calibri Light" w:eastAsia="Calibri" w:hAnsi="Calibri Light" w:cs="Times New Roman"/>
                <w:color w:val="auto"/>
                <w:sz w:val="24"/>
                <w:szCs w:val="24"/>
              </w:rPr>
              <w:t xml:space="preserve"> </w:t>
            </w:r>
            <w:proofErr w:type="spellStart"/>
            <w:r w:rsidRPr="0071593E">
              <w:rPr>
                <w:rFonts w:ascii="Calibri Light" w:eastAsia="Calibri" w:hAnsi="Calibri Light" w:cs="Times New Roman"/>
                <w:color w:val="auto"/>
                <w:sz w:val="24"/>
                <w:szCs w:val="24"/>
              </w:rPr>
              <w:t>FedWatch</w:t>
            </w:r>
            <w:proofErr w:type="spellEnd"/>
            <w:r w:rsidRPr="0071593E">
              <w:rPr>
                <w:rFonts w:ascii="Calibri Light" w:eastAsia="Calibri" w:hAnsi="Calibri Light" w:cs="Times New Roman"/>
                <w:color w:val="auto"/>
                <w:sz w:val="24"/>
                <w:szCs w:val="24"/>
              </w:rPr>
              <w:t xml:space="preserve"> Tool, which tracks market expectations about interest rate changes, gave the Fed a 71.7% chance of making an interest rate cut by the end of the year.</w:t>
            </w:r>
            <w:r w:rsidRPr="0071593E">
              <w:rPr>
                <w:rFonts w:ascii="Calibri Light" w:eastAsia="Calibri" w:hAnsi="Calibri Light" w:cs="Times New Roman"/>
                <w:color w:val="auto"/>
                <w:sz w:val="24"/>
                <w:szCs w:val="24"/>
                <w:vertAlign w:val="superscript"/>
              </w:rPr>
              <w:t>3,4</w:t>
            </w:r>
          </w:p>
          <w:p w:rsidR="0071593E" w:rsidRPr="0071593E" w:rsidRDefault="0071593E" w:rsidP="0071593E">
            <w:pPr>
              <w:tabs>
                <w:tab w:val="clear" w:pos="1872"/>
              </w:tabs>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imes New Roman"/>
                <w:color w:val="auto"/>
                <w:sz w:val="24"/>
                <w:szCs w:val="24"/>
              </w:rPr>
            </w:pPr>
            <w:r w:rsidRPr="0071593E">
              <w:rPr>
                <w:rFonts w:ascii="Calibri Light" w:eastAsia="Calibri" w:hAnsi="Calibri Light" w:cs="Times New Roman"/>
                <w:color w:val="auto"/>
                <w:sz w:val="24"/>
                <w:szCs w:val="24"/>
              </w:rPr>
              <w:t xml:space="preserve">Some of the incoming data during the quarter seemed to correspond with the Fed’s revised assessment of the economy, but some did not. (Some was </w:t>
            </w:r>
            <w:proofErr w:type="gramStart"/>
            <w:r w:rsidRPr="0071593E">
              <w:rPr>
                <w:rFonts w:ascii="Calibri Light" w:eastAsia="Calibri" w:hAnsi="Calibri Light" w:cs="Times New Roman"/>
                <w:color w:val="auto"/>
                <w:sz w:val="24"/>
                <w:szCs w:val="24"/>
              </w:rPr>
              <w:t>actually delayed</w:t>
            </w:r>
            <w:proofErr w:type="gramEnd"/>
            <w:r w:rsidRPr="0071593E">
              <w:rPr>
                <w:rFonts w:ascii="Calibri Light" w:eastAsia="Calibri" w:hAnsi="Calibri Light" w:cs="Times New Roman"/>
                <w:color w:val="auto"/>
                <w:sz w:val="24"/>
                <w:szCs w:val="24"/>
              </w:rPr>
              <w:t xml:space="preserve"> as an effect of the federal government shutdown that carried into late January.) </w:t>
            </w:r>
          </w:p>
          <w:p w:rsidR="0071593E" w:rsidRPr="0071593E" w:rsidRDefault="0071593E" w:rsidP="0071593E">
            <w:pPr>
              <w:tabs>
                <w:tab w:val="clear" w:pos="1872"/>
              </w:tabs>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imes New Roman"/>
                <w:color w:val="auto"/>
                <w:sz w:val="24"/>
                <w:szCs w:val="24"/>
              </w:rPr>
            </w:pPr>
            <w:r w:rsidRPr="0071593E">
              <w:rPr>
                <w:rFonts w:ascii="Calibri Light" w:eastAsia="Calibri" w:hAnsi="Calibri Light" w:cs="Times New Roman"/>
                <w:color w:val="auto"/>
                <w:sz w:val="24"/>
                <w:szCs w:val="24"/>
              </w:rPr>
              <w:lastRenderedPageBreak/>
              <w:t>Inflation pressure eased. In October, the Consumer Price Index showed a 2.5% annualized advance. By February, inflation was running at just 1.5%.</w:t>
            </w:r>
            <w:r w:rsidRPr="0071593E">
              <w:rPr>
                <w:rFonts w:ascii="Calibri Light" w:eastAsia="Calibri" w:hAnsi="Calibri Light" w:cs="Times New Roman"/>
                <w:color w:val="auto"/>
                <w:sz w:val="24"/>
                <w:szCs w:val="24"/>
                <w:vertAlign w:val="superscript"/>
              </w:rPr>
              <w:t>5</w:t>
            </w:r>
          </w:p>
          <w:p w:rsidR="0071593E" w:rsidRPr="0071593E" w:rsidRDefault="0071593E" w:rsidP="0071593E">
            <w:pPr>
              <w:tabs>
                <w:tab w:val="clear" w:pos="1872"/>
              </w:tabs>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imes New Roman"/>
                <w:color w:val="auto"/>
                <w:sz w:val="24"/>
                <w:szCs w:val="24"/>
              </w:rPr>
            </w:pPr>
            <w:r w:rsidRPr="0071593E">
              <w:rPr>
                <w:rFonts w:ascii="Calibri Light" w:eastAsia="Calibri" w:hAnsi="Calibri Light" w:cs="Times New Roman"/>
                <w:color w:val="auto"/>
                <w:sz w:val="24"/>
                <w:szCs w:val="24"/>
              </w:rPr>
              <w:t>Job creation surged, then fell off. There were 311,000 net new jobs in January, but just 20,000 in February. From January to February, though, the unemployment rate declined from 4.0% to 3.8%, and the broader U-6 rate, encompassing the underemployed, dropped from 8.1% to 7.3%. (The federal government shutdown may have affected some of the above numbers.)</w:t>
            </w:r>
            <w:r w:rsidRPr="0071593E">
              <w:rPr>
                <w:rFonts w:ascii="Calibri Light" w:eastAsia="Calibri" w:hAnsi="Calibri Light" w:cs="Times New Roman"/>
                <w:color w:val="auto"/>
                <w:sz w:val="24"/>
                <w:szCs w:val="24"/>
                <w:vertAlign w:val="superscript"/>
              </w:rPr>
              <w:t>6</w:t>
            </w:r>
            <w:r w:rsidRPr="0071593E">
              <w:rPr>
                <w:rFonts w:ascii="Calibri Light" w:eastAsia="Calibri" w:hAnsi="Calibri Light" w:cs="Times New Roman"/>
                <w:color w:val="auto"/>
                <w:sz w:val="24"/>
                <w:szCs w:val="24"/>
              </w:rPr>
              <w:t xml:space="preserve">  </w:t>
            </w:r>
          </w:p>
          <w:p w:rsidR="0071593E" w:rsidRPr="0071593E" w:rsidRDefault="0071593E" w:rsidP="0071593E">
            <w:pPr>
              <w:tabs>
                <w:tab w:val="clear" w:pos="1872"/>
              </w:tabs>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imes New Roman"/>
                <w:color w:val="auto"/>
                <w:sz w:val="24"/>
                <w:szCs w:val="24"/>
              </w:rPr>
            </w:pPr>
            <w:r w:rsidRPr="0071593E">
              <w:rPr>
                <w:rFonts w:ascii="Calibri Light" w:eastAsia="Calibri" w:hAnsi="Calibri Light" w:cs="Times New Roman"/>
                <w:color w:val="auto"/>
                <w:sz w:val="24"/>
                <w:szCs w:val="24"/>
              </w:rPr>
              <w:t>The quarter also ended with the Bureau of Economic Analysis downgrading fourth-quarter gross domestic product (GDP). The prior estimate was 2.6%; the revised estimate was 2.2%.</w:t>
            </w:r>
            <w:r w:rsidRPr="0071593E">
              <w:rPr>
                <w:rFonts w:ascii="Calibri Light" w:eastAsia="Calibri" w:hAnsi="Calibri Light" w:cs="Times New Roman"/>
                <w:color w:val="auto"/>
                <w:sz w:val="24"/>
                <w:szCs w:val="24"/>
                <w:vertAlign w:val="superscript"/>
              </w:rPr>
              <w:t>7</w:t>
            </w:r>
            <w:r w:rsidRPr="0071593E">
              <w:rPr>
                <w:rFonts w:ascii="Calibri Light" w:eastAsia="Calibri" w:hAnsi="Calibri Light" w:cs="Times New Roman"/>
                <w:color w:val="auto"/>
                <w:sz w:val="24"/>
                <w:szCs w:val="24"/>
              </w:rPr>
              <w:t xml:space="preserve"> </w:t>
            </w:r>
          </w:p>
          <w:p w:rsidR="0071593E" w:rsidRPr="0071593E" w:rsidRDefault="0071593E" w:rsidP="0071593E">
            <w:pPr>
              <w:tabs>
                <w:tab w:val="clear" w:pos="1872"/>
              </w:tabs>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imes New Roman"/>
                <w:color w:val="auto"/>
                <w:sz w:val="24"/>
                <w:szCs w:val="24"/>
              </w:rPr>
            </w:pPr>
            <w:r w:rsidRPr="0071593E">
              <w:rPr>
                <w:rFonts w:ascii="Calibri Light" w:eastAsia="Calibri" w:hAnsi="Calibri Light" w:cs="Times New Roman"/>
                <w:color w:val="auto"/>
                <w:sz w:val="24"/>
                <w:szCs w:val="24"/>
              </w:rPr>
              <w:t xml:space="preserve">One important consumer confidence gauge rose and fell during the quarter: </w:t>
            </w:r>
            <w:proofErr w:type="gramStart"/>
            <w:r w:rsidRPr="0071593E">
              <w:rPr>
                <w:rFonts w:ascii="Calibri Light" w:eastAsia="Calibri" w:hAnsi="Calibri Light" w:cs="Times New Roman"/>
                <w:color w:val="auto"/>
                <w:sz w:val="24"/>
                <w:szCs w:val="24"/>
              </w:rPr>
              <w:t>the</w:t>
            </w:r>
            <w:proofErr w:type="gramEnd"/>
            <w:r w:rsidRPr="0071593E">
              <w:rPr>
                <w:rFonts w:ascii="Calibri Light" w:eastAsia="Calibri" w:hAnsi="Calibri Light" w:cs="Times New Roman"/>
                <w:color w:val="auto"/>
                <w:sz w:val="24"/>
                <w:szCs w:val="24"/>
              </w:rPr>
              <w:t xml:space="preserve"> Conference Board’s index declined sharply to 124.1 in March, after hitting a 3-month peak of 131.4 in February. The University of Michigan’s consumer sentiment index performed better: it started the quarter with a drop of 7.1 points in January, but by late March, it was at 98.4, a tenth of a point above where it was in December.</w:t>
            </w:r>
            <w:r w:rsidRPr="0071593E">
              <w:rPr>
                <w:rFonts w:ascii="Calibri Light" w:eastAsia="Calibri" w:hAnsi="Calibri Light" w:cs="Times New Roman"/>
                <w:color w:val="auto"/>
                <w:sz w:val="24"/>
                <w:szCs w:val="24"/>
                <w:vertAlign w:val="superscript"/>
              </w:rPr>
              <w:t>8,9</w:t>
            </w:r>
          </w:p>
          <w:p w:rsidR="0071593E" w:rsidRPr="0071593E" w:rsidRDefault="0071593E" w:rsidP="0071593E">
            <w:pPr>
              <w:tabs>
                <w:tab w:val="clear" w:pos="1872"/>
              </w:tabs>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imes New Roman"/>
                <w:color w:val="auto"/>
                <w:sz w:val="24"/>
                <w:szCs w:val="24"/>
              </w:rPr>
            </w:pPr>
            <w:r w:rsidRPr="0071593E">
              <w:rPr>
                <w:rFonts w:ascii="Calibri Light" w:eastAsia="Calibri" w:hAnsi="Calibri Light" w:cs="Times New Roman"/>
                <w:color w:val="auto"/>
                <w:sz w:val="24"/>
                <w:szCs w:val="24"/>
              </w:rPr>
              <w:t xml:space="preserve">The Institute for Supply Management’s monthly purchasing manager index, following manufacturing activity, was nowhere near 60 (a level it reached last summer), but remained well above 50 (the mark delineating sector expansion from industry contraction). ISM’s manufacturing PMI was at 56.6 in </w:t>
            </w:r>
            <w:proofErr w:type="gramStart"/>
            <w:r w:rsidRPr="0071593E">
              <w:rPr>
                <w:rFonts w:ascii="Calibri Light" w:eastAsia="Calibri" w:hAnsi="Calibri Light" w:cs="Times New Roman"/>
                <w:color w:val="auto"/>
                <w:sz w:val="24"/>
                <w:szCs w:val="24"/>
              </w:rPr>
              <w:t>January,</w:t>
            </w:r>
            <w:proofErr w:type="gramEnd"/>
            <w:r w:rsidRPr="0071593E">
              <w:rPr>
                <w:rFonts w:ascii="Calibri Light" w:eastAsia="Calibri" w:hAnsi="Calibri Light" w:cs="Times New Roman"/>
                <w:color w:val="auto"/>
                <w:sz w:val="24"/>
                <w:szCs w:val="24"/>
              </w:rPr>
              <w:t xml:space="preserve"> 54.2 in February, and 55.3 in March.</w:t>
            </w:r>
            <w:r w:rsidRPr="0071593E">
              <w:rPr>
                <w:rFonts w:ascii="Calibri Light" w:eastAsia="Calibri" w:hAnsi="Calibri Light" w:cs="Times New Roman"/>
                <w:color w:val="auto"/>
                <w:sz w:val="24"/>
                <w:szCs w:val="24"/>
                <w:vertAlign w:val="superscript"/>
              </w:rPr>
              <w:t>10</w:t>
            </w:r>
          </w:p>
          <w:p w:rsidR="00726D19" w:rsidRPr="009A37D7" w:rsidRDefault="00726D19" w:rsidP="00EE2BA5">
            <w:pPr>
              <w:spacing w:after="240"/>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D8715B" w:rsidRPr="00971FC0" w:rsidTr="00D8715B">
        <w:tc>
          <w:tcPr>
            <w:cnfStyle w:val="001000000000" w:firstRow="0" w:lastRow="0" w:firstColumn="1" w:lastColumn="0" w:oddVBand="0" w:evenVBand="0" w:oddHBand="0" w:evenHBand="0" w:firstRowFirstColumn="0" w:firstRowLastColumn="0" w:lastRowFirstColumn="0" w:lastRowLastColumn="0"/>
            <w:tcW w:w="1408" w:type="dxa"/>
            <w:tcMar>
              <w:top w:w="173" w:type="dxa"/>
            </w:tcMar>
          </w:tcPr>
          <w:p w:rsidR="00D8715B" w:rsidRDefault="00D8715B" w:rsidP="00935A3D">
            <w:pPr>
              <w:pStyle w:val="QEULeftColumnTitles"/>
              <w:rPr>
                <w:rStyle w:val="Bold"/>
              </w:rPr>
            </w:pPr>
          </w:p>
        </w:tc>
        <w:tc>
          <w:tcPr>
            <w:tcW w:w="9450" w:type="dxa"/>
            <w:tcMar>
              <w:top w:w="173" w:type="dxa"/>
            </w:tcMar>
          </w:tcPr>
          <w:p w:rsidR="00D8715B" w:rsidRPr="00E03142" w:rsidRDefault="00E03142" w:rsidP="00E03142">
            <w:pPr>
              <w:pStyle w:val="QEUQuoteTipHeader"/>
              <w:jc w:val="left"/>
              <w:cnfStyle w:val="000000000000" w:firstRow="0" w:lastRow="0" w:firstColumn="0" w:lastColumn="0" w:oddVBand="0" w:evenVBand="0" w:oddHBand="0" w:evenHBand="0" w:firstRowFirstColumn="0" w:firstRowLastColumn="0" w:lastRowFirstColumn="0" w:lastRowLastColumn="0"/>
              <w:rPr>
                <w:rStyle w:val="IntenseReference"/>
              </w:rPr>
            </w:pPr>
            <w:r>
              <w:rPr>
                <w:rStyle w:val="IntenseReference"/>
                <w:u w:val="none"/>
              </w:rPr>
              <w:t xml:space="preserve">                                        </w:t>
            </w:r>
            <w:r w:rsidR="00D8715B" w:rsidRPr="00E03142">
              <w:rPr>
                <w:rStyle w:val="IntenseReference"/>
              </w:rPr>
              <w:t>Quote of the Quarter</w:t>
            </w:r>
          </w:p>
          <w:p w:rsidR="00D8715B" w:rsidRPr="00CB35DC" w:rsidRDefault="0071593E" w:rsidP="002F5483">
            <w:pPr>
              <w:pStyle w:val="QEUQuoteTipText"/>
              <w:cnfStyle w:val="000000000000" w:firstRow="0" w:lastRow="0" w:firstColumn="0" w:lastColumn="0" w:oddVBand="0" w:evenVBand="0" w:oddHBand="0" w:evenHBand="0" w:firstRowFirstColumn="0" w:firstRowLastColumn="0" w:lastRowFirstColumn="0" w:lastRowLastColumn="0"/>
            </w:pPr>
            <w:r w:rsidRPr="0071593E">
              <w:t xml:space="preserve">“The secret of joy in work is contained in one word – </w:t>
            </w:r>
            <w:r w:rsidRPr="0071593E">
              <w:rPr>
                <w:b/>
              </w:rPr>
              <w:t>excellence</w:t>
            </w:r>
            <w:r w:rsidRPr="0071593E">
              <w:t>. To know how to do something well is to enjoy it.”</w:t>
            </w:r>
          </w:p>
          <w:p w:rsidR="005C6087" w:rsidRPr="0065745C" w:rsidRDefault="00D8715B" w:rsidP="0065745C">
            <w:pPr>
              <w:spacing w:before="120"/>
              <w:ind w:left="1022" w:right="1922"/>
              <w:jc w:val="right"/>
              <w:cnfStyle w:val="000000000000" w:firstRow="0" w:lastRow="0" w:firstColumn="0" w:lastColumn="0" w:oddVBand="0" w:evenVBand="0" w:oddHBand="0" w:evenHBand="0" w:firstRowFirstColumn="0" w:firstRowLastColumn="0" w:lastRowFirstColumn="0" w:lastRowLastColumn="0"/>
              <w:rPr>
                <w:rFonts w:asciiTheme="majorHAnsi" w:hAnsiTheme="majorHAnsi"/>
                <w:i/>
                <w:color w:val="009CDE" w:themeColor="accent2"/>
                <w:spacing w:val="-2"/>
              </w:rPr>
            </w:pPr>
            <w:r w:rsidRPr="00D8715B">
              <w:rPr>
                <w:rFonts w:asciiTheme="majorHAnsi" w:hAnsiTheme="majorHAnsi"/>
                <w:i/>
                <w:color w:val="009CDE" w:themeColor="accent2"/>
              </w:rPr>
              <w:t xml:space="preserve">- </w:t>
            </w:r>
            <w:r w:rsidR="0071593E">
              <w:rPr>
                <w:rFonts w:asciiTheme="majorHAnsi" w:hAnsiTheme="majorHAnsi"/>
                <w:i/>
                <w:color w:val="009CDE" w:themeColor="accent2"/>
                <w:spacing w:val="-2"/>
              </w:rPr>
              <w:t>PEARL BUCK</w:t>
            </w:r>
          </w:p>
        </w:tc>
      </w:tr>
      <w:tr w:rsidR="00971FC0" w:rsidRPr="00971FC0" w:rsidTr="00726D19">
        <w:trPr>
          <w:trHeight w:val="4417"/>
        </w:trPr>
        <w:tc>
          <w:tcPr>
            <w:cnfStyle w:val="001000000000" w:firstRow="0" w:lastRow="0" w:firstColumn="1" w:lastColumn="0" w:oddVBand="0" w:evenVBand="0" w:oddHBand="0" w:evenHBand="0" w:firstRowFirstColumn="0" w:firstRowLastColumn="0" w:lastRowFirstColumn="0" w:lastRowLastColumn="0"/>
            <w:tcW w:w="1408" w:type="dxa"/>
            <w:tcMar>
              <w:top w:w="173" w:type="dxa"/>
            </w:tcMar>
          </w:tcPr>
          <w:p w:rsidR="00971FC0" w:rsidRPr="00AB6546" w:rsidRDefault="00A06400" w:rsidP="00935A3D">
            <w:pPr>
              <w:pStyle w:val="QEULeftColumnTitles"/>
              <w:rPr>
                <w:rStyle w:val="Bold"/>
                <w:b w:val="0"/>
              </w:rPr>
            </w:pPr>
            <w:bookmarkStart w:id="4" w:name="GlobalHealth"/>
            <w:r>
              <w:rPr>
                <w:rStyle w:val="Bold"/>
              </w:rPr>
              <w:lastRenderedPageBreak/>
              <w:t>Global Economic Health</w:t>
            </w:r>
            <w:r w:rsidR="00971FC0" w:rsidRPr="00AB6546">
              <w:rPr>
                <w:rStyle w:val="Bold"/>
              </w:rPr>
              <w:t xml:space="preserve"> </w:t>
            </w:r>
            <w:bookmarkEnd w:id="4"/>
          </w:p>
        </w:tc>
        <w:tc>
          <w:tcPr>
            <w:tcW w:w="9450" w:type="dxa"/>
            <w:tcMar>
              <w:top w:w="173" w:type="dxa"/>
            </w:tcMar>
          </w:tcPr>
          <w:p w:rsidR="0071593E" w:rsidRDefault="0071593E" w:rsidP="0071593E">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sidRPr="0071593E">
              <w:rPr>
                <w:rFonts w:ascii="Calibri Light" w:hAnsi="Calibri Light" w:cs="Calibri Light"/>
                <w:sz w:val="24"/>
                <w:szCs w:val="24"/>
              </w:rPr>
              <w:t>Financial markets worldwide breathed a collective sigh of relief as the trade dispute between the U.S. and China eased. Negotiations between the two nations continued during the quarter, but no deal emerged. While some trade analysts see an agreement being reached in the second quarter, there are doubts that such an accord will resolve the issue at the center of the tariff fight – the concern that Chinese firms are using their technologies to steal U.S. intellectual property. In March, President Trump said that he would prefer leaving 25% tariffs on $50 billion of Chinese products in place, even if a new trade deal was forged.</w:t>
            </w:r>
            <w:r w:rsidRPr="0071593E">
              <w:rPr>
                <w:rFonts w:ascii="Calibri Light" w:hAnsi="Calibri Light" w:cs="Calibri Light"/>
                <w:sz w:val="24"/>
                <w:szCs w:val="24"/>
                <w:vertAlign w:val="superscript"/>
              </w:rPr>
              <w:t>11</w:t>
            </w:r>
            <w:r w:rsidRPr="0071593E">
              <w:rPr>
                <w:rFonts w:ascii="Calibri Light" w:hAnsi="Calibri Light" w:cs="Calibri Light"/>
                <w:sz w:val="24"/>
                <w:szCs w:val="24"/>
              </w:rPr>
              <w:t xml:space="preserve"> </w:t>
            </w:r>
          </w:p>
          <w:p w:rsidR="0071593E" w:rsidRPr="0071593E" w:rsidRDefault="0071593E" w:rsidP="0071593E">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p>
          <w:p w:rsidR="00971FC0" w:rsidRPr="00971FC0" w:rsidRDefault="0071593E" w:rsidP="0071593E">
            <w:pPr>
              <w:spacing w:after="240" w:line="276" w:lineRule="auto"/>
              <w:jc w:val="both"/>
              <w:cnfStyle w:val="000000000000" w:firstRow="0" w:lastRow="0" w:firstColumn="0" w:lastColumn="0" w:oddVBand="0" w:evenVBand="0" w:oddHBand="0" w:evenHBand="0" w:firstRowFirstColumn="0" w:firstRowLastColumn="0" w:lastRowFirstColumn="0" w:lastRowLastColumn="0"/>
            </w:pPr>
            <w:r w:rsidRPr="0071593E">
              <w:rPr>
                <w:rFonts w:ascii="Calibri Light" w:hAnsi="Calibri Light" w:cs="Calibri Light"/>
                <w:sz w:val="24"/>
                <w:szCs w:val="24"/>
              </w:rPr>
              <w:t>The quarter ended without a Brexit or even an accepted Brexit path – with the United Kingdom facing a potentially unpleasant outcome. The revised Brexit deal, which Prime Minister Theresa May brought to Parliament, was rejected for a third time in late March, raising the possibility of the U.K. leaving the European Union on April 12 without any kind of defined trade agreement. The European Central Bank surprised financial markets in early March with a decision to revive some of the economic stimulus measures it had recently ended, and it also indicated that would leave interest rates unchanged until at least 2020. The latest forecast from the Organization for Economic Cooperation and Development (OECD) projects only 1% growth for the eurozone this year and less than that for the economies of Germany, Japan, and the United Kingdom.</w:t>
            </w:r>
            <w:r w:rsidRPr="0071593E">
              <w:rPr>
                <w:rFonts w:ascii="Calibri Light" w:hAnsi="Calibri Light" w:cs="Calibri Light"/>
                <w:sz w:val="24"/>
                <w:szCs w:val="24"/>
                <w:vertAlign w:val="superscript"/>
              </w:rPr>
              <w:t>12,13</w:t>
            </w:r>
          </w:p>
        </w:tc>
      </w:tr>
      <w:tr w:rsidR="00D8715B" w:rsidRPr="00971FC0" w:rsidTr="00D8715B">
        <w:trPr>
          <w:trHeight w:val="1181"/>
        </w:trPr>
        <w:tc>
          <w:tcPr>
            <w:cnfStyle w:val="001000000000" w:firstRow="0" w:lastRow="0" w:firstColumn="1" w:lastColumn="0" w:oddVBand="0" w:evenVBand="0" w:oddHBand="0" w:evenHBand="0" w:firstRowFirstColumn="0" w:firstRowLastColumn="0" w:lastRowFirstColumn="0" w:lastRowLastColumn="0"/>
            <w:tcW w:w="1408" w:type="dxa"/>
            <w:tcMar>
              <w:top w:w="173" w:type="dxa"/>
            </w:tcMar>
          </w:tcPr>
          <w:p w:rsidR="00D8715B" w:rsidRDefault="00D8715B" w:rsidP="00935A3D">
            <w:pPr>
              <w:pStyle w:val="QEULeftColumnTitles"/>
              <w:rPr>
                <w:rStyle w:val="Bold"/>
              </w:rPr>
            </w:pPr>
          </w:p>
        </w:tc>
        <w:tc>
          <w:tcPr>
            <w:tcW w:w="9450" w:type="dxa"/>
            <w:tcMar>
              <w:top w:w="173" w:type="dxa"/>
            </w:tcMar>
          </w:tcPr>
          <w:p w:rsidR="00D8715B" w:rsidRPr="00E03142" w:rsidRDefault="00E03142" w:rsidP="00E03142">
            <w:pPr>
              <w:pStyle w:val="Subhead3"/>
              <w:ind w:left="1472" w:right="1382"/>
              <w:cnfStyle w:val="000000000000" w:firstRow="0" w:lastRow="0" w:firstColumn="0" w:lastColumn="0" w:oddVBand="0" w:evenVBand="0" w:oddHBand="0" w:evenHBand="0" w:firstRowFirstColumn="0" w:firstRowLastColumn="0" w:lastRowFirstColumn="0" w:lastRowLastColumn="0"/>
              <w:rPr>
                <w:rStyle w:val="IntenseReference"/>
              </w:rPr>
            </w:pPr>
            <w:r>
              <w:rPr>
                <w:rStyle w:val="IntenseReference"/>
                <w:u w:val="none"/>
              </w:rPr>
              <w:t xml:space="preserve">                            </w:t>
            </w:r>
            <w:r w:rsidR="00D8715B" w:rsidRPr="00E03142">
              <w:rPr>
                <w:rStyle w:val="IntenseReference"/>
              </w:rPr>
              <w:t>Quarterly Tip</w:t>
            </w:r>
          </w:p>
          <w:p w:rsidR="00E03142" w:rsidRPr="00E03142" w:rsidRDefault="00E03142" w:rsidP="00E03142">
            <w:pPr>
              <w:pStyle w:val="QEUQuoteTipText"/>
              <w:cnfStyle w:val="000000000000" w:firstRow="0" w:lastRow="0" w:firstColumn="0" w:lastColumn="0" w:oddVBand="0" w:evenVBand="0" w:oddHBand="0" w:evenHBand="0" w:firstRowFirstColumn="0" w:firstRowLastColumn="0" w:lastRowFirstColumn="0" w:lastRowLastColumn="0"/>
            </w:pPr>
            <w:r w:rsidRPr="00E03142">
              <w:rPr>
                <w:b/>
              </w:rPr>
              <w:t>Retirees</w:t>
            </w:r>
            <w:r w:rsidRPr="00E03142">
              <w:t xml:space="preserve"> aiming to </w:t>
            </w:r>
            <w:r w:rsidRPr="00E03142">
              <w:rPr>
                <w:b/>
              </w:rPr>
              <w:t>increase their income</w:t>
            </w:r>
            <w:r w:rsidRPr="00E03142">
              <w:t xml:space="preserve"> over time should not overlook the potential of dividend-paying stocks.</w:t>
            </w:r>
          </w:p>
          <w:p w:rsidR="005C6087" w:rsidRPr="002B2F27" w:rsidRDefault="005C6087" w:rsidP="005C6087">
            <w:pPr>
              <w:pStyle w:val="QEUQuoteTipText"/>
              <w:cnfStyle w:val="000000000000" w:firstRow="0" w:lastRow="0" w:firstColumn="0" w:lastColumn="0" w:oddVBand="0" w:evenVBand="0" w:oddHBand="0" w:evenHBand="0" w:firstRowFirstColumn="0" w:firstRowLastColumn="0" w:lastRowFirstColumn="0" w:lastRowLastColumn="0"/>
            </w:pPr>
          </w:p>
        </w:tc>
      </w:tr>
      <w:tr w:rsidR="00971FC0" w:rsidRPr="00971FC0" w:rsidTr="00EA7983">
        <w:trPr>
          <w:trHeight w:val="610"/>
        </w:trPr>
        <w:tc>
          <w:tcPr>
            <w:cnfStyle w:val="001000000000" w:firstRow="0" w:lastRow="0" w:firstColumn="1" w:lastColumn="0" w:oddVBand="0" w:evenVBand="0" w:oddHBand="0" w:evenHBand="0" w:firstRowFirstColumn="0" w:firstRowLastColumn="0" w:lastRowFirstColumn="0" w:lastRowLastColumn="0"/>
            <w:tcW w:w="1408" w:type="dxa"/>
            <w:tcMar>
              <w:top w:w="173" w:type="dxa"/>
            </w:tcMar>
          </w:tcPr>
          <w:p w:rsidR="00971FC0" w:rsidRPr="00935A3D" w:rsidRDefault="005A6927" w:rsidP="00935A3D">
            <w:pPr>
              <w:pStyle w:val="QEULeftColumnTitles"/>
              <w:rPr>
                <w:rStyle w:val="Bold"/>
                <w:rFonts w:ascii="Century Gothic" w:hAnsi="Century Gothic"/>
                <w:b w:val="0"/>
              </w:rPr>
            </w:pPr>
            <w:bookmarkStart w:id="5" w:name="WorldMarkets"/>
            <w:r w:rsidRPr="00935A3D">
              <w:rPr>
                <w:b/>
              </w:rPr>
              <w:t>World Markets</w:t>
            </w:r>
            <w:bookmarkEnd w:id="5"/>
          </w:p>
        </w:tc>
        <w:tc>
          <w:tcPr>
            <w:tcW w:w="9450" w:type="dxa"/>
            <w:tcMar>
              <w:top w:w="173" w:type="dxa"/>
            </w:tcMar>
          </w:tcPr>
          <w:p w:rsidR="00971FC0" w:rsidRPr="00E03142" w:rsidRDefault="00E03142" w:rsidP="00E03142">
            <w:pPr>
              <w:tabs>
                <w:tab w:val="clear" w:pos="1872"/>
              </w:tabs>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imes New Roman"/>
                <w:color w:val="002060"/>
                <w:sz w:val="24"/>
                <w:szCs w:val="24"/>
              </w:rPr>
            </w:pPr>
            <w:r w:rsidRPr="00E03142">
              <w:rPr>
                <w:rFonts w:ascii="Calibri Light" w:eastAsia="Calibri" w:hAnsi="Calibri Light" w:cs="Times New Roman"/>
                <w:color w:val="auto"/>
                <w:sz w:val="24"/>
                <w:szCs w:val="24"/>
              </w:rPr>
              <w:t xml:space="preserve">The S&amp;P 500 was just one of many equity benchmarks advancing double digits in the first quarter. In fact, nearly every foreign stock index posted a quarterly gain of some kind. China’s Shanghai Composite surged 26.77%; Italy’s FTSE MIB, 16.17%; Hong Kong’s Hang Seng, 14.41%; France’s CAC 40, 13.10%; all outperformed the S&amp;P for Q1. Other notable gains: Canada’s TSX Composite, 12.42%; Euro </w:t>
            </w:r>
            <w:proofErr w:type="spellStart"/>
            <w:r w:rsidRPr="00E03142">
              <w:rPr>
                <w:rFonts w:ascii="Calibri Light" w:eastAsia="Calibri" w:hAnsi="Calibri Light" w:cs="Times New Roman"/>
                <w:color w:val="auto"/>
                <w:sz w:val="24"/>
                <w:szCs w:val="24"/>
              </w:rPr>
              <w:t>Stoxx</w:t>
            </w:r>
            <w:proofErr w:type="spellEnd"/>
            <w:r w:rsidRPr="00E03142">
              <w:rPr>
                <w:rFonts w:ascii="Calibri Light" w:eastAsia="Calibri" w:hAnsi="Calibri Light" w:cs="Times New Roman"/>
                <w:color w:val="auto"/>
                <w:sz w:val="24"/>
                <w:szCs w:val="24"/>
              </w:rPr>
              <w:t xml:space="preserve"> 50, 11.66%; Germany’s DAX, 9.16%; Brazil’s </w:t>
            </w:r>
            <w:proofErr w:type="spellStart"/>
            <w:r w:rsidRPr="00E03142">
              <w:rPr>
                <w:rFonts w:ascii="Calibri Light" w:eastAsia="Calibri" w:hAnsi="Calibri Light" w:cs="Times New Roman"/>
                <w:color w:val="auto"/>
                <w:sz w:val="24"/>
                <w:szCs w:val="24"/>
              </w:rPr>
              <w:t>Bovespa</w:t>
            </w:r>
            <w:proofErr w:type="spellEnd"/>
            <w:r w:rsidRPr="00E03142">
              <w:rPr>
                <w:rFonts w:ascii="Calibri Light" w:eastAsia="Calibri" w:hAnsi="Calibri Light" w:cs="Times New Roman"/>
                <w:color w:val="auto"/>
                <w:sz w:val="24"/>
                <w:szCs w:val="24"/>
              </w:rPr>
              <w:t>, 8.56%; the United Kingdom’s FTSE 100, 8.19%; India’s BSE Sensex, 8.11%; Japan’s Nikkei 225, 7.56%; South Korea’s KOSPI, 6.19%. MCSI’s World index rose 11.88% in the quarter; MSCI’s Emerging Markets index, 9.56%.</w:t>
            </w:r>
            <w:r w:rsidRPr="00E03142">
              <w:rPr>
                <w:rFonts w:ascii="Calibri Light" w:eastAsia="Calibri" w:hAnsi="Calibri Light" w:cs="Times New Roman"/>
                <w:color w:val="auto"/>
                <w:sz w:val="24"/>
                <w:szCs w:val="24"/>
                <w:vertAlign w:val="superscript"/>
              </w:rPr>
              <w:t>14,15</w:t>
            </w:r>
          </w:p>
        </w:tc>
      </w:tr>
      <w:tr w:rsidR="00971FC0" w:rsidRPr="00971FC0" w:rsidTr="00EA7983">
        <w:trPr>
          <w:trHeight w:val="727"/>
        </w:trPr>
        <w:tc>
          <w:tcPr>
            <w:cnfStyle w:val="001000000000" w:firstRow="0" w:lastRow="0" w:firstColumn="1" w:lastColumn="0" w:oddVBand="0" w:evenVBand="0" w:oddHBand="0" w:evenHBand="0" w:firstRowFirstColumn="0" w:firstRowLastColumn="0" w:lastRowFirstColumn="0" w:lastRowLastColumn="0"/>
            <w:tcW w:w="1408" w:type="dxa"/>
            <w:tcMar>
              <w:top w:w="173" w:type="dxa"/>
            </w:tcMar>
          </w:tcPr>
          <w:p w:rsidR="002278FE" w:rsidRPr="00902804" w:rsidRDefault="005A6927" w:rsidP="00935A3D">
            <w:pPr>
              <w:pStyle w:val="QEULeftColumnTitles"/>
              <w:rPr>
                <w:rStyle w:val="Bold"/>
                <w:sz w:val="20"/>
                <w:szCs w:val="20"/>
              </w:rPr>
            </w:pPr>
            <w:bookmarkStart w:id="6" w:name="CommoditiesMarkets"/>
            <w:r w:rsidRPr="00902804">
              <w:rPr>
                <w:rStyle w:val="Bold"/>
                <w:sz w:val="20"/>
                <w:szCs w:val="20"/>
              </w:rPr>
              <w:t xml:space="preserve">Commodities </w:t>
            </w:r>
          </w:p>
          <w:p w:rsidR="00971FC0" w:rsidRPr="00AB6546" w:rsidRDefault="005A6927" w:rsidP="00935A3D">
            <w:pPr>
              <w:pStyle w:val="QEULeftColumnTitles"/>
              <w:rPr>
                <w:rStyle w:val="Bold"/>
                <w:b w:val="0"/>
              </w:rPr>
            </w:pPr>
            <w:r w:rsidRPr="00902804">
              <w:rPr>
                <w:rStyle w:val="Bold"/>
                <w:sz w:val="20"/>
                <w:szCs w:val="20"/>
              </w:rPr>
              <w:t>Markets</w:t>
            </w:r>
            <w:r w:rsidR="00971FC0" w:rsidRPr="00AB6546">
              <w:rPr>
                <w:rStyle w:val="Bold"/>
              </w:rPr>
              <w:t xml:space="preserve"> </w:t>
            </w:r>
            <w:bookmarkEnd w:id="6"/>
          </w:p>
        </w:tc>
        <w:tc>
          <w:tcPr>
            <w:tcW w:w="9450" w:type="dxa"/>
            <w:tcMar>
              <w:top w:w="173" w:type="dxa"/>
            </w:tcMar>
          </w:tcPr>
          <w:p w:rsidR="00971FC0" w:rsidRPr="00E03142" w:rsidRDefault="00E03142" w:rsidP="00E03142">
            <w:pPr>
              <w:tabs>
                <w:tab w:val="clear" w:pos="1872"/>
              </w:tabs>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imes New Roman"/>
                <w:color w:val="002060"/>
                <w:sz w:val="24"/>
                <w:szCs w:val="24"/>
              </w:rPr>
            </w:pPr>
            <w:r w:rsidRPr="00E03142">
              <w:rPr>
                <w:rFonts w:ascii="Calibri Light" w:eastAsia="Calibri" w:hAnsi="Calibri Light" w:cs="Times New Roman"/>
                <w:color w:val="auto"/>
                <w:sz w:val="24"/>
                <w:szCs w:val="24"/>
              </w:rPr>
              <w:t xml:space="preserve">Oil outgained all other major commodities during the quarter. The value of West Texas Intermediate crude rose 29.98% on the New York Mercantile Exchange (NYMEX), taking the per-barrel price to $60.18 at the March 29 close. Other major Q1 advances: unleaded gasoline, 25.52%; palladium, 14.98%; copper, 9.29%; platinum, 6.59%; lumber, 6.07%; cotton, 5.61%. The significant retreats: natural gas, 4.21%; cocoa, 6.44%; corn, 6.98%; coffee, 9.22%; wheat, 11.76%. </w:t>
            </w:r>
            <w:r w:rsidRPr="00E03142">
              <w:rPr>
                <w:rFonts w:ascii="Calibri Light" w:eastAsia="Calibri" w:hAnsi="Calibri Light" w:cs="Times New Roman"/>
                <w:color w:val="auto"/>
                <w:sz w:val="24"/>
                <w:szCs w:val="24"/>
              </w:rPr>
              <w:lastRenderedPageBreak/>
              <w:t>Gold gained but 0.29% for the quarter, while silver lost 2.65%. On the NYMEX Commodity Exchange, gold was worth $1,290.80 per ounce at the close on March 29; silver, $15.10 per ounce. The U.S. Dollar Index closed out Q1 1.27% higher at 97.20.</w:t>
            </w:r>
            <w:r w:rsidRPr="00E03142">
              <w:rPr>
                <w:rFonts w:ascii="Calibri Light" w:eastAsia="Calibri" w:hAnsi="Calibri Light" w:cs="Times New Roman"/>
                <w:color w:val="auto"/>
                <w:sz w:val="24"/>
                <w:szCs w:val="24"/>
                <w:vertAlign w:val="superscript"/>
              </w:rPr>
              <w:t>16,17</w:t>
            </w:r>
          </w:p>
        </w:tc>
      </w:tr>
      <w:tr w:rsidR="00971FC0" w:rsidRPr="00971FC0" w:rsidTr="00EA7983">
        <w:trPr>
          <w:trHeight w:val="367"/>
        </w:trPr>
        <w:tc>
          <w:tcPr>
            <w:cnfStyle w:val="001000000000" w:firstRow="0" w:lastRow="0" w:firstColumn="1" w:lastColumn="0" w:oddVBand="0" w:evenVBand="0" w:oddHBand="0" w:evenHBand="0" w:firstRowFirstColumn="0" w:firstRowLastColumn="0" w:lastRowFirstColumn="0" w:lastRowLastColumn="0"/>
            <w:tcW w:w="1408" w:type="dxa"/>
            <w:tcMar>
              <w:top w:w="173" w:type="dxa"/>
            </w:tcMar>
          </w:tcPr>
          <w:p w:rsidR="00971FC0" w:rsidRPr="00AB6546" w:rsidRDefault="005A6927" w:rsidP="00935A3D">
            <w:pPr>
              <w:pStyle w:val="QEULeftColumnTitles"/>
              <w:rPr>
                <w:rStyle w:val="Bold"/>
                <w:b w:val="0"/>
              </w:rPr>
            </w:pPr>
            <w:bookmarkStart w:id="7" w:name="RealEstate"/>
            <w:r>
              <w:rPr>
                <w:rStyle w:val="Bold"/>
              </w:rPr>
              <w:lastRenderedPageBreak/>
              <w:t>Real Estate</w:t>
            </w:r>
            <w:bookmarkEnd w:id="7"/>
          </w:p>
        </w:tc>
        <w:tc>
          <w:tcPr>
            <w:tcW w:w="9450" w:type="dxa"/>
            <w:tcMar>
              <w:top w:w="173" w:type="dxa"/>
            </w:tcMar>
          </w:tcPr>
          <w:p w:rsidR="00E03142" w:rsidRPr="00E03142" w:rsidRDefault="00E03142" w:rsidP="00E03142">
            <w:pPr>
              <w:tabs>
                <w:tab w:val="clear" w:pos="1872"/>
              </w:tabs>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imes New Roman"/>
                <w:color w:val="002060"/>
                <w:sz w:val="24"/>
                <w:szCs w:val="24"/>
              </w:rPr>
            </w:pPr>
            <w:r w:rsidRPr="00E03142">
              <w:rPr>
                <w:rFonts w:ascii="Calibri Light" w:eastAsia="Calibri" w:hAnsi="Calibri Light" w:cs="Times New Roman"/>
                <w:color w:val="auto"/>
                <w:sz w:val="24"/>
                <w:szCs w:val="24"/>
              </w:rPr>
              <w:t>Is a buyer’s market returning? As the quarter ended, some real estate industry journalists and analysts wondered if that was the case. Existing home sales surged 11.8% in February, according to the National Association of Realtors. That was the largest monthly gain seen since December 2015. While residential resales were still down 1.8%, year-over-year, this latest NAR report was certainly encouraging. NAR chief economist Lawrence Yun cited “lower mortgage rates, more inventory, rising income, and higher consumer confidence” as contributing factors in the increase. Additionally, the Census Bureau said that the pace of new home buying improved 4.9% during February; economists surveyed by Reuters had forecast a 1.3% advance.</w:t>
            </w:r>
            <w:r w:rsidRPr="00E03142">
              <w:rPr>
                <w:rFonts w:ascii="Calibri Light" w:eastAsia="Calibri" w:hAnsi="Calibri Light" w:cs="Times New Roman"/>
                <w:color w:val="auto"/>
                <w:sz w:val="24"/>
                <w:szCs w:val="24"/>
                <w:vertAlign w:val="superscript"/>
              </w:rPr>
              <w:t>18,19</w:t>
            </w:r>
          </w:p>
          <w:p w:rsidR="00E03142" w:rsidRPr="00E03142" w:rsidRDefault="00E03142" w:rsidP="00E03142">
            <w:pPr>
              <w:tabs>
                <w:tab w:val="clear" w:pos="1872"/>
              </w:tabs>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imes New Roman"/>
                <w:color w:val="002060"/>
                <w:sz w:val="24"/>
                <w:szCs w:val="24"/>
              </w:rPr>
            </w:pPr>
            <w:r w:rsidRPr="00E03142">
              <w:rPr>
                <w:rFonts w:ascii="Calibri Light" w:eastAsia="Calibri" w:hAnsi="Calibri Light" w:cs="Times New Roman"/>
                <w:color w:val="auto"/>
                <w:sz w:val="24"/>
                <w:szCs w:val="24"/>
              </w:rPr>
              <w:t>As Yun noted, cheaper home loans factored in to all this. The decline in longer-term Treasury yields influenced mortgage rates. By the last week of March, a 30-year, fixed-rate mortgage was carrying an average interest rate of just 4.06%, according to the calculations of mortgage buyer Freddie Mac. Compare that with 4.95% as recently as November. (The 15-year, fixed-rate mortgage carried an average interest rate of just 3.57% as March ended.)</w:t>
            </w:r>
            <w:r w:rsidRPr="00E03142">
              <w:rPr>
                <w:rFonts w:ascii="Calibri Light" w:eastAsia="Calibri" w:hAnsi="Calibri Light" w:cs="Times New Roman"/>
                <w:color w:val="auto"/>
                <w:sz w:val="24"/>
                <w:szCs w:val="24"/>
                <w:vertAlign w:val="superscript"/>
              </w:rPr>
              <w:t>20</w:t>
            </w:r>
          </w:p>
          <w:p w:rsidR="00971FC0" w:rsidRPr="00E03142" w:rsidRDefault="00E03142" w:rsidP="00E03142">
            <w:pPr>
              <w:tabs>
                <w:tab w:val="clear" w:pos="1872"/>
              </w:tabs>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imes New Roman"/>
                <w:color w:val="002060"/>
                <w:sz w:val="24"/>
                <w:szCs w:val="24"/>
              </w:rPr>
            </w:pPr>
            <w:r w:rsidRPr="00E03142">
              <w:rPr>
                <w:rFonts w:ascii="Calibri Light" w:eastAsia="Calibri" w:hAnsi="Calibri Light" w:cs="Times New Roman"/>
                <w:color w:val="auto"/>
                <w:sz w:val="24"/>
                <w:szCs w:val="24"/>
              </w:rPr>
              <w:t>In February, the median sale price of an existing home was $249,500, representing a year-over-year increase of 3.6%. The median new home purchase price was $315,300, and that was down 3.6% from a year earlier.</w:t>
            </w:r>
            <w:r w:rsidRPr="00E03142">
              <w:rPr>
                <w:rFonts w:ascii="Calibri Light" w:eastAsia="Calibri" w:hAnsi="Calibri Light" w:cs="Times New Roman"/>
                <w:color w:val="auto"/>
                <w:sz w:val="24"/>
                <w:szCs w:val="24"/>
                <w:vertAlign w:val="superscript"/>
              </w:rPr>
              <w:t>18,19</w:t>
            </w:r>
            <w:r w:rsidRPr="00E03142">
              <w:rPr>
                <w:rFonts w:ascii="Calibri Light" w:eastAsia="Calibri" w:hAnsi="Calibri Light" w:cs="Times New Roman"/>
                <w:color w:val="002060"/>
                <w:sz w:val="24"/>
                <w:szCs w:val="24"/>
              </w:rPr>
              <w:t xml:space="preserve"> </w:t>
            </w:r>
          </w:p>
        </w:tc>
      </w:tr>
      <w:tr w:rsidR="00971FC0" w:rsidRPr="00971FC0" w:rsidTr="00D8715B">
        <w:trPr>
          <w:trHeight w:val="450"/>
        </w:trPr>
        <w:tc>
          <w:tcPr>
            <w:cnfStyle w:val="001000000000" w:firstRow="0" w:lastRow="0" w:firstColumn="1" w:lastColumn="0" w:oddVBand="0" w:evenVBand="0" w:oddHBand="0" w:evenHBand="0" w:firstRowFirstColumn="0" w:firstRowLastColumn="0" w:lastRowFirstColumn="0" w:lastRowLastColumn="0"/>
            <w:tcW w:w="1408" w:type="dxa"/>
            <w:tcMar>
              <w:top w:w="173" w:type="dxa"/>
            </w:tcMar>
          </w:tcPr>
          <w:p w:rsidR="00971FC0" w:rsidRPr="00AB6546" w:rsidRDefault="005A6927" w:rsidP="00935A3D">
            <w:pPr>
              <w:pStyle w:val="QEULeftColumnTitles"/>
              <w:rPr>
                <w:rStyle w:val="Bold"/>
                <w:b w:val="0"/>
              </w:rPr>
            </w:pPr>
            <w:bookmarkStart w:id="8" w:name="Looking"/>
            <w:r>
              <w:rPr>
                <w:rStyle w:val="Bold"/>
              </w:rPr>
              <w:t>Looking Back…</w:t>
            </w:r>
            <w:r>
              <w:rPr>
                <w:rStyle w:val="Bold"/>
              </w:rPr>
              <w:br/>
              <w:t>Looking Forward</w:t>
            </w:r>
            <w:bookmarkEnd w:id="8"/>
          </w:p>
        </w:tc>
        <w:tc>
          <w:tcPr>
            <w:tcW w:w="9450" w:type="dxa"/>
            <w:tcMar>
              <w:top w:w="173" w:type="dxa"/>
            </w:tcMar>
          </w:tcPr>
          <w:p w:rsidR="0065745C" w:rsidRPr="0065745C" w:rsidRDefault="00E03142" w:rsidP="0065745C">
            <w:pPr>
              <w:tabs>
                <w:tab w:val="clear" w:pos="1872"/>
              </w:tabs>
              <w:spacing w:after="160" w:line="276" w:lineRule="auto"/>
              <w:jc w:val="both"/>
              <w:cnfStyle w:val="000000000000" w:firstRow="0" w:lastRow="0" w:firstColumn="0" w:lastColumn="0" w:oddVBand="0" w:evenVBand="0" w:oddHBand="0" w:evenHBand="0" w:firstRowFirstColumn="0" w:firstRowLastColumn="0" w:lastRowFirstColumn="0" w:lastRowLastColumn="0"/>
              <w:rPr>
                <w:rStyle w:val="st"/>
                <w:rFonts w:ascii="Calibri Light" w:eastAsia="Calibri" w:hAnsi="Calibri Light" w:cs="Times New Roman"/>
                <w:color w:val="auto"/>
                <w:sz w:val="24"/>
                <w:szCs w:val="24"/>
                <w:vertAlign w:val="superscript"/>
              </w:rPr>
            </w:pPr>
            <w:r w:rsidRPr="00E03142">
              <w:rPr>
                <w:rFonts w:ascii="Calibri Light" w:eastAsia="Calibri" w:hAnsi="Calibri Light" w:cs="Times New Roman"/>
                <w:color w:val="auto"/>
                <w:sz w:val="24"/>
                <w:szCs w:val="24"/>
              </w:rPr>
              <w:t xml:space="preserve">As the table below shows, the major U.S. equity benchmarks recorded great gains in the quarter. The closing settlements on the last trading day of Q1: Dow Jones Industrial Average, 25,928.68; S&amp;P 500, 2,834.40; Nasdaq Composite, 7,729.32. The S&amp;P </w:t>
            </w:r>
            <w:proofErr w:type="spellStart"/>
            <w:r w:rsidRPr="00E03142">
              <w:rPr>
                <w:rFonts w:ascii="Calibri Light" w:eastAsia="Calibri" w:hAnsi="Calibri Light" w:cs="Times New Roman"/>
                <w:color w:val="auto"/>
                <w:sz w:val="24"/>
                <w:szCs w:val="24"/>
              </w:rPr>
              <w:t>Smallcap</w:t>
            </w:r>
            <w:proofErr w:type="spellEnd"/>
            <w:r w:rsidRPr="00E03142">
              <w:rPr>
                <w:rFonts w:ascii="Calibri Light" w:eastAsia="Calibri" w:hAnsi="Calibri Light" w:cs="Times New Roman"/>
                <w:color w:val="auto"/>
                <w:sz w:val="24"/>
                <w:szCs w:val="24"/>
              </w:rPr>
              <w:t xml:space="preserve"> 600 ended the quarter at 939.30, advancing 11.17%</w:t>
            </w:r>
            <w:r w:rsidRPr="00E03142">
              <w:rPr>
                <w:rFonts w:ascii="Calibri Light" w:eastAsia="Calibri" w:hAnsi="Calibri Light" w:cs="Courier New"/>
                <w:color w:val="auto"/>
                <w:sz w:val="24"/>
                <w:szCs w:val="24"/>
              </w:rPr>
              <w:t>.</w:t>
            </w:r>
            <w:r w:rsidRPr="00E03142">
              <w:rPr>
                <w:rFonts w:ascii="Calibri Light" w:eastAsia="Calibri" w:hAnsi="Calibri Light" w:cs="Times New Roman"/>
                <w:color w:val="auto"/>
                <w:sz w:val="24"/>
                <w:szCs w:val="24"/>
                <w:vertAlign w:val="superscript"/>
              </w:rPr>
              <w:t>21</w:t>
            </w:r>
          </w:p>
          <w:tbl>
            <w:tblPr>
              <w:tblW w:w="4875" w:type="pct"/>
              <w:jc w:val="center"/>
              <w:tblLayout w:type="fixed"/>
              <w:tblLook w:val="04A0" w:firstRow="1" w:lastRow="0" w:firstColumn="1" w:lastColumn="0" w:noHBand="0" w:noVBand="1"/>
            </w:tblPr>
            <w:tblGrid>
              <w:gridCol w:w="2277"/>
              <w:gridCol w:w="2277"/>
              <w:gridCol w:w="2275"/>
              <w:gridCol w:w="2272"/>
            </w:tblGrid>
            <w:tr w:rsidR="00B23397" w:rsidTr="0071593E">
              <w:trPr>
                <w:trHeight w:val="390"/>
                <w:jc w:val="center"/>
              </w:trPr>
              <w:tc>
                <w:tcPr>
                  <w:tcW w:w="1251" w:type="pct"/>
                  <w:vAlign w:val="center"/>
                  <w:hideMark/>
                </w:tcPr>
                <w:p w:rsidR="00B23397" w:rsidRPr="00DE7FED" w:rsidRDefault="00B23397" w:rsidP="00B23397">
                  <w:pPr>
                    <w:spacing w:after="0" w:line="276" w:lineRule="auto"/>
                    <w:jc w:val="center"/>
                    <w:rPr>
                      <w:rFonts w:eastAsia="Times New Roman"/>
                      <w:b/>
                      <w:bCs/>
                      <w:color w:val="0070C0"/>
                      <w:szCs w:val="20"/>
                    </w:rPr>
                  </w:pPr>
                  <w:r w:rsidRPr="00DE7FED">
                    <w:rPr>
                      <w:rFonts w:ascii="Calibri Light" w:hAnsi="Calibri Light"/>
                      <w:b/>
                      <w:color w:val="0070C0"/>
                      <w:spacing w:val="-2"/>
                    </w:rPr>
                    <w:t>MARKET INDEX</w:t>
                  </w:r>
                </w:p>
              </w:tc>
              <w:tc>
                <w:tcPr>
                  <w:tcW w:w="1251" w:type="pct"/>
                  <w:vAlign w:val="center"/>
                  <w:hideMark/>
                </w:tcPr>
                <w:p w:rsidR="00B23397" w:rsidRPr="00DE7FED" w:rsidRDefault="00E03142" w:rsidP="00B23397">
                  <w:pPr>
                    <w:spacing w:after="0" w:line="276" w:lineRule="auto"/>
                    <w:jc w:val="center"/>
                    <w:rPr>
                      <w:rFonts w:ascii="Calibri Light" w:eastAsia="Times New Roman" w:hAnsi="Calibri Light"/>
                      <w:b/>
                      <w:bCs/>
                      <w:color w:val="0070C0"/>
                      <w:szCs w:val="20"/>
                    </w:rPr>
                  </w:pPr>
                  <w:r>
                    <w:rPr>
                      <w:rFonts w:ascii="Calibri Light" w:hAnsi="Calibri Light"/>
                      <w:b/>
                      <w:color w:val="0070C0"/>
                      <w:spacing w:val="-2"/>
                    </w:rPr>
                    <w:t>Q1</w:t>
                  </w:r>
                  <w:r w:rsidR="00B23397" w:rsidRPr="00DE7FED">
                    <w:rPr>
                      <w:rFonts w:ascii="Calibri Light" w:hAnsi="Calibri Light"/>
                      <w:b/>
                      <w:color w:val="0070C0"/>
                      <w:spacing w:val="-2"/>
                    </w:rPr>
                    <w:t xml:space="preserve"> CHANGE</w:t>
                  </w:r>
                </w:p>
              </w:tc>
              <w:tc>
                <w:tcPr>
                  <w:tcW w:w="1250" w:type="pct"/>
                  <w:vAlign w:val="center"/>
                  <w:hideMark/>
                </w:tcPr>
                <w:p w:rsidR="00B23397" w:rsidRPr="00DE7FED" w:rsidRDefault="00B23397" w:rsidP="00B23397">
                  <w:pPr>
                    <w:spacing w:after="0" w:line="276" w:lineRule="auto"/>
                    <w:jc w:val="center"/>
                    <w:rPr>
                      <w:rFonts w:ascii="Calibri Light" w:eastAsia="Times New Roman" w:hAnsi="Calibri Light"/>
                      <w:b/>
                      <w:bCs/>
                      <w:color w:val="0070C0"/>
                      <w:szCs w:val="20"/>
                    </w:rPr>
                  </w:pPr>
                  <w:r w:rsidRPr="00DE7FED">
                    <w:rPr>
                      <w:rFonts w:ascii="Calibri Light" w:hAnsi="Calibri Light"/>
                      <w:b/>
                      <w:color w:val="0070C0"/>
                      <w:spacing w:val="-2"/>
                    </w:rPr>
                    <w:t>Q4 CHANGE</w:t>
                  </w:r>
                </w:p>
              </w:tc>
              <w:tc>
                <w:tcPr>
                  <w:tcW w:w="1248" w:type="pct"/>
                  <w:vAlign w:val="center"/>
                  <w:hideMark/>
                </w:tcPr>
                <w:p w:rsidR="00B23397" w:rsidRPr="00DE7FED" w:rsidRDefault="00E03142" w:rsidP="00B23397">
                  <w:pPr>
                    <w:spacing w:after="0" w:line="276" w:lineRule="auto"/>
                    <w:jc w:val="center"/>
                    <w:rPr>
                      <w:rFonts w:ascii="Calibri Light" w:eastAsia="Times New Roman" w:hAnsi="Calibri Light"/>
                      <w:b/>
                      <w:bCs/>
                      <w:color w:val="0070C0"/>
                      <w:szCs w:val="20"/>
                    </w:rPr>
                  </w:pPr>
                  <w:r>
                    <w:rPr>
                      <w:rFonts w:ascii="Calibri Light" w:hAnsi="Calibri Light"/>
                      <w:b/>
                      <w:color w:val="0070C0"/>
                      <w:spacing w:val="-2"/>
                    </w:rPr>
                    <w:t>2018</w:t>
                  </w:r>
                </w:p>
              </w:tc>
            </w:tr>
            <w:tr w:rsidR="00B23397" w:rsidTr="0071593E">
              <w:trPr>
                <w:trHeight w:val="390"/>
                <w:jc w:val="center"/>
              </w:trPr>
              <w:tc>
                <w:tcPr>
                  <w:tcW w:w="1251" w:type="pct"/>
                  <w:tcBorders>
                    <w:top w:val="single" w:sz="4" w:space="0" w:color="A5A5A5"/>
                    <w:left w:val="single" w:sz="4" w:space="0" w:color="A5A5A5"/>
                    <w:bottom w:val="single" w:sz="4" w:space="0" w:color="A5A5A5"/>
                    <w:right w:val="single" w:sz="4" w:space="0" w:color="A5A5A5"/>
                  </w:tcBorders>
                  <w:shd w:val="clear" w:color="auto" w:fill="F2F2F2"/>
                  <w:vAlign w:val="center"/>
                  <w:hideMark/>
                </w:tcPr>
                <w:p w:rsidR="00B23397" w:rsidRDefault="00B23397" w:rsidP="00B23397">
                  <w:pPr>
                    <w:spacing w:after="0" w:line="276" w:lineRule="auto"/>
                    <w:jc w:val="center"/>
                    <w:rPr>
                      <w:rFonts w:ascii="Calibri Light" w:eastAsia="Times New Roman" w:hAnsi="Calibri Light"/>
                      <w:szCs w:val="20"/>
                    </w:rPr>
                  </w:pPr>
                  <w:r>
                    <w:rPr>
                      <w:rFonts w:ascii="Calibri Light" w:eastAsia="Times New Roman" w:hAnsi="Calibri Light"/>
                      <w:szCs w:val="20"/>
                    </w:rPr>
                    <w:t>DJIA</w:t>
                  </w:r>
                </w:p>
              </w:tc>
              <w:tc>
                <w:tcPr>
                  <w:tcW w:w="1251" w:type="pct"/>
                  <w:tcBorders>
                    <w:top w:val="single" w:sz="4" w:space="0" w:color="A5A5A5"/>
                    <w:left w:val="nil"/>
                    <w:bottom w:val="single" w:sz="4" w:space="0" w:color="A5A5A5"/>
                    <w:right w:val="single" w:sz="4" w:space="0" w:color="A5A5A5"/>
                  </w:tcBorders>
                  <w:shd w:val="clear" w:color="auto" w:fill="F2F2F2"/>
                  <w:vAlign w:val="center"/>
                  <w:hideMark/>
                </w:tcPr>
                <w:p w:rsidR="00B23397" w:rsidRDefault="00E03142" w:rsidP="00B23397">
                  <w:pPr>
                    <w:spacing w:after="0" w:line="276" w:lineRule="auto"/>
                    <w:jc w:val="center"/>
                    <w:rPr>
                      <w:rFonts w:ascii="Calibri Light" w:eastAsia="Times New Roman" w:hAnsi="Calibri Light"/>
                      <w:szCs w:val="20"/>
                    </w:rPr>
                  </w:pPr>
                  <w:r>
                    <w:rPr>
                      <w:rFonts w:ascii="Calibri Light" w:eastAsia="Times New Roman" w:hAnsi="Calibri Light"/>
                      <w:szCs w:val="20"/>
                    </w:rPr>
                    <w:t>+11.15</w:t>
                  </w:r>
                </w:p>
              </w:tc>
              <w:tc>
                <w:tcPr>
                  <w:tcW w:w="1250" w:type="pct"/>
                  <w:tcBorders>
                    <w:top w:val="single" w:sz="4" w:space="0" w:color="A5A5A5"/>
                    <w:left w:val="nil"/>
                    <w:bottom w:val="single" w:sz="4" w:space="0" w:color="A5A5A5"/>
                    <w:right w:val="single" w:sz="4" w:space="0" w:color="A5A5A5"/>
                  </w:tcBorders>
                  <w:shd w:val="clear" w:color="auto" w:fill="F2F2F2"/>
                  <w:vAlign w:val="center"/>
                  <w:hideMark/>
                </w:tcPr>
                <w:p w:rsidR="00B23397" w:rsidRDefault="00B23397" w:rsidP="00B23397">
                  <w:pPr>
                    <w:spacing w:after="0" w:line="276" w:lineRule="auto"/>
                    <w:jc w:val="center"/>
                    <w:rPr>
                      <w:rFonts w:ascii="Calibri Light" w:eastAsia="Times New Roman" w:hAnsi="Calibri Light"/>
                      <w:szCs w:val="20"/>
                    </w:rPr>
                  </w:pPr>
                  <w:r>
                    <w:rPr>
                      <w:rFonts w:ascii="Calibri Light" w:eastAsia="Times New Roman" w:hAnsi="Calibri Light"/>
                      <w:szCs w:val="20"/>
                    </w:rPr>
                    <w:t>-11.83</w:t>
                  </w:r>
                </w:p>
              </w:tc>
              <w:tc>
                <w:tcPr>
                  <w:tcW w:w="1248" w:type="pct"/>
                  <w:tcBorders>
                    <w:top w:val="single" w:sz="4" w:space="0" w:color="A5A5A5"/>
                    <w:left w:val="nil"/>
                    <w:bottom w:val="single" w:sz="4" w:space="0" w:color="A5A5A5"/>
                    <w:right w:val="single" w:sz="4" w:space="0" w:color="A5A5A5"/>
                  </w:tcBorders>
                  <w:shd w:val="clear" w:color="auto" w:fill="F2F2F2"/>
                  <w:vAlign w:val="center"/>
                  <w:hideMark/>
                </w:tcPr>
                <w:p w:rsidR="00B23397" w:rsidRDefault="00E03142" w:rsidP="00B23397">
                  <w:pPr>
                    <w:spacing w:after="0" w:line="276" w:lineRule="auto"/>
                    <w:jc w:val="center"/>
                    <w:rPr>
                      <w:rFonts w:ascii="Calibri Light" w:eastAsia="Times New Roman" w:hAnsi="Calibri Light"/>
                      <w:szCs w:val="20"/>
                    </w:rPr>
                  </w:pPr>
                  <w:r>
                    <w:rPr>
                      <w:rFonts w:ascii="Calibri Light" w:eastAsia="Times New Roman" w:hAnsi="Calibri Light"/>
                      <w:szCs w:val="20"/>
                    </w:rPr>
                    <w:t>-5.63</w:t>
                  </w:r>
                </w:p>
              </w:tc>
            </w:tr>
            <w:tr w:rsidR="00B23397" w:rsidTr="0071593E">
              <w:trPr>
                <w:trHeight w:val="390"/>
                <w:jc w:val="center"/>
              </w:trPr>
              <w:tc>
                <w:tcPr>
                  <w:tcW w:w="1251" w:type="pct"/>
                  <w:tcBorders>
                    <w:top w:val="nil"/>
                    <w:left w:val="single" w:sz="4" w:space="0" w:color="A5A5A5"/>
                    <w:bottom w:val="single" w:sz="4" w:space="0" w:color="A5A5A5"/>
                    <w:right w:val="single" w:sz="4" w:space="0" w:color="A5A5A5"/>
                  </w:tcBorders>
                  <w:shd w:val="clear" w:color="auto" w:fill="F2F2F2"/>
                  <w:vAlign w:val="center"/>
                  <w:hideMark/>
                </w:tcPr>
                <w:p w:rsidR="00B23397" w:rsidRDefault="00B23397" w:rsidP="00B23397">
                  <w:pPr>
                    <w:spacing w:after="0" w:line="276" w:lineRule="auto"/>
                    <w:jc w:val="center"/>
                    <w:rPr>
                      <w:rFonts w:ascii="Calibri Light" w:eastAsia="Times New Roman" w:hAnsi="Calibri Light"/>
                      <w:szCs w:val="20"/>
                    </w:rPr>
                  </w:pPr>
                  <w:r>
                    <w:rPr>
                      <w:rFonts w:ascii="Calibri Light" w:eastAsia="Times New Roman" w:hAnsi="Calibri Light"/>
                      <w:szCs w:val="20"/>
                    </w:rPr>
                    <w:t>NASDAQ</w:t>
                  </w:r>
                </w:p>
              </w:tc>
              <w:tc>
                <w:tcPr>
                  <w:tcW w:w="1251" w:type="pct"/>
                  <w:tcBorders>
                    <w:top w:val="nil"/>
                    <w:left w:val="nil"/>
                    <w:bottom w:val="single" w:sz="4" w:space="0" w:color="A5A5A5"/>
                    <w:right w:val="single" w:sz="4" w:space="0" w:color="A5A5A5"/>
                  </w:tcBorders>
                  <w:shd w:val="clear" w:color="auto" w:fill="F2F2F2"/>
                  <w:vAlign w:val="center"/>
                  <w:hideMark/>
                </w:tcPr>
                <w:p w:rsidR="00B23397" w:rsidRDefault="00E03142" w:rsidP="00B23397">
                  <w:pPr>
                    <w:spacing w:after="0" w:line="276" w:lineRule="auto"/>
                    <w:jc w:val="center"/>
                    <w:rPr>
                      <w:rFonts w:ascii="Calibri Light" w:eastAsia="Times New Roman" w:hAnsi="Calibri Light"/>
                      <w:szCs w:val="20"/>
                    </w:rPr>
                  </w:pPr>
                  <w:r>
                    <w:rPr>
                      <w:rFonts w:ascii="Calibri Light" w:eastAsia="Times New Roman" w:hAnsi="Calibri Light"/>
                      <w:szCs w:val="20"/>
                    </w:rPr>
                    <w:t>+16.49</w:t>
                  </w:r>
                </w:p>
              </w:tc>
              <w:tc>
                <w:tcPr>
                  <w:tcW w:w="1250" w:type="pct"/>
                  <w:tcBorders>
                    <w:top w:val="nil"/>
                    <w:left w:val="nil"/>
                    <w:bottom w:val="single" w:sz="4" w:space="0" w:color="A5A5A5"/>
                    <w:right w:val="single" w:sz="4" w:space="0" w:color="A5A5A5"/>
                  </w:tcBorders>
                  <w:shd w:val="clear" w:color="auto" w:fill="F2F2F2"/>
                  <w:vAlign w:val="center"/>
                  <w:hideMark/>
                </w:tcPr>
                <w:p w:rsidR="00B23397" w:rsidRDefault="00B23397" w:rsidP="00B23397">
                  <w:pPr>
                    <w:spacing w:after="0" w:line="276" w:lineRule="auto"/>
                    <w:jc w:val="center"/>
                    <w:rPr>
                      <w:rFonts w:ascii="Calibri Light" w:eastAsia="Times New Roman" w:hAnsi="Calibri Light"/>
                      <w:szCs w:val="20"/>
                    </w:rPr>
                  </w:pPr>
                  <w:r>
                    <w:rPr>
                      <w:rFonts w:ascii="Calibri Light" w:eastAsia="Times New Roman" w:hAnsi="Calibri Light"/>
                      <w:szCs w:val="20"/>
                    </w:rPr>
                    <w:t>-17.54</w:t>
                  </w:r>
                </w:p>
              </w:tc>
              <w:tc>
                <w:tcPr>
                  <w:tcW w:w="1248" w:type="pct"/>
                  <w:tcBorders>
                    <w:top w:val="nil"/>
                    <w:left w:val="nil"/>
                    <w:bottom w:val="single" w:sz="4" w:space="0" w:color="A5A5A5"/>
                    <w:right w:val="single" w:sz="4" w:space="0" w:color="A5A5A5"/>
                  </w:tcBorders>
                  <w:shd w:val="clear" w:color="auto" w:fill="F2F2F2"/>
                  <w:vAlign w:val="center"/>
                  <w:hideMark/>
                </w:tcPr>
                <w:p w:rsidR="00B23397" w:rsidRDefault="00E03142" w:rsidP="00B23397">
                  <w:pPr>
                    <w:spacing w:after="0" w:line="276" w:lineRule="auto"/>
                    <w:jc w:val="center"/>
                    <w:rPr>
                      <w:rFonts w:ascii="Calibri Light" w:eastAsia="Times New Roman" w:hAnsi="Calibri Light"/>
                      <w:szCs w:val="20"/>
                    </w:rPr>
                  </w:pPr>
                  <w:r>
                    <w:rPr>
                      <w:rFonts w:ascii="Calibri Light" w:eastAsia="Times New Roman" w:hAnsi="Calibri Light"/>
                      <w:szCs w:val="20"/>
                    </w:rPr>
                    <w:t>-3.88</w:t>
                  </w:r>
                </w:p>
              </w:tc>
            </w:tr>
            <w:tr w:rsidR="00B23397" w:rsidTr="0071593E">
              <w:trPr>
                <w:trHeight w:val="390"/>
                <w:jc w:val="center"/>
              </w:trPr>
              <w:tc>
                <w:tcPr>
                  <w:tcW w:w="1251" w:type="pct"/>
                  <w:tcBorders>
                    <w:top w:val="nil"/>
                    <w:left w:val="single" w:sz="4" w:space="0" w:color="A5A5A5"/>
                    <w:bottom w:val="single" w:sz="4" w:space="0" w:color="A5A5A5"/>
                    <w:right w:val="single" w:sz="4" w:space="0" w:color="A5A5A5"/>
                  </w:tcBorders>
                  <w:shd w:val="clear" w:color="auto" w:fill="F2F2F2"/>
                  <w:vAlign w:val="center"/>
                  <w:hideMark/>
                </w:tcPr>
                <w:p w:rsidR="00B23397" w:rsidRDefault="00B23397" w:rsidP="00B23397">
                  <w:pPr>
                    <w:spacing w:after="0" w:line="276" w:lineRule="auto"/>
                    <w:jc w:val="center"/>
                    <w:rPr>
                      <w:rFonts w:ascii="Calibri Light" w:eastAsia="Times New Roman" w:hAnsi="Calibri Light"/>
                      <w:szCs w:val="20"/>
                    </w:rPr>
                  </w:pPr>
                  <w:r>
                    <w:rPr>
                      <w:rFonts w:ascii="Calibri Light" w:eastAsia="Times New Roman" w:hAnsi="Calibri Light"/>
                      <w:szCs w:val="20"/>
                    </w:rPr>
                    <w:t>S&amp;P 500</w:t>
                  </w:r>
                </w:p>
              </w:tc>
              <w:tc>
                <w:tcPr>
                  <w:tcW w:w="1251" w:type="pct"/>
                  <w:tcBorders>
                    <w:top w:val="nil"/>
                    <w:left w:val="nil"/>
                    <w:bottom w:val="single" w:sz="4" w:space="0" w:color="A5A5A5"/>
                    <w:right w:val="single" w:sz="4" w:space="0" w:color="A5A5A5"/>
                  </w:tcBorders>
                  <w:shd w:val="clear" w:color="auto" w:fill="F2F2F2"/>
                  <w:vAlign w:val="center"/>
                  <w:hideMark/>
                </w:tcPr>
                <w:p w:rsidR="00B23397" w:rsidRDefault="00E03142" w:rsidP="00B23397">
                  <w:pPr>
                    <w:spacing w:after="0" w:line="276" w:lineRule="auto"/>
                    <w:jc w:val="center"/>
                    <w:rPr>
                      <w:rFonts w:ascii="Calibri Light" w:eastAsia="Times New Roman" w:hAnsi="Calibri Light"/>
                      <w:szCs w:val="20"/>
                    </w:rPr>
                  </w:pPr>
                  <w:r>
                    <w:rPr>
                      <w:rFonts w:ascii="Calibri Light" w:eastAsia="Times New Roman" w:hAnsi="Calibri Light"/>
                      <w:szCs w:val="20"/>
                    </w:rPr>
                    <w:t>+13.07</w:t>
                  </w:r>
                </w:p>
              </w:tc>
              <w:tc>
                <w:tcPr>
                  <w:tcW w:w="1250" w:type="pct"/>
                  <w:tcBorders>
                    <w:top w:val="nil"/>
                    <w:left w:val="nil"/>
                    <w:bottom w:val="single" w:sz="4" w:space="0" w:color="A5A5A5"/>
                    <w:right w:val="single" w:sz="4" w:space="0" w:color="A5A5A5"/>
                  </w:tcBorders>
                  <w:shd w:val="clear" w:color="auto" w:fill="F2F2F2"/>
                  <w:vAlign w:val="center"/>
                  <w:hideMark/>
                </w:tcPr>
                <w:p w:rsidR="00B23397" w:rsidRDefault="00B23397" w:rsidP="00B23397">
                  <w:pPr>
                    <w:spacing w:after="0" w:line="276" w:lineRule="auto"/>
                    <w:jc w:val="center"/>
                    <w:rPr>
                      <w:rFonts w:ascii="Calibri Light" w:eastAsia="Times New Roman" w:hAnsi="Calibri Light"/>
                      <w:szCs w:val="20"/>
                    </w:rPr>
                  </w:pPr>
                  <w:r>
                    <w:rPr>
                      <w:rFonts w:ascii="Calibri Light" w:eastAsia="Times New Roman" w:hAnsi="Calibri Light"/>
                      <w:szCs w:val="20"/>
                    </w:rPr>
                    <w:t>-13.97</w:t>
                  </w:r>
                </w:p>
              </w:tc>
              <w:tc>
                <w:tcPr>
                  <w:tcW w:w="1248" w:type="pct"/>
                  <w:tcBorders>
                    <w:top w:val="nil"/>
                    <w:left w:val="nil"/>
                    <w:bottom w:val="single" w:sz="4" w:space="0" w:color="A5A5A5"/>
                    <w:right w:val="single" w:sz="4" w:space="0" w:color="A5A5A5"/>
                  </w:tcBorders>
                  <w:shd w:val="clear" w:color="auto" w:fill="F2F2F2"/>
                  <w:vAlign w:val="center"/>
                  <w:hideMark/>
                </w:tcPr>
                <w:p w:rsidR="00B23397" w:rsidRDefault="00E03142" w:rsidP="00B23397">
                  <w:pPr>
                    <w:spacing w:after="0" w:line="276" w:lineRule="auto"/>
                    <w:jc w:val="center"/>
                    <w:rPr>
                      <w:rFonts w:ascii="Calibri Light" w:eastAsia="Times New Roman" w:hAnsi="Calibri Light"/>
                      <w:szCs w:val="20"/>
                    </w:rPr>
                  </w:pPr>
                  <w:r>
                    <w:rPr>
                      <w:rFonts w:ascii="Calibri Light" w:eastAsia="Times New Roman" w:hAnsi="Calibri Light"/>
                      <w:szCs w:val="20"/>
                    </w:rPr>
                    <w:t>-6.24</w:t>
                  </w:r>
                </w:p>
              </w:tc>
            </w:tr>
            <w:tr w:rsidR="00B23397" w:rsidTr="0071593E">
              <w:trPr>
                <w:trHeight w:val="390"/>
                <w:jc w:val="center"/>
              </w:trPr>
              <w:tc>
                <w:tcPr>
                  <w:tcW w:w="1251" w:type="pct"/>
                  <w:vAlign w:val="center"/>
                  <w:hideMark/>
                </w:tcPr>
                <w:p w:rsidR="00B23397" w:rsidRDefault="00B23397" w:rsidP="00B23397">
                  <w:pPr>
                    <w:rPr>
                      <w:rFonts w:ascii="Calibri Light" w:eastAsia="Times New Roman" w:hAnsi="Calibri Light"/>
                      <w:szCs w:val="20"/>
                    </w:rPr>
                  </w:pPr>
                </w:p>
              </w:tc>
              <w:tc>
                <w:tcPr>
                  <w:tcW w:w="1251" w:type="pct"/>
                  <w:vAlign w:val="center"/>
                  <w:hideMark/>
                </w:tcPr>
                <w:p w:rsidR="00B23397" w:rsidRDefault="00B23397" w:rsidP="00B23397">
                  <w:pPr>
                    <w:spacing w:after="0" w:line="240" w:lineRule="auto"/>
                    <w:rPr>
                      <w:rFonts w:cs="Calibri"/>
                      <w:sz w:val="20"/>
                      <w:szCs w:val="20"/>
                    </w:rPr>
                  </w:pPr>
                </w:p>
              </w:tc>
              <w:tc>
                <w:tcPr>
                  <w:tcW w:w="1250" w:type="pct"/>
                  <w:vAlign w:val="center"/>
                  <w:hideMark/>
                </w:tcPr>
                <w:p w:rsidR="00B23397" w:rsidRDefault="00B23397" w:rsidP="00B23397">
                  <w:pPr>
                    <w:spacing w:after="0" w:line="240" w:lineRule="auto"/>
                    <w:rPr>
                      <w:rFonts w:cs="Calibri"/>
                      <w:sz w:val="20"/>
                      <w:szCs w:val="20"/>
                    </w:rPr>
                  </w:pPr>
                </w:p>
              </w:tc>
              <w:tc>
                <w:tcPr>
                  <w:tcW w:w="1248" w:type="pct"/>
                  <w:vAlign w:val="center"/>
                  <w:hideMark/>
                </w:tcPr>
                <w:p w:rsidR="00B23397" w:rsidRDefault="00B23397" w:rsidP="00B23397">
                  <w:pPr>
                    <w:spacing w:after="0" w:line="240" w:lineRule="auto"/>
                    <w:rPr>
                      <w:rFonts w:cs="Calibri"/>
                      <w:sz w:val="20"/>
                      <w:szCs w:val="20"/>
                    </w:rPr>
                  </w:pPr>
                </w:p>
              </w:tc>
            </w:tr>
            <w:tr w:rsidR="00B23397" w:rsidTr="0071593E">
              <w:trPr>
                <w:trHeight w:val="390"/>
                <w:jc w:val="center"/>
              </w:trPr>
              <w:tc>
                <w:tcPr>
                  <w:tcW w:w="1251" w:type="pct"/>
                  <w:vAlign w:val="center"/>
                  <w:hideMark/>
                </w:tcPr>
                <w:p w:rsidR="00B23397" w:rsidRPr="00DE7FED" w:rsidRDefault="00E03142" w:rsidP="00B23397">
                  <w:pPr>
                    <w:spacing w:after="0" w:line="276" w:lineRule="auto"/>
                    <w:jc w:val="center"/>
                    <w:rPr>
                      <w:rFonts w:ascii="Calibri Light" w:eastAsia="Times New Roman" w:hAnsi="Calibri Light"/>
                      <w:b/>
                      <w:bCs/>
                      <w:color w:val="0070C0"/>
                      <w:szCs w:val="20"/>
                    </w:rPr>
                  </w:pPr>
                  <w:r>
                    <w:rPr>
                      <w:rFonts w:ascii="Calibri Light" w:hAnsi="Calibri Light"/>
                      <w:b/>
                      <w:color w:val="0070C0"/>
                      <w:spacing w:val="-2"/>
                    </w:rPr>
                    <w:t xml:space="preserve">BOND </w:t>
                  </w:r>
                  <w:r w:rsidR="00B23397" w:rsidRPr="00DE7FED">
                    <w:rPr>
                      <w:rFonts w:ascii="Calibri Light" w:hAnsi="Calibri Light"/>
                      <w:b/>
                      <w:color w:val="0070C0"/>
                      <w:spacing w:val="-2"/>
                    </w:rPr>
                    <w:t>YIELD</w:t>
                  </w:r>
                </w:p>
              </w:tc>
              <w:tc>
                <w:tcPr>
                  <w:tcW w:w="1251" w:type="pct"/>
                  <w:vAlign w:val="center"/>
                  <w:hideMark/>
                </w:tcPr>
                <w:p w:rsidR="00B23397" w:rsidRPr="00DE7FED" w:rsidRDefault="00E03142" w:rsidP="00B23397">
                  <w:pPr>
                    <w:spacing w:after="0" w:line="276" w:lineRule="auto"/>
                    <w:jc w:val="center"/>
                    <w:rPr>
                      <w:rFonts w:ascii="Calibri Light" w:eastAsia="Times New Roman" w:hAnsi="Calibri Light"/>
                      <w:b/>
                      <w:bCs/>
                      <w:color w:val="0070C0"/>
                      <w:szCs w:val="20"/>
                    </w:rPr>
                  </w:pPr>
                  <w:r>
                    <w:rPr>
                      <w:rFonts w:ascii="Calibri Light" w:hAnsi="Calibri Light"/>
                      <w:b/>
                      <w:color w:val="0070C0"/>
                      <w:spacing w:val="-2"/>
                    </w:rPr>
                    <w:t>3/29</w:t>
                  </w:r>
                  <w:r w:rsidR="00B23397" w:rsidRPr="00DE7FED">
                    <w:rPr>
                      <w:rFonts w:ascii="Calibri Light" w:hAnsi="Calibri Light"/>
                      <w:b/>
                      <w:color w:val="0070C0"/>
                      <w:spacing w:val="-2"/>
                    </w:rPr>
                    <w:t xml:space="preserve"> RATE</w:t>
                  </w:r>
                </w:p>
              </w:tc>
              <w:tc>
                <w:tcPr>
                  <w:tcW w:w="1250" w:type="pct"/>
                  <w:vAlign w:val="center"/>
                  <w:hideMark/>
                </w:tcPr>
                <w:p w:rsidR="00B23397" w:rsidRPr="00DE7FED" w:rsidRDefault="00E03142" w:rsidP="00B23397">
                  <w:pPr>
                    <w:spacing w:after="0" w:line="276" w:lineRule="auto"/>
                    <w:jc w:val="center"/>
                    <w:rPr>
                      <w:rFonts w:ascii="Calibri Light" w:eastAsia="Times New Roman" w:hAnsi="Calibri Light"/>
                      <w:b/>
                      <w:bCs/>
                      <w:color w:val="0070C0"/>
                      <w:szCs w:val="20"/>
                    </w:rPr>
                  </w:pPr>
                  <w:r>
                    <w:rPr>
                      <w:rFonts w:ascii="Calibri Light" w:hAnsi="Calibri Light"/>
                      <w:b/>
                      <w:color w:val="0070C0"/>
                      <w:spacing w:val="-2"/>
                    </w:rPr>
                    <w:t>12/31 RATE</w:t>
                  </w:r>
                </w:p>
              </w:tc>
              <w:tc>
                <w:tcPr>
                  <w:tcW w:w="1248" w:type="pct"/>
                  <w:vAlign w:val="center"/>
                  <w:hideMark/>
                </w:tcPr>
                <w:p w:rsidR="00B23397" w:rsidRPr="00DE7FED" w:rsidRDefault="00B23397" w:rsidP="00B23397">
                  <w:pPr>
                    <w:spacing w:after="0" w:line="276" w:lineRule="auto"/>
                    <w:jc w:val="center"/>
                    <w:rPr>
                      <w:rFonts w:ascii="Calibri Light" w:eastAsia="Times New Roman" w:hAnsi="Calibri Light"/>
                      <w:b/>
                      <w:bCs/>
                      <w:color w:val="0070C0"/>
                      <w:szCs w:val="20"/>
                    </w:rPr>
                  </w:pPr>
                  <w:r w:rsidRPr="00DE7FED">
                    <w:rPr>
                      <w:rFonts w:ascii="Calibri Light" w:hAnsi="Calibri Light"/>
                      <w:b/>
                      <w:color w:val="0070C0"/>
                      <w:spacing w:val="-2"/>
                    </w:rPr>
                    <w:t>1 YR AGO</w:t>
                  </w:r>
                </w:p>
              </w:tc>
            </w:tr>
            <w:tr w:rsidR="00B23397" w:rsidTr="0071593E">
              <w:trPr>
                <w:trHeight w:val="390"/>
                <w:jc w:val="center"/>
              </w:trPr>
              <w:tc>
                <w:tcPr>
                  <w:tcW w:w="1251" w:type="pct"/>
                  <w:tcBorders>
                    <w:top w:val="single" w:sz="4" w:space="0" w:color="A5A5A5"/>
                    <w:left w:val="single" w:sz="4" w:space="0" w:color="A5A5A5"/>
                    <w:bottom w:val="single" w:sz="4" w:space="0" w:color="A5A5A5"/>
                    <w:right w:val="single" w:sz="4" w:space="0" w:color="A5A5A5"/>
                  </w:tcBorders>
                  <w:shd w:val="clear" w:color="auto" w:fill="F2F2F2"/>
                  <w:vAlign w:val="center"/>
                  <w:hideMark/>
                </w:tcPr>
                <w:p w:rsidR="00B23397" w:rsidRDefault="00E03142" w:rsidP="00B23397">
                  <w:pPr>
                    <w:spacing w:after="0" w:line="276" w:lineRule="auto"/>
                    <w:jc w:val="center"/>
                    <w:rPr>
                      <w:rFonts w:ascii="Calibri Light" w:eastAsia="Times New Roman" w:hAnsi="Calibri Light"/>
                      <w:szCs w:val="20"/>
                    </w:rPr>
                  </w:pPr>
                  <w:r>
                    <w:rPr>
                      <w:rFonts w:ascii="Calibri Light" w:eastAsia="Times New Roman" w:hAnsi="Calibri Light"/>
                      <w:szCs w:val="20"/>
                    </w:rPr>
                    <w:t>10-YEAR TREASURY</w:t>
                  </w:r>
                </w:p>
              </w:tc>
              <w:tc>
                <w:tcPr>
                  <w:tcW w:w="1251" w:type="pct"/>
                  <w:tcBorders>
                    <w:top w:val="single" w:sz="4" w:space="0" w:color="A5A5A5"/>
                    <w:left w:val="nil"/>
                    <w:bottom w:val="single" w:sz="4" w:space="0" w:color="A5A5A5"/>
                    <w:right w:val="single" w:sz="4" w:space="0" w:color="A5A5A5"/>
                  </w:tcBorders>
                  <w:shd w:val="clear" w:color="auto" w:fill="F2F2F2"/>
                  <w:vAlign w:val="center"/>
                  <w:hideMark/>
                </w:tcPr>
                <w:p w:rsidR="00B23397" w:rsidRDefault="00E03142" w:rsidP="00B23397">
                  <w:pPr>
                    <w:spacing w:after="0" w:line="276" w:lineRule="auto"/>
                    <w:jc w:val="center"/>
                    <w:rPr>
                      <w:rFonts w:ascii="Calibri Light" w:eastAsia="Times New Roman" w:hAnsi="Calibri Light"/>
                      <w:szCs w:val="20"/>
                    </w:rPr>
                  </w:pPr>
                  <w:r>
                    <w:rPr>
                      <w:rFonts w:ascii="Calibri Light" w:eastAsia="Times New Roman" w:hAnsi="Calibri Light"/>
                      <w:szCs w:val="20"/>
                    </w:rPr>
                    <w:t>2.41</w:t>
                  </w:r>
                </w:p>
              </w:tc>
              <w:tc>
                <w:tcPr>
                  <w:tcW w:w="1250" w:type="pct"/>
                  <w:tcBorders>
                    <w:top w:val="single" w:sz="4" w:space="0" w:color="A5A5A5"/>
                    <w:left w:val="nil"/>
                    <w:bottom w:val="single" w:sz="4" w:space="0" w:color="A5A5A5"/>
                    <w:right w:val="single" w:sz="4" w:space="0" w:color="A5A5A5"/>
                  </w:tcBorders>
                  <w:shd w:val="clear" w:color="auto" w:fill="F2F2F2"/>
                  <w:vAlign w:val="center"/>
                  <w:hideMark/>
                </w:tcPr>
                <w:p w:rsidR="00B23397" w:rsidRDefault="00E03142" w:rsidP="00B23397">
                  <w:pPr>
                    <w:spacing w:after="0" w:line="276" w:lineRule="auto"/>
                    <w:jc w:val="center"/>
                    <w:rPr>
                      <w:rFonts w:ascii="Calibri Light" w:eastAsia="Times New Roman" w:hAnsi="Calibri Light"/>
                      <w:szCs w:val="20"/>
                    </w:rPr>
                  </w:pPr>
                  <w:r>
                    <w:rPr>
                      <w:rFonts w:ascii="Calibri Light" w:eastAsia="Times New Roman" w:hAnsi="Calibri Light"/>
                      <w:szCs w:val="20"/>
                    </w:rPr>
                    <w:t>2.69</w:t>
                  </w:r>
                </w:p>
              </w:tc>
              <w:tc>
                <w:tcPr>
                  <w:tcW w:w="1248" w:type="pct"/>
                  <w:tcBorders>
                    <w:top w:val="single" w:sz="4" w:space="0" w:color="A5A5A5"/>
                    <w:left w:val="nil"/>
                    <w:bottom w:val="single" w:sz="4" w:space="0" w:color="A5A5A5"/>
                    <w:right w:val="single" w:sz="4" w:space="0" w:color="A5A5A5"/>
                  </w:tcBorders>
                  <w:shd w:val="clear" w:color="auto" w:fill="F2F2F2"/>
                  <w:vAlign w:val="center"/>
                  <w:hideMark/>
                </w:tcPr>
                <w:p w:rsidR="00B23397" w:rsidRDefault="00E03142" w:rsidP="00B23397">
                  <w:pPr>
                    <w:spacing w:after="0" w:line="276" w:lineRule="auto"/>
                    <w:jc w:val="center"/>
                    <w:rPr>
                      <w:rFonts w:ascii="Calibri Light" w:eastAsia="Times New Roman" w:hAnsi="Calibri Light"/>
                      <w:szCs w:val="20"/>
                    </w:rPr>
                  </w:pPr>
                  <w:r>
                    <w:rPr>
                      <w:rFonts w:ascii="Calibri Light" w:eastAsia="Times New Roman" w:hAnsi="Calibri Light"/>
                      <w:szCs w:val="20"/>
                    </w:rPr>
                    <w:t>2.74</w:t>
                  </w:r>
                </w:p>
              </w:tc>
            </w:tr>
          </w:tbl>
          <w:p w:rsidR="00B23397" w:rsidRDefault="00B23397" w:rsidP="00B23397">
            <w:pPr>
              <w:spacing w:line="276" w:lineRule="auto"/>
              <w:cnfStyle w:val="000000000000" w:firstRow="0" w:lastRow="0" w:firstColumn="0" w:lastColumn="0" w:oddVBand="0" w:evenVBand="0" w:oddHBand="0" w:evenHBand="0" w:firstRowFirstColumn="0" w:firstRowLastColumn="0" w:lastRowFirstColumn="0" w:lastRowLastColumn="0"/>
              <w:rPr>
                <w:rStyle w:val="st"/>
                <w:rFonts w:ascii="Calibri Light" w:hAnsi="Calibri Light"/>
                <w:color w:val="767171"/>
                <w:sz w:val="4"/>
              </w:rPr>
            </w:pPr>
          </w:p>
          <w:p w:rsidR="0065745C" w:rsidRDefault="0065745C" w:rsidP="0065745C">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Verdana"/>
                <w:b/>
                <w:i/>
                <w:iCs/>
                <w:color w:val="808080"/>
                <w:spacing w:val="-4"/>
                <w:sz w:val="16"/>
                <w:szCs w:val="16"/>
              </w:rPr>
            </w:pPr>
            <w:r w:rsidRPr="0065745C">
              <w:rPr>
                <w:rFonts w:ascii="Calibri Light" w:eastAsia="Calibri" w:hAnsi="Calibri Light" w:cs="Times New Roman"/>
                <w:color w:val="808080"/>
                <w:sz w:val="18"/>
                <w:szCs w:val="14"/>
              </w:rPr>
              <w:t>Sources: barchart.com, t</w:t>
            </w:r>
            <w:r w:rsidRPr="0065745C">
              <w:rPr>
                <w:rFonts w:ascii="Calibri Light" w:eastAsia="Calibri" w:hAnsi="Calibri Light" w:cs="Times New Roman"/>
                <w:color w:val="767171"/>
                <w:sz w:val="18"/>
                <w:szCs w:val="14"/>
              </w:rPr>
              <w:t>reasury.gov - 3/29/18</w:t>
            </w:r>
            <w:r w:rsidRPr="0065745C">
              <w:rPr>
                <w:rFonts w:ascii="Calibri Light" w:eastAsia="Calibri" w:hAnsi="Calibri Light" w:cs="Times New Roman"/>
                <w:color w:val="767171"/>
                <w:sz w:val="18"/>
                <w:szCs w:val="14"/>
                <w:vertAlign w:val="superscript"/>
              </w:rPr>
              <w:t>21,22,23</w:t>
            </w:r>
            <w:r w:rsidRPr="0065745C">
              <w:rPr>
                <w:rFonts w:ascii="Calibri Light" w:hAnsi="Calibri Light" w:cs="Verdana"/>
                <w:b/>
                <w:i/>
                <w:iCs/>
                <w:color w:val="808080"/>
                <w:spacing w:val="-4"/>
                <w:sz w:val="16"/>
                <w:szCs w:val="16"/>
              </w:rPr>
              <w:t xml:space="preserve"> </w:t>
            </w:r>
          </w:p>
          <w:p w:rsidR="0065745C" w:rsidRDefault="0065745C" w:rsidP="0065745C">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Verdana"/>
                <w:b/>
                <w:i/>
                <w:iCs/>
                <w:color w:val="808080"/>
                <w:spacing w:val="-4"/>
                <w:sz w:val="16"/>
                <w:szCs w:val="16"/>
              </w:rPr>
            </w:pPr>
            <w:r w:rsidRPr="0065745C">
              <w:rPr>
                <w:rFonts w:ascii="Calibri Light" w:hAnsi="Calibri Light" w:cs="Verdana"/>
                <w:b/>
                <w:i/>
                <w:iCs/>
                <w:color w:val="808080"/>
                <w:spacing w:val="-4"/>
                <w:sz w:val="16"/>
                <w:szCs w:val="16"/>
              </w:rPr>
              <w:t>Indices are unmanaged, do not incur fees or expenses, and cannot be invested into directly. These returns do not include dividends. 10-year Treasury yield = projected return on investment, expressed as a percentage, on the U.S. government’s 10-year bond.</w:t>
            </w:r>
          </w:p>
          <w:p w:rsidR="0065745C" w:rsidRPr="0065745C" w:rsidRDefault="0065745C" w:rsidP="0065745C">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4"/>
                <w:szCs w:val="24"/>
              </w:rPr>
            </w:pPr>
            <w:r w:rsidRPr="0065745C">
              <w:rPr>
                <w:rFonts w:ascii="Calibri Light" w:hAnsi="Calibri Light"/>
                <w:sz w:val="24"/>
                <w:szCs w:val="24"/>
              </w:rPr>
              <w:lastRenderedPageBreak/>
              <w:t>Just as the bulls seemed beaten down, they came running right back. After diving nearly 14% in the last three months of 2018, the S&amp;P 500 rebounded more than 13% in the opening quarter of 2019. While consumer spending is still strong, many analysts still see slightly less economic growth this year (between 2%-2.5%). Stock market analytics firm FactSet is now projecting 4% profit growth for S&amp;P 500 firms in 2019; when 2018 ended, the projection was near 10%. Economies in Europe and China appear to be less robust, and that could put a drag on the revenue of S&amp;P 500 companies, 40% of which comes from outside the U.S. An abrupt April Brexit could also be a negative for global equity markets. The financial markets showed great resilience in Q1, forcing some financial firms to reconsider their full-year outlook.</w:t>
            </w:r>
            <w:r w:rsidRPr="0065745C">
              <w:rPr>
                <w:rFonts w:ascii="Calibri Light" w:hAnsi="Calibri Light"/>
                <w:sz w:val="24"/>
                <w:szCs w:val="24"/>
                <w:vertAlign w:val="superscript"/>
              </w:rPr>
              <w:t>1</w:t>
            </w:r>
          </w:p>
          <w:p w:rsidR="00B56685" w:rsidRPr="00B56685" w:rsidRDefault="00B56685" w:rsidP="00EA7983">
            <w:pPr>
              <w:pStyle w:val="QEUTableSources"/>
              <w:cnfStyle w:val="000000000000" w:firstRow="0" w:lastRow="0" w:firstColumn="0" w:lastColumn="0" w:oddVBand="0" w:evenVBand="0" w:oddHBand="0" w:evenHBand="0" w:firstRowFirstColumn="0" w:firstRowLastColumn="0" w:lastRowFirstColumn="0" w:lastRowLastColumn="0"/>
              <w:rPr>
                <w:rFonts w:cs="Verdana"/>
                <w:iCs/>
              </w:rPr>
            </w:pPr>
          </w:p>
          <w:p w:rsidR="00726D19" w:rsidRDefault="00726D19" w:rsidP="00B566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rsidR="00726D19" w:rsidRDefault="00726D19" w:rsidP="00B566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rsidR="00726D19" w:rsidRDefault="00726D19" w:rsidP="00B566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rsidR="00726D19" w:rsidRDefault="00726D19" w:rsidP="00B566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rsidR="00726D19" w:rsidRDefault="00726D19" w:rsidP="00B566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rsidR="00726D19" w:rsidRDefault="00726D19" w:rsidP="00B566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rsidR="00726D19" w:rsidRDefault="00726D19" w:rsidP="00B566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rsidR="00726D19" w:rsidRDefault="00726D19" w:rsidP="00B566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rsidR="00726D19" w:rsidRDefault="00726D19" w:rsidP="00B566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rsidR="00726D19" w:rsidRDefault="00726D19" w:rsidP="00B566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rsidR="00726D19" w:rsidRDefault="00726D19" w:rsidP="00B566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rsidR="00726D19" w:rsidRDefault="00726D19" w:rsidP="00B566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rsidR="00726D19" w:rsidRDefault="00726D19" w:rsidP="00B566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rsidR="00726D19" w:rsidRDefault="00726D19" w:rsidP="00B566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rsidR="00726D19" w:rsidRDefault="00726D19" w:rsidP="00B566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rsidR="00726D19" w:rsidRDefault="00726D19" w:rsidP="00B566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rsidR="00726D19" w:rsidRDefault="00726D19" w:rsidP="00B566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rsidR="00B56685" w:rsidRPr="00B56685" w:rsidRDefault="00B56685" w:rsidP="00B566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56685">
              <w:rPr>
                <w:rFonts w:asciiTheme="majorHAnsi" w:hAnsiTheme="majorHAnsi"/>
                <w:sz w:val="20"/>
                <w:szCs w:val="20"/>
              </w:rPr>
              <w:t xml:space="preserve">   </w:t>
            </w:r>
          </w:p>
          <w:p w:rsidR="00971FC0" w:rsidRPr="00971FC0" w:rsidRDefault="00971FC0" w:rsidP="003A5473">
            <w:pPr>
              <w:pStyle w:val="FTSectionTitlenobold"/>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4A689F" w:rsidRPr="0005003B" w:rsidRDefault="004A689F" w:rsidP="004A689F">
      <w:pPr>
        <w:pStyle w:val="FTSectionTitlenobold"/>
        <w:spacing w:after="0"/>
        <w:rPr>
          <w:rFonts w:ascii="Calibri Light" w:hAnsi="Calibri Light" w:cs="Calibri Light"/>
          <w:b/>
          <w:bCs/>
          <w:sz w:val="20"/>
          <w:szCs w:val="20"/>
        </w:rPr>
      </w:pPr>
      <w:r w:rsidRPr="0005003B">
        <w:rPr>
          <w:rFonts w:ascii="Calibri Light" w:hAnsi="Calibri Light" w:cs="Calibri Light"/>
          <w:b/>
          <w:bCs/>
          <w:sz w:val="20"/>
          <w:szCs w:val="20"/>
        </w:rPr>
        <w:lastRenderedPageBreak/>
        <w:t xml:space="preserve">This material does not constitute a recommendation to engage in or refrain from a </w:t>
      </w:r>
      <w:proofErr w:type="gramStart"/>
      <w:r w:rsidRPr="0005003B">
        <w:rPr>
          <w:rFonts w:ascii="Calibri Light" w:hAnsi="Calibri Light" w:cs="Calibri Light"/>
          <w:b/>
          <w:bCs/>
          <w:sz w:val="20"/>
          <w:szCs w:val="20"/>
        </w:rPr>
        <w:t>particular course</w:t>
      </w:r>
      <w:proofErr w:type="gramEnd"/>
      <w:r w:rsidRPr="0005003B">
        <w:rPr>
          <w:rFonts w:ascii="Calibri Light" w:hAnsi="Calibri Light" w:cs="Calibri Light"/>
          <w:b/>
          <w:bCs/>
          <w:sz w:val="20"/>
          <w:szCs w:val="20"/>
        </w:rPr>
        <w:t xml:space="preserve"> of action. The information within has not been tailored for any individual. This commentary is brought to </w:t>
      </w:r>
      <w:proofErr w:type="gramStart"/>
      <w:r w:rsidRPr="0005003B">
        <w:rPr>
          <w:rFonts w:ascii="Calibri Light" w:hAnsi="Calibri Light" w:cs="Calibri Light"/>
          <w:b/>
          <w:bCs/>
          <w:sz w:val="20"/>
          <w:szCs w:val="20"/>
        </w:rPr>
        <w:t>you</w:t>
      </w:r>
      <w:proofErr w:type="gramEnd"/>
      <w:r w:rsidRPr="0005003B">
        <w:rPr>
          <w:rFonts w:ascii="Calibri Light" w:hAnsi="Calibri Light" w:cs="Calibri Light"/>
          <w:b/>
          <w:bCs/>
          <w:sz w:val="20"/>
          <w:szCs w:val="20"/>
        </w:rPr>
        <w:t xml:space="preserve"> courtesy of MML Investors Services, LLC (Member SIPC) and a subsidiary of Massachusetts Mutual Life Insurance Company (MassMutual), Springfield, MA 01111-0001. Past performance is not indicative of future performance.</w:t>
      </w:r>
    </w:p>
    <w:p w:rsidR="004A689F" w:rsidRPr="00726D19" w:rsidRDefault="004A689F" w:rsidP="004A689F">
      <w:pPr>
        <w:pStyle w:val="FTSectionTitlenobold"/>
        <w:spacing w:after="0"/>
        <w:rPr>
          <w:rFonts w:ascii="Calibri Light" w:eastAsia="Calibri" w:hAnsi="Calibri Light" w:cs="Times New Roman"/>
          <w:color w:val="A6A6A6"/>
          <w:sz w:val="16"/>
          <w:szCs w:val="16"/>
        </w:rPr>
      </w:pPr>
    </w:p>
    <w:p w:rsidR="00611891" w:rsidRPr="00611891" w:rsidRDefault="00611891" w:rsidP="00611891">
      <w:pPr>
        <w:widowControl w:val="0"/>
        <w:tabs>
          <w:tab w:val="clear" w:pos="1872"/>
        </w:tabs>
        <w:autoSpaceDE w:val="0"/>
        <w:autoSpaceDN w:val="0"/>
        <w:adjustRightInd w:val="0"/>
        <w:spacing w:after="160" w:line="276" w:lineRule="auto"/>
        <w:jc w:val="both"/>
        <w:rPr>
          <w:rFonts w:ascii="Calibri Light" w:eastAsia="Calibri" w:hAnsi="Calibri Light" w:cs="Arial"/>
          <w:color w:val="auto"/>
          <w:sz w:val="20"/>
          <w:szCs w:val="20"/>
        </w:rPr>
      </w:pPr>
      <w:r w:rsidRPr="00611891">
        <w:rPr>
          <w:rFonts w:ascii="Calibri Light" w:eastAsia="Calibri" w:hAnsi="Calibri Light" w:cs="Arial"/>
          <w:color w:val="auto"/>
          <w:sz w:val="20"/>
          <w:szCs w:val="20"/>
        </w:rPr>
        <w:t xml:space="preserve">This material was prepared by </w:t>
      </w:r>
      <w:proofErr w:type="spellStart"/>
      <w:r w:rsidRPr="00611891">
        <w:rPr>
          <w:rFonts w:ascii="Calibri Light" w:eastAsia="Calibri" w:hAnsi="Calibri Light" w:cs="Arial"/>
          <w:color w:val="auto"/>
          <w:sz w:val="20"/>
          <w:szCs w:val="20"/>
        </w:rPr>
        <w:t>MarketingPro</w:t>
      </w:r>
      <w:proofErr w:type="spellEnd"/>
      <w:r w:rsidRPr="00611891">
        <w:rPr>
          <w:rFonts w:ascii="Calibri Light" w:eastAsia="Calibri" w:hAnsi="Calibri Light" w:cs="Arial"/>
          <w:color w:val="auto"/>
          <w:sz w:val="20"/>
          <w:szCs w:val="20"/>
        </w:rPr>
        <w:t xml:space="preserve">, Inc., and does not necessarily represent the views of the presenting party, nor their affiliates. The information herein has been derived from sources believed to be accurate. Please note - investing involves risk, and past performance is no guarantee of future results. Investments will fluctuate and when redeemed may be worth </w:t>
      </w:r>
      <w:proofErr w:type="gramStart"/>
      <w:r w:rsidRPr="00611891">
        <w:rPr>
          <w:rFonts w:ascii="Calibri Light" w:eastAsia="Calibri" w:hAnsi="Calibri Light" w:cs="Arial"/>
          <w:color w:val="auto"/>
          <w:sz w:val="20"/>
          <w:szCs w:val="20"/>
        </w:rPr>
        <w:t>more or less than</w:t>
      </w:r>
      <w:proofErr w:type="gramEnd"/>
      <w:r w:rsidRPr="00611891">
        <w:rPr>
          <w:rFonts w:ascii="Calibri Light" w:eastAsia="Calibri" w:hAnsi="Calibri Light" w:cs="Arial"/>
          <w:color w:val="auto"/>
          <w:sz w:val="20"/>
          <w:szCs w:val="20"/>
        </w:rPr>
        <w:t xml:space="preserve"> when originally invested. This information should not be construed as investment, tax or legal advice and may not be relied on </w:t>
      </w:r>
      <w:proofErr w:type="gramStart"/>
      <w:r w:rsidRPr="00611891">
        <w:rPr>
          <w:rFonts w:ascii="Calibri Light" w:eastAsia="Calibri" w:hAnsi="Calibri Light" w:cs="Arial"/>
          <w:color w:val="auto"/>
          <w:sz w:val="20"/>
          <w:szCs w:val="20"/>
        </w:rPr>
        <w:t>for the purpose of</w:t>
      </w:r>
      <w:proofErr w:type="gramEnd"/>
      <w:r w:rsidRPr="00611891">
        <w:rPr>
          <w:rFonts w:ascii="Calibri Light" w:eastAsia="Calibri" w:hAnsi="Calibri Light" w:cs="Arial"/>
          <w:color w:val="auto"/>
          <w:sz w:val="20"/>
          <w:szCs w:val="20"/>
        </w:rPr>
        <w:t xml:space="preserve"> avoiding any Federal tax penalty. This is neither a solicitation nor recommendation to purchase or sell any investment or insurance product or </w:t>
      </w:r>
      <w:proofErr w:type="gramStart"/>
      <w:r w:rsidRPr="00611891">
        <w:rPr>
          <w:rFonts w:ascii="Calibri Light" w:eastAsia="Calibri" w:hAnsi="Calibri Light" w:cs="Arial"/>
          <w:color w:val="auto"/>
          <w:sz w:val="20"/>
          <w:szCs w:val="20"/>
        </w:rPr>
        <w:t>service, and</w:t>
      </w:r>
      <w:proofErr w:type="gramEnd"/>
      <w:r w:rsidRPr="00611891">
        <w:rPr>
          <w:rFonts w:ascii="Calibri Light" w:eastAsia="Calibri" w:hAnsi="Calibri Light" w:cs="Arial"/>
          <w:color w:val="auto"/>
          <w:sz w:val="20"/>
          <w:szCs w:val="20"/>
        </w:rPr>
        <w:t xml:space="preserve"> should not be relied upon as such. All market indices discussed are unmanaged and are not illustrative of any </w:t>
      </w:r>
      <w:proofErr w:type="gramStart"/>
      <w:r w:rsidRPr="00611891">
        <w:rPr>
          <w:rFonts w:ascii="Calibri Light" w:eastAsia="Calibri" w:hAnsi="Calibri Light" w:cs="Arial"/>
          <w:color w:val="auto"/>
          <w:sz w:val="20"/>
          <w:szCs w:val="20"/>
        </w:rPr>
        <w:t>particular investment</w:t>
      </w:r>
      <w:proofErr w:type="gramEnd"/>
      <w:r w:rsidRPr="00611891">
        <w:rPr>
          <w:rFonts w:ascii="Calibri Light" w:eastAsia="Calibri" w:hAnsi="Calibri Light" w:cs="Arial"/>
          <w:color w:val="auto"/>
          <w:sz w:val="20"/>
          <w:szCs w:val="20"/>
        </w:rPr>
        <w:t>. Indices do not incur management fees, costs, or expenses. Investors cannot invest directly in indices. All economic and performance data is historical and not indicative of future results. The Dow Jones Industrial Average is a price-weighted index of 30 actively traded blue-chip stocks. The NASDAQ Composite Index is a market-weighted index of all over-the-counter common stocks traded on the National Association of Securities Dealers Automated Quotation System. The Standard &amp; Poor's 500 (S&amp;P 500) is a market-cap weighted index composed of the common stocks of 500 leading companies in leading industries of the U.S. economy. NYSE Group, Inc. (</w:t>
      </w:r>
      <w:proofErr w:type="gramStart"/>
      <w:r w:rsidRPr="00611891">
        <w:rPr>
          <w:rFonts w:ascii="Calibri Light" w:eastAsia="Calibri" w:hAnsi="Calibri Light" w:cs="Arial"/>
          <w:color w:val="auto"/>
          <w:sz w:val="20"/>
          <w:szCs w:val="20"/>
        </w:rPr>
        <w:t>NYSE:NYX</w:t>
      </w:r>
      <w:proofErr w:type="gramEnd"/>
      <w:r w:rsidRPr="00611891">
        <w:rPr>
          <w:rFonts w:ascii="Calibri Light" w:eastAsia="Calibri" w:hAnsi="Calibri Light" w:cs="Arial"/>
          <w:color w:val="auto"/>
          <w:sz w:val="20"/>
          <w:szCs w:val="20"/>
        </w:rPr>
        <w:t xml:space="preserve">) operates two securities exchanges: the New York Stock Exchange (the “NYSE”) and NYSE </w:t>
      </w:r>
      <w:proofErr w:type="spellStart"/>
      <w:r w:rsidRPr="00611891">
        <w:rPr>
          <w:rFonts w:ascii="Calibri Light" w:eastAsia="Calibri" w:hAnsi="Calibri Light" w:cs="Arial"/>
          <w:color w:val="auto"/>
          <w:sz w:val="20"/>
          <w:szCs w:val="20"/>
        </w:rPr>
        <w:t>Arca</w:t>
      </w:r>
      <w:proofErr w:type="spellEnd"/>
      <w:r w:rsidRPr="00611891">
        <w:rPr>
          <w:rFonts w:ascii="Calibri Light" w:eastAsia="Calibri" w:hAnsi="Calibri Light" w:cs="Arial"/>
          <w:color w:val="auto"/>
          <w:sz w:val="20"/>
          <w:szCs w:val="20"/>
        </w:rPr>
        <w:t xml:space="preserve"> (formerly known as the </w:t>
      </w:r>
      <w:r w:rsidRPr="00611891">
        <w:rPr>
          <w:rFonts w:ascii="Calibri Light" w:eastAsia="Calibri" w:hAnsi="Calibri Light" w:cs="Arial"/>
          <w:color w:val="auto"/>
          <w:sz w:val="20"/>
          <w:szCs w:val="20"/>
        </w:rPr>
        <w:lastRenderedPageBreak/>
        <w:t xml:space="preserve">Archipelago Exchange, or </w:t>
      </w:r>
      <w:proofErr w:type="spellStart"/>
      <w:r w:rsidRPr="00611891">
        <w:rPr>
          <w:rFonts w:ascii="Calibri Light" w:eastAsia="Calibri" w:hAnsi="Calibri Light" w:cs="Arial"/>
          <w:color w:val="auto"/>
          <w:sz w:val="20"/>
          <w:szCs w:val="20"/>
        </w:rPr>
        <w:t>ArcaEx</w:t>
      </w:r>
      <w:proofErr w:type="spellEnd"/>
      <w:r w:rsidRPr="00611891">
        <w:rPr>
          <w:rFonts w:ascii="Calibri Light" w:eastAsia="Calibri" w:hAnsi="Calibri Light" w:cs="Arial"/>
          <w:color w:val="auto"/>
          <w:sz w:val="20"/>
          <w:szCs w:val="20"/>
        </w:rPr>
        <w:t xml:space="preserve">®, and the Pacific Exchange). NYSE Group is a leading provider of securities listing, trading and market data products and services. The New York Mercantile Exchange, Inc. (NYMEX) is the world's largest physical commodity futures exchange and the preeminent trading forum for energy and precious metals, with trading conducted through two divisions – the NYMEX Division, home to the energy, platinum, and palladium markets, and the COMEX Division, on which all other metals trade. The SSE Composite Index is an index of all stocks (A shares and B shares) that are traded at the Shanghai Stock Exchange. The FTSE MIB is the benchmark stock market index for the </w:t>
      </w:r>
      <w:proofErr w:type="spellStart"/>
      <w:r w:rsidRPr="00611891">
        <w:rPr>
          <w:rFonts w:ascii="Calibri Light" w:eastAsia="Calibri" w:hAnsi="Calibri Light" w:cs="Arial"/>
          <w:color w:val="auto"/>
          <w:sz w:val="20"/>
          <w:szCs w:val="20"/>
        </w:rPr>
        <w:t>Borsa</w:t>
      </w:r>
      <w:proofErr w:type="spellEnd"/>
      <w:r w:rsidRPr="00611891">
        <w:rPr>
          <w:rFonts w:ascii="Calibri Light" w:eastAsia="Calibri" w:hAnsi="Calibri Light" w:cs="Arial"/>
          <w:color w:val="auto"/>
          <w:sz w:val="20"/>
          <w:szCs w:val="20"/>
        </w:rPr>
        <w:t xml:space="preserve"> </w:t>
      </w:r>
      <w:proofErr w:type="spellStart"/>
      <w:r w:rsidRPr="00611891">
        <w:rPr>
          <w:rFonts w:ascii="Calibri Light" w:eastAsia="Calibri" w:hAnsi="Calibri Light" w:cs="Arial"/>
          <w:color w:val="auto"/>
          <w:sz w:val="20"/>
          <w:szCs w:val="20"/>
        </w:rPr>
        <w:t>Italiana</w:t>
      </w:r>
      <w:proofErr w:type="spellEnd"/>
      <w:r w:rsidRPr="00611891">
        <w:rPr>
          <w:rFonts w:ascii="Calibri Light" w:eastAsia="Calibri" w:hAnsi="Calibri Light" w:cs="Arial"/>
          <w:color w:val="auto"/>
          <w:sz w:val="20"/>
          <w:szCs w:val="20"/>
        </w:rPr>
        <w:t xml:space="preserve">, the Italian national stock exchange. The Hang Seng Index is a free float-adjusted market capitalization-weighted stock market index that is the main indicator of the overall market performance in Hong Kong. The CAC-40 Index is a narrow-based, modified capitalization-weighted index of 40 companies listed on the Paris Bourse. The S&amp;P/TSX Composite Index is an index of the stock (equity) prices of the largest companies on the Toronto Stock Exchange (TSX) as measured by market capitalization. The EURO STOXX 50 is a stock index of Eurozone stocks designed by STOXX, an index provider owned by Deutsche </w:t>
      </w:r>
      <w:proofErr w:type="spellStart"/>
      <w:r w:rsidRPr="00611891">
        <w:rPr>
          <w:rFonts w:ascii="Calibri Light" w:eastAsia="Calibri" w:hAnsi="Calibri Light" w:cs="Arial"/>
          <w:color w:val="auto"/>
          <w:sz w:val="20"/>
          <w:szCs w:val="20"/>
        </w:rPr>
        <w:t>Börse</w:t>
      </w:r>
      <w:proofErr w:type="spellEnd"/>
      <w:r w:rsidRPr="00611891">
        <w:rPr>
          <w:rFonts w:ascii="Calibri Light" w:eastAsia="Calibri" w:hAnsi="Calibri Light" w:cs="Arial"/>
          <w:color w:val="auto"/>
          <w:sz w:val="20"/>
          <w:szCs w:val="20"/>
        </w:rPr>
        <w:t xml:space="preserve"> Group. The DAX 30 is a </w:t>
      </w:r>
      <w:proofErr w:type="gramStart"/>
      <w:r w:rsidRPr="00611891">
        <w:rPr>
          <w:rFonts w:ascii="Calibri Light" w:eastAsia="Calibri" w:hAnsi="Calibri Light" w:cs="Arial"/>
          <w:color w:val="auto"/>
          <w:sz w:val="20"/>
          <w:szCs w:val="20"/>
        </w:rPr>
        <w:t>Blue Chip</w:t>
      </w:r>
      <w:proofErr w:type="gramEnd"/>
      <w:r w:rsidRPr="00611891">
        <w:rPr>
          <w:rFonts w:ascii="Calibri Light" w:eastAsia="Calibri" w:hAnsi="Calibri Light" w:cs="Arial"/>
          <w:color w:val="auto"/>
          <w:sz w:val="20"/>
          <w:szCs w:val="20"/>
        </w:rPr>
        <w:t xml:space="preserve"> stock market index consisting of the 30 major German companies trading on the Frankfurt Stock Exchange. The </w:t>
      </w:r>
      <w:proofErr w:type="spellStart"/>
      <w:r w:rsidRPr="00611891">
        <w:rPr>
          <w:rFonts w:ascii="Calibri Light" w:eastAsia="Calibri" w:hAnsi="Calibri Light" w:cs="Arial"/>
          <w:color w:val="auto"/>
          <w:sz w:val="20"/>
          <w:szCs w:val="20"/>
        </w:rPr>
        <w:t>Bovespa</w:t>
      </w:r>
      <w:proofErr w:type="spellEnd"/>
      <w:r w:rsidRPr="00611891">
        <w:rPr>
          <w:rFonts w:ascii="Calibri Light" w:eastAsia="Calibri" w:hAnsi="Calibri Light" w:cs="Arial"/>
          <w:color w:val="auto"/>
          <w:sz w:val="20"/>
          <w:szCs w:val="20"/>
        </w:rPr>
        <w:t xml:space="preserve"> Index, best known as </w:t>
      </w:r>
      <w:proofErr w:type="spellStart"/>
      <w:r w:rsidRPr="00611891">
        <w:rPr>
          <w:rFonts w:ascii="Calibri Light" w:eastAsia="Calibri" w:hAnsi="Calibri Light" w:cs="Arial"/>
          <w:color w:val="auto"/>
          <w:sz w:val="20"/>
          <w:szCs w:val="20"/>
        </w:rPr>
        <w:t>Ibovespa</w:t>
      </w:r>
      <w:proofErr w:type="spellEnd"/>
      <w:r w:rsidRPr="00611891">
        <w:rPr>
          <w:rFonts w:ascii="Calibri Light" w:eastAsia="Calibri" w:hAnsi="Calibri Light" w:cs="Arial"/>
          <w:color w:val="auto"/>
          <w:sz w:val="20"/>
          <w:szCs w:val="20"/>
        </w:rPr>
        <w:t>, is the benchmark index of about 60 stocks that are traded on the B3 (</w:t>
      </w:r>
      <w:proofErr w:type="spellStart"/>
      <w:r w:rsidRPr="00611891">
        <w:rPr>
          <w:rFonts w:ascii="Calibri Light" w:eastAsia="Calibri" w:hAnsi="Calibri Light" w:cs="Arial"/>
          <w:color w:val="auto"/>
          <w:sz w:val="20"/>
          <w:szCs w:val="20"/>
        </w:rPr>
        <w:t>Bovespa</w:t>
      </w:r>
      <w:proofErr w:type="spellEnd"/>
      <w:r w:rsidRPr="00611891">
        <w:rPr>
          <w:rFonts w:ascii="Calibri Light" w:eastAsia="Calibri" w:hAnsi="Calibri Light" w:cs="Arial"/>
          <w:color w:val="auto"/>
          <w:sz w:val="20"/>
          <w:szCs w:val="20"/>
        </w:rPr>
        <w:t xml:space="preserve">: </w:t>
      </w:r>
      <w:proofErr w:type="spellStart"/>
      <w:r w:rsidRPr="00611891">
        <w:rPr>
          <w:rFonts w:ascii="Calibri Light" w:eastAsia="Calibri" w:hAnsi="Calibri Light" w:cs="Arial"/>
          <w:color w:val="auto"/>
          <w:sz w:val="20"/>
          <w:szCs w:val="20"/>
        </w:rPr>
        <w:t>BOlsa</w:t>
      </w:r>
      <w:proofErr w:type="spellEnd"/>
      <w:r w:rsidRPr="00611891">
        <w:rPr>
          <w:rFonts w:ascii="Calibri Light" w:eastAsia="Calibri" w:hAnsi="Calibri Light" w:cs="Arial"/>
          <w:color w:val="auto"/>
          <w:sz w:val="20"/>
          <w:szCs w:val="20"/>
        </w:rPr>
        <w:t xml:space="preserve"> de </w:t>
      </w:r>
      <w:proofErr w:type="spellStart"/>
      <w:r w:rsidRPr="00611891">
        <w:rPr>
          <w:rFonts w:ascii="Calibri Light" w:eastAsia="Calibri" w:hAnsi="Calibri Light" w:cs="Arial"/>
          <w:color w:val="auto"/>
          <w:sz w:val="20"/>
          <w:szCs w:val="20"/>
        </w:rPr>
        <w:t>Valores</w:t>
      </w:r>
      <w:proofErr w:type="spellEnd"/>
      <w:r w:rsidRPr="00611891">
        <w:rPr>
          <w:rFonts w:ascii="Calibri Light" w:eastAsia="Calibri" w:hAnsi="Calibri Light" w:cs="Arial"/>
          <w:color w:val="auto"/>
          <w:sz w:val="20"/>
          <w:szCs w:val="20"/>
        </w:rPr>
        <w:t xml:space="preserve"> do Estado de São </w:t>
      </w:r>
      <w:proofErr w:type="spellStart"/>
      <w:r w:rsidRPr="00611891">
        <w:rPr>
          <w:rFonts w:ascii="Calibri Light" w:eastAsia="Calibri" w:hAnsi="Calibri Light" w:cs="Arial"/>
          <w:color w:val="auto"/>
          <w:sz w:val="20"/>
          <w:szCs w:val="20"/>
        </w:rPr>
        <w:t>PAulo</w:t>
      </w:r>
      <w:proofErr w:type="spellEnd"/>
      <w:r w:rsidRPr="00611891">
        <w:rPr>
          <w:rFonts w:ascii="Calibri Light" w:eastAsia="Calibri" w:hAnsi="Calibri Light" w:cs="Arial"/>
          <w:color w:val="auto"/>
          <w:sz w:val="20"/>
          <w:szCs w:val="20"/>
        </w:rPr>
        <w:t>). The FTSE 100 Index is a share index of the 100 most highly capitalized companies listed on the London Stock Exchange. BSE Sensex or Bombay Stock Exchange Sensitivity Index is a value-weighted index composed of 30 stocks that started January 1, 1986. Nikkei 225 (Ticker: ^N225) is a stock market index for the Tokyo Stock Exchange (TSE). The Nikkei average is the most watched index of Asian stocks. The Korea Composite Stock Price Index or KOSPI is the major stock market index of South Korea, representing all common stocks traded on the Korea Exchange. The MSCI Emerging Markets Index is a float-adjusted market capitalization index consisting of indices in more than 25 emerging economies. The MSCI World Index is a free-float weighted equity index that includes developed world markets and does not include emerging markets. The CBOE Volatility Index</w:t>
      </w:r>
      <w:r w:rsidRPr="00611891">
        <w:rPr>
          <w:rFonts w:ascii="Calibri Light" w:eastAsia="Calibri" w:hAnsi="Calibri Light" w:cs="Arial"/>
          <w:color w:val="auto"/>
          <w:sz w:val="20"/>
          <w:szCs w:val="20"/>
          <w:vertAlign w:val="superscript"/>
        </w:rPr>
        <w:t>®</w:t>
      </w:r>
      <w:r w:rsidRPr="00611891">
        <w:rPr>
          <w:rFonts w:ascii="Calibri Light" w:eastAsia="Calibri" w:hAnsi="Calibri Light" w:cs="Arial"/>
          <w:color w:val="auto"/>
          <w:sz w:val="20"/>
          <w:szCs w:val="20"/>
        </w:rPr>
        <w:t xml:space="preserve"> is a key measure of market expectations of near-term volatility conveyed by S&amp;P 500 stock index option prices. The S&amp;P SmallCap 600® measures the small-cap segment of the U.S. equity market. Additional risks are associated with international investing, such as currency fluctuations, political and economic instability and differences in accounting standards. This material represents an assessment of the market environment at a specific point in time and is not intended to be a forecast of future events, or a guarantee of future results. </w:t>
      </w:r>
      <w:proofErr w:type="spellStart"/>
      <w:r w:rsidRPr="00611891">
        <w:rPr>
          <w:rFonts w:ascii="Calibri Light" w:eastAsia="Calibri" w:hAnsi="Calibri Light" w:cs="Arial"/>
          <w:color w:val="auto"/>
          <w:sz w:val="20"/>
          <w:szCs w:val="20"/>
        </w:rPr>
        <w:t>MarketingPro</w:t>
      </w:r>
      <w:proofErr w:type="spellEnd"/>
      <w:r w:rsidRPr="00611891">
        <w:rPr>
          <w:rFonts w:ascii="Calibri Light" w:eastAsia="Calibri" w:hAnsi="Calibri Light" w:cs="Arial"/>
          <w:color w:val="auto"/>
          <w:sz w:val="20"/>
          <w:szCs w:val="20"/>
        </w:rPr>
        <w:t>, Inc. is not affiliated with any person or firm that may be providing this information to you. The publisher is not engaged in rendering legal, accounting or other professional services. If assistance is needed, the reader is advised to engage the services of a competent professional</w:t>
      </w:r>
      <w:r w:rsidRPr="00611891">
        <w:rPr>
          <w:rFonts w:ascii="Calibri Light" w:eastAsia="Calibri" w:hAnsi="Calibri Light" w:cs="Times New Roman"/>
          <w:color w:val="auto"/>
          <w:sz w:val="20"/>
          <w:szCs w:val="20"/>
        </w:rPr>
        <w:t xml:space="preserve">. </w:t>
      </w:r>
    </w:p>
    <w:p w:rsidR="00BC72A0" w:rsidRPr="00BC72A0" w:rsidRDefault="00BC72A0" w:rsidP="00BC72A0">
      <w:pPr>
        <w:widowControl w:val="0"/>
        <w:tabs>
          <w:tab w:val="clear" w:pos="1872"/>
        </w:tabs>
        <w:autoSpaceDE w:val="0"/>
        <w:autoSpaceDN w:val="0"/>
        <w:adjustRightInd w:val="0"/>
        <w:spacing w:after="160" w:line="276" w:lineRule="auto"/>
        <w:jc w:val="both"/>
        <w:rPr>
          <w:rFonts w:ascii="Calibri Light" w:eastAsia="Calibri" w:hAnsi="Calibri Light" w:cs="Calibri Light"/>
          <w:color w:val="auto"/>
          <w:sz w:val="20"/>
          <w:szCs w:val="20"/>
        </w:rPr>
      </w:pPr>
      <w:r w:rsidRPr="00BC72A0">
        <w:rPr>
          <w:rFonts w:ascii="Calibri Light" w:hAnsi="Calibri Light" w:cs="Calibri Light"/>
          <w:bCs/>
          <w:sz w:val="20"/>
          <w:szCs w:val="20"/>
        </w:rPr>
        <w:t xml:space="preserve">An index is </w:t>
      </w:r>
      <w:proofErr w:type="gramStart"/>
      <w:r w:rsidRPr="00BC72A0">
        <w:rPr>
          <w:rFonts w:ascii="Calibri Light" w:hAnsi="Calibri Light" w:cs="Calibri Light"/>
          <w:bCs/>
          <w:sz w:val="20"/>
          <w:szCs w:val="20"/>
        </w:rPr>
        <w:t>unmanaged</w:t>
      </w:r>
      <w:proofErr w:type="gramEnd"/>
      <w:r w:rsidRPr="00BC72A0">
        <w:rPr>
          <w:rFonts w:ascii="Calibri Light" w:hAnsi="Calibri Light" w:cs="Calibri Light"/>
          <w:bCs/>
          <w:sz w:val="20"/>
          <w:szCs w:val="20"/>
        </w:rPr>
        <w:t xml:space="preserve"> and one cannot invest directly in an index. Material discussed is meant for informational purposes only and it is not to be construed as specific tax, legal, or investment advice. Although the information has been gathered from sources believed to be reliable, it is not guaranteed. Note that individual situations can vary; therefore, the information should be relied upon when coordinated with individual professional advice. Clients must rely upon his or her own professional advisor before making decisions with respect to these matters. MML Investors Services, LLC, or its affiliated companies are not affiliated with </w:t>
      </w:r>
      <w:proofErr w:type="spellStart"/>
      <w:r w:rsidRPr="00BC72A0">
        <w:rPr>
          <w:rFonts w:ascii="Calibri Light" w:hAnsi="Calibri Light" w:cs="Calibri Light"/>
          <w:bCs/>
          <w:sz w:val="20"/>
          <w:szCs w:val="20"/>
        </w:rPr>
        <w:t>MarketingPro</w:t>
      </w:r>
      <w:proofErr w:type="spellEnd"/>
      <w:r w:rsidRPr="00BC72A0">
        <w:rPr>
          <w:rFonts w:ascii="Calibri Light" w:hAnsi="Calibri Light" w:cs="Calibri Light"/>
          <w:bCs/>
          <w:sz w:val="20"/>
          <w:szCs w:val="20"/>
        </w:rPr>
        <w:t>, Inc.</w:t>
      </w:r>
    </w:p>
    <w:p w:rsidR="00EF7EB5" w:rsidRDefault="00BC72A0" w:rsidP="00EF7EB5">
      <w:pPr>
        <w:spacing w:before="80" w:line="190" w:lineRule="atLeast"/>
        <w:rPr>
          <w:rFonts w:ascii="Calibri Light" w:hAnsi="Calibri Light" w:cs="Calibri Light"/>
          <w:sz w:val="20"/>
          <w:szCs w:val="20"/>
        </w:rPr>
      </w:pPr>
      <w:r w:rsidRPr="00BC72A0">
        <w:rPr>
          <w:rFonts w:ascii="Calibri Light" w:hAnsi="Calibri Light" w:cs="Calibri Light"/>
          <w:sz w:val="20"/>
          <w:szCs w:val="20"/>
        </w:rPr>
        <w:t>Reproduction in whole or in part prohibited, except by permission. All rights reserved.</w:t>
      </w:r>
    </w:p>
    <w:p w:rsidR="00726D19" w:rsidRDefault="00585F3D" w:rsidP="00726D19">
      <w:pPr>
        <w:tabs>
          <w:tab w:val="clear" w:pos="1872"/>
        </w:tabs>
        <w:spacing w:after="160" w:line="276" w:lineRule="auto"/>
        <w:rPr>
          <w:rFonts w:ascii="Calibri Light" w:eastAsia="Calibri" w:hAnsi="Calibri Light" w:cs="Arial"/>
          <w:color w:val="auto"/>
          <w:sz w:val="16"/>
          <w:szCs w:val="16"/>
        </w:rPr>
      </w:pPr>
      <w:r w:rsidRPr="00585F3D">
        <w:rPr>
          <w:rFonts w:ascii="Calibri Light" w:eastAsia="Calibri" w:hAnsi="Calibri Light" w:cs="Calibri Light"/>
          <w:color w:val="auto"/>
          <w:sz w:val="20"/>
          <w:szCs w:val="20"/>
        </w:rPr>
        <w:t>CRN202104-246300</w:t>
      </w:r>
    </w:p>
    <w:p w:rsidR="00726D19" w:rsidRDefault="00726D19" w:rsidP="00726D19">
      <w:pPr>
        <w:tabs>
          <w:tab w:val="clear" w:pos="1872"/>
        </w:tabs>
        <w:spacing w:after="160" w:line="276" w:lineRule="auto"/>
        <w:rPr>
          <w:rFonts w:ascii="Calibri Light" w:eastAsia="Calibri" w:hAnsi="Calibri Light" w:cs="Arial"/>
          <w:color w:val="auto"/>
          <w:sz w:val="16"/>
          <w:szCs w:val="16"/>
        </w:rPr>
      </w:pPr>
    </w:p>
    <w:p w:rsidR="00726D19" w:rsidRDefault="00726D19" w:rsidP="00726D19">
      <w:pPr>
        <w:tabs>
          <w:tab w:val="clear" w:pos="1872"/>
        </w:tabs>
        <w:spacing w:after="160" w:line="276" w:lineRule="auto"/>
        <w:rPr>
          <w:rFonts w:ascii="Calibri Light" w:eastAsia="Calibri" w:hAnsi="Calibri Light" w:cs="Arial"/>
          <w:color w:val="auto"/>
          <w:sz w:val="16"/>
          <w:szCs w:val="16"/>
        </w:rPr>
      </w:pPr>
    </w:p>
    <w:p w:rsidR="00726D19" w:rsidRDefault="00726D19" w:rsidP="00726D19">
      <w:pPr>
        <w:tabs>
          <w:tab w:val="clear" w:pos="1872"/>
        </w:tabs>
        <w:spacing w:after="160" w:line="276" w:lineRule="auto"/>
        <w:rPr>
          <w:rFonts w:ascii="Calibri Light" w:eastAsia="Calibri" w:hAnsi="Calibri Light" w:cs="Arial"/>
          <w:color w:val="auto"/>
          <w:sz w:val="16"/>
          <w:szCs w:val="16"/>
        </w:rPr>
      </w:pPr>
    </w:p>
    <w:p w:rsidR="00726D19" w:rsidRDefault="00726D19" w:rsidP="00726D19">
      <w:pPr>
        <w:tabs>
          <w:tab w:val="clear" w:pos="1872"/>
        </w:tabs>
        <w:spacing w:after="160" w:line="276" w:lineRule="auto"/>
        <w:rPr>
          <w:rFonts w:ascii="Calibri Light" w:eastAsia="Calibri" w:hAnsi="Calibri Light" w:cs="Arial"/>
          <w:color w:val="auto"/>
          <w:sz w:val="16"/>
          <w:szCs w:val="16"/>
        </w:rPr>
      </w:pPr>
    </w:p>
    <w:p w:rsidR="00726D19" w:rsidRDefault="00726D19" w:rsidP="00726D19">
      <w:pPr>
        <w:tabs>
          <w:tab w:val="clear" w:pos="1872"/>
        </w:tabs>
        <w:spacing w:after="160" w:line="276" w:lineRule="auto"/>
        <w:rPr>
          <w:rFonts w:ascii="Calibri Light" w:eastAsia="Calibri" w:hAnsi="Calibri Light" w:cs="Arial"/>
          <w:color w:val="auto"/>
          <w:sz w:val="16"/>
          <w:szCs w:val="16"/>
        </w:rPr>
      </w:pPr>
    </w:p>
    <w:p w:rsidR="00726D19" w:rsidRDefault="00726D19" w:rsidP="00726D19">
      <w:pPr>
        <w:tabs>
          <w:tab w:val="clear" w:pos="1872"/>
        </w:tabs>
        <w:spacing w:after="160" w:line="276" w:lineRule="auto"/>
        <w:rPr>
          <w:rFonts w:ascii="Calibri Light" w:eastAsia="Calibri" w:hAnsi="Calibri Light" w:cs="Arial"/>
          <w:color w:val="auto"/>
          <w:sz w:val="16"/>
          <w:szCs w:val="16"/>
        </w:rPr>
      </w:pPr>
    </w:p>
    <w:p w:rsidR="00726D19" w:rsidRDefault="00726D19" w:rsidP="00726D19">
      <w:pPr>
        <w:tabs>
          <w:tab w:val="clear" w:pos="1872"/>
        </w:tabs>
        <w:spacing w:after="160" w:line="276" w:lineRule="auto"/>
        <w:rPr>
          <w:rFonts w:ascii="Calibri Light" w:eastAsia="Calibri" w:hAnsi="Calibri Light" w:cs="Arial"/>
          <w:color w:val="auto"/>
          <w:sz w:val="16"/>
          <w:szCs w:val="16"/>
        </w:rPr>
      </w:pPr>
    </w:p>
    <w:p w:rsidR="00DE7FED" w:rsidRDefault="00DE7FED" w:rsidP="00726D19">
      <w:pPr>
        <w:tabs>
          <w:tab w:val="clear" w:pos="1872"/>
        </w:tabs>
        <w:spacing w:after="160" w:line="276" w:lineRule="auto"/>
        <w:rPr>
          <w:rFonts w:ascii="Calibri Light" w:eastAsia="Calibri" w:hAnsi="Calibri Light" w:cs="Arial"/>
          <w:color w:val="auto"/>
          <w:sz w:val="16"/>
          <w:szCs w:val="16"/>
        </w:rPr>
      </w:pPr>
    </w:p>
    <w:p w:rsidR="00726D19" w:rsidRPr="00726D19" w:rsidRDefault="00726D19" w:rsidP="00726D19">
      <w:pPr>
        <w:tabs>
          <w:tab w:val="clear" w:pos="1872"/>
        </w:tabs>
        <w:spacing w:after="160" w:line="276" w:lineRule="auto"/>
        <w:rPr>
          <w:rFonts w:ascii="Calibri Light" w:eastAsia="Calibri" w:hAnsi="Calibri Light" w:cs="Arial"/>
          <w:color w:val="auto"/>
          <w:sz w:val="16"/>
          <w:szCs w:val="16"/>
        </w:rPr>
      </w:pPr>
      <w:r w:rsidRPr="00726D19">
        <w:rPr>
          <w:rFonts w:ascii="Calibri Light" w:eastAsia="Calibri" w:hAnsi="Calibri Light" w:cs="Arial"/>
          <w:color w:val="auto"/>
          <w:sz w:val="16"/>
          <w:szCs w:val="16"/>
        </w:rPr>
        <w:lastRenderedPageBreak/>
        <w:t>CITATIONS:</w:t>
      </w:r>
    </w:p>
    <w:p w:rsidR="0065745C" w:rsidRPr="0065745C" w:rsidRDefault="0065745C" w:rsidP="0065745C">
      <w:pPr>
        <w:tabs>
          <w:tab w:val="clear" w:pos="1872"/>
        </w:tabs>
        <w:spacing w:after="0" w:line="240" w:lineRule="auto"/>
        <w:rPr>
          <w:rFonts w:ascii="Calibri Light" w:hAnsi="Calibri Light" w:cs="Calibri"/>
          <w:color w:val="A6A6A6"/>
          <w:sz w:val="16"/>
          <w:szCs w:val="16"/>
        </w:rPr>
      </w:pPr>
      <w:r w:rsidRPr="0065745C">
        <w:rPr>
          <w:rFonts w:ascii="Calibri Light" w:hAnsi="Calibri Light" w:cs="Calibri"/>
          <w:color w:val="A6A6A6"/>
          <w:sz w:val="16"/>
          <w:szCs w:val="16"/>
        </w:rPr>
        <w:t>1 - tinyurl.com/y23en223/ [3/29/19]</w:t>
      </w:r>
    </w:p>
    <w:p w:rsidR="0065745C" w:rsidRPr="0065745C" w:rsidRDefault="0065745C" w:rsidP="0065745C">
      <w:pPr>
        <w:tabs>
          <w:tab w:val="clear" w:pos="1872"/>
        </w:tabs>
        <w:spacing w:after="0" w:line="240" w:lineRule="auto"/>
        <w:rPr>
          <w:rFonts w:ascii="Calibri Light" w:hAnsi="Calibri Light" w:cs="Calibri"/>
          <w:color w:val="A6A6A6"/>
          <w:sz w:val="16"/>
          <w:szCs w:val="16"/>
        </w:rPr>
      </w:pPr>
      <w:r w:rsidRPr="0065745C">
        <w:rPr>
          <w:rFonts w:ascii="Calibri Light" w:hAnsi="Calibri Light" w:cs="Calibri"/>
          <w:color w:val="A6A6A6"/>
          <w:sz w:val="16"/>
          <w:szCs w:val="16"/>
        </w:rPr>
        <w:t>2 - cbsnews.com/news/fed-rate-hikes-none-in-2019-federal-reserve-projects-no-rate-hikes-slower-growth-this-year/ [3/20/19]</w:t>
      </w:r>
    </w:p>
    <w:p w:rsidR="0065745C" w:rsidRPr="0065745C" w:rsidRDefault="0065745C" w:rsidP="0065745C">
      <w:pPr>
        <w:tabs>
          <w:tab w:val="clear" w:pos="1872"/>
        </w:tabs>
        <w:spacing w:after="0" w:line="240" w:lineRule="auto"/>
        <w:rPr>
          <w:rFonts w:ascii="Calibri Light" w:hAnsi="Calibri Light" w:cs="Calibri"/>
          <w:color w:val="A6A6A6"/>
          <w:sz w:val="16"/>
          <w:szCs w:val="16"/>
        </w:rPr>
      </w:pPr>
      <w:r w:rsidRPr="0065745C">
        <w:rPr>
          <w:rFonts w:ascii="Calibri Light" w:hAnsi="Calibri Light" w:cs="Calibri"/>
          <w:color w:val="A6A6A6"/>
          <w:sz w:val="16"/>
          <w:szCs w:val="16"/>
        </w:rPr>
        <w:t>3 - bloomberg.com/news/articles/2019-03-22/u-s-treasury-yield-curve-inverts-for-first-time-since-2007 [3/22/19]</w:t>
      </w:r>
    </w:p>
    <w:p w:rsidR="0065745C" w:rsidRPr="0065745C" w:rsidRDefault="0065745C" w:rsidP="0065745C">
      <w:pPr>
        <w:tabs>
          <w:tab w:val="clear" w:pos="1872"/>
        </w:tabs>
        <w:spacing w:after="0" w:line="240" w:lineRule="auto"/>
        <w:rPr>
          <w:rFonts w:ascii="Calibri Light" w:hAnsi="Calibri Light" w:cs="Calibri"/>
          <w:color w:val="A6A6A6"/>
          <w:sz w:val="16"/>
          <w:szCs w:val="16"/>
        </w:rPr>
      </w:pPr>
      <w:r w:rsidRPr="0065745C">
        <w:rPr>
          <w:rFonts w:ascii="Calibri Light" w:hAnsi="Calibri Light" w:cs="Calibri"/>
          <w:color w:val="A6A6A6"/>
          <w:sz w:val="16"/>
          <w:szCs w:val="16"/>
        </w:rPr>
        <w:t xml:space="preserve">4 - investors.com/market-trend/stock-market-today/dow-jones-futures-fed-rate-cut-odds-inverted-yield-curve/ [3/26/19] </w:t>
      </w:r>
    </w:p>
    <w:p w:rsidR="0065745C" w:rsidRPr="0065745C" w:rsidRDefault="0065745C" w:rsidP="0065745C">
      <w:pPr>
        <w:tabs>
          <w:tab w:val="clear" w:pos="1872"/>
        </w:tabs>
        <w:spacing w:after="0" w:line="240" w:lineRule="auto"/>
        <w:rPr>
          <w:rFonts w:ascii="Calibri Light" w:hAnsi="Calibri Light" w:cs="Calibri"/>
          <w:color w:val="A6A6A6"/>
          <w:sz w:val="16"/>
          <w:szCs w:val="16"/>
        </w:rPr>
      </w:pPr>
      <w:r w:rsidRPr="0065745C">
        <w:rPr>
          <w:rFonts w:ascii="Calibri Light" w:hAnsi="Calibri Light" w:cs="Calibri"/>
          <w:color w:val="A6A6A6"/>
          <w:sz w:val="16"/>
          <w:szCs w:val="16"/>
        </w:rPr>
        <w:t>5 - ycharts.com/indicators/</w:t>
      </w:r>
      <w:proofErr w:type="spellStart"/>
      <w:r w:rsidRPr="0065745C">
        <w:rPr>
          <w:rFonts w:ascii="Calibri Light" w:hAnsi="Calibri Light" w:cs="Calibri"/>
          <w:color w:val="A6A6A6"/>
          <w:sz w:val="16"/>
          <w:szCs w:val="16"/>
        </w:rPr>
        <w:t>us_inflation_rate</w:t>
      </w:r>
      <w:proofErr w:type="spellEnd"/>
      <w:r w:rsidRPr="0065745C">
        <w:rPr>
          <w:rFonts w:ascii="Calibri Light" w:hAnsi="Calibri Light" w:cs="Calibri"/>
          <w:color w:val="A6A6A6"/>
          <w:sz w:val="16"/>
          <w:szCs w:val="16"/>
        </w:rPr>
        <w:t xml:space="preserve"> [4/1/19]</w:t>
      </w:r>
    </w:p>
    <w:p w:rsidR="0065745C" w:rsidRPr="0065745C" w:rsidRDefault="0065745C" w:rsidP="0065745C">
      <w:pPr>
        <w:tabs>
          <w:tab w:val="clear" w:pos="1872"/>
        </w:tabs>
        <w:spacing w:after="0" w:line="240" w:lineRule="auto"/>
        <w:rPr>
          <w:rFonts w:ascii="Calibri Light" w:hAnsi="Calibri Light" w:cs="Calibri"/>
          <w:color w:val="A6A6A6"/>
          <w:sz w:val="16"/>
          <w:szCs w:val="16"/>
        </w:rPr>
      </w:pPr>
      <w:r w:rsidRPr="0065745C">
        <w:rPr>
          <w:rFonts w:ascii="Calibri Light" w:hAnsi="Calibri Light" w:cs="Calibri"/>
          <w:color w:val="A6A6A6"/>
          <w:sz w:val="16"/>
          <w:szCs w:val="16"/>
        </w:rPr>
        <w:t>6 - investing.com/economic-calendar/ [3/31/19]</w:t>
      </w:r>
    </w:p>
    <w:p w:rsidR="0065745C" w:rsidRPr="0065745C" w:rsidRDefault="0065745C" w:rsidP="0065745C">
      <w:pPr>
        <w:tabs>
          <w:tab w:val="clear" w:pos="1872"/>
        </w:tabs>
        <w:spacing w:after="0" w:line="240" w:lineRule="auto"/>
        <w:rPr>
          <w:rFonts w:ascii="Calibri Light" w:hAnsi="Calibri Light" w:cs="Calibri"/>
          <w:color w:val="A6A6A6"/>
          <w:sz w:val="16"/>
          <w:szCs w:val="16"/>
        </w:rPr>
      </w:pPr>
      <w:r w:rsidRPr="0065745C">
        <w:rPr>
          <w:rFonts w:ascii="Calibri Light" w:hAnsi="Calibri Light" w:cs="Calibri"/>
          <w:color w:val="A6A6A6"/>
          <w:sz w:val="16"/>
          <w:szCs w:val="16"/>
        </w:rPr>
        <w:t>7 - marketwatch.com/tools/calendars/economic [3/29/19]</w:t>
      </w:r>
    </w:p>
    <w:p w:rsidR="0065745C" w:rsidRPr="0065745C" w:rsidRDefault="0065745C" w:rsidP="0065745C">
      <w:pPr>
        <w:tabs>
          <w:tab w:val="clear" w:pos="1872"/>
        </w:tabs>
        <w:spacing w:after="0" w:line="240" w:lineRule="auto"/>
        <w:rPr>
          <w:rFonts w:ascii="Calibri Light" w:hAnsi="Calibri Light" w:cs="Calibri"/>
          <w:color w:val="A6A6A6"/>
          <w:sz w:val="16"/>
          <w:szCs w:val="16"/>
        </w:rPr>
      </w:pPr>
      <w:r w:rsidRPr="0065745C">
        <w:rPr>
          <w:rFonts w:ascii="Calibri Light" w:hAnsi="Calibri Light" w:cs="Calibri"/>
          <w:color w:val="A6A6A6"/>
          <w:sz w:val="16"/>
          <w:szCs w:val="16"/>
        </w:rPr>
        <w:t>8 - investing.com/economic-calendar/cb-consumer-confidence-48 [3/31/19]</w:t>
      </w:r>
    </w:p>
    <w:p w:rsidR="0065745C" w:rsidRPr="0065745C" w:rsidRDefault="0065745C" w:rsidP="0065745C">
      <w:pPr>
        <w:tabs>
          <w:tab w:val="clear" w:pos="1872"/>
        </w:tabs>
        <w:spacing w:after="0" w:line="240" w:lineRule="auto"/>
        <w:rPr>
          <w:rFonts w:ascii="Calibri Light" w:hAnsi="Calibri Light" w:cs="Calibri"/>
          <w:color w:val="A6A6A6"/>
          <w:sz w:val="16"/>
          <w:szCs w:val="16"/>
        </w:rPr>
      </w:pPr>
      <w:r w:rsidRPr="0065745C">
        <w:rPr>
          <w:rFonts w:ascii="Calibri Light" w:hAnsi="Calibri Light" w:cs="Calibri"/>
          <w:color w:val="A6A6A6"/>
          <w:sz w:val="16"/>
          <w:szCs w:val="16"/>
        </w:rPr>
        <w:t>9 - tradingeconomics.com/united-states/consumer-confidence [3/31/19]</w:t>
      </w:r>
    </w:p>
    <w:p w:rsidR="0065745C" w:rsidRPr="0065745C" w:rsidRDefault="0065745C" w:rsidP="0065745C">
      <w:pPr>
        <w:tabs>
          <w:tab w:val="clear" w:pos="1872"/>
        </w:tabs>
        <w:spacing w:after="0" w:line="240" w:lineRule="auto"/>
        <w:rPr>
          <w:rFonts w:ascii="Calibri Light" w:hAnsi="Calibri Light" w:cs="Calibri"/>
          <w:color w:val="A6A6A6"/>
          <w:sz w:val="16"/>
          <w:szCs w:val="16"/>
        </w:rPr>
      </w:pPr>
      <w:r w:rsidRPr="0065745C">
        <w:rPr>
          <w:rFonts w:ascii="Calibri Light" w:hAnsi="Calibri Light" w:cs="Calibri"/>
          <w:color w:val="A6A6A6"/>
          <w:sz w:val="16"/>
          <w:szCs w:val="16"/>
        </w:rPr>
        <w:t>10 - instituteforsupplymanagement.org/</w:t>
      </w:r>
      <w:proofErr w:type="spellStart"/>
      <w:r w:rsidRPr="0065745C">
        <w:rPr>
          <w:rFonts w:ascii="Calibri Light" w:hAnsi="Calibri Light" w:cs="Calibri"/>
          <w:color w:val="A6A6A6"/>
          <w:sz w:val="16"/>
          <w:szCs w:val="16"/>
        </w:rPr>
        <w:t>ISMReport</w:t>
      </w:r>
      <w:proofErr w:type="spellEnd"/>
      <w:r w:rsidRPr="0065745C">
        <w:rPr>
          <w:rFonts w:ascii="Calibri Light" w:hAnsi="Calibri Light" w:cs="Calibri"/>
          <w:color w:val="A6A6A6"/>
          <w:sz w:val="16"/>
          <w:szCs w:val="16"/>
        </w:rPr>
        <w:t>/</w:t>
      </w:r>
      <w:proofErr w:type="spellStart"/>
      <w:r w:rsidRPr="0065745C">
        <w:rPr>
          <w:rFonts w:ascii="Calibri Light" w:hAnsi="Calibri Light" w:cs="Calibri"/>
          <w:color w:val="A6A6A6"/>
          <w:sz w:val="16"/>
          <w:szCs w:val="16"/>
        </w:rPr>
        <w:t>MfgROB.cfm</w:t>
      </w:r>
      <w:proofErr w:type="spellEnd"/>
      <w:r w:rsidRPr="0065745C">
        <w:rPr>
          <w:rFonts w:ascii="Calibri Light" w:hAnsi="Calibri Light" w:cs="Calibri"/>
          <w:color w:val="A6A6A6"/>
          <w:sz w:val="16"/>
          <w:szCs w:val="16"/>
        </w:rPr>
        <w:t xml:space="preserve"> [4/1/19]</w:t>
      </w:r>
    </w:p>
    <w:p w:rsidR="0065745C" w:rsidRPr="0065745C" w:rsidRDefault="0065745C" w:rsidP="0065745C">
      <w:pPr>
        <w:tabs>
          <w:tab w:val="clear" w:pos="1872"/>
        </w:tabs>
        <w:spacing w:after="0" w:line="240" w:lineRule="auto"/>
        <w:rPr>
          <w:rFonts w:ascii="Calibri Light" w:hAnsi="Calibri Light" w:cs="Calibri"/>
          <w:color w:val="A6A6A6"/>
          <w:sz w:val="16"/>
          <w:szCs w:val="16"/>
        </w:rPr>
      </w:pPr>
      <w:r w:rsidRPr="0065745C">
        <w:rPr>
          <w:rFonts w:ascii="Calibri Light" w:hAnsi="Calibri Light" w:cs="Calibri"/>
          <w:color w:val="A6A6A6"/>
          <w:sz w:val="16"/>
          <w:szCs w:val="16"/>
        </w:rPr>
        <w:t>11 - pbs.org/newshour/economy/new-round-of-u-s-china-trade-talks-set-to-begin-in-beijing [3/28/19]</w:t>
      </w:r>
    </w:p>
    <w:p w:rsidR="0065745C" w:rsidRPr="0065745C" w:rsidRDefault="0065745C" w:rsidP="0065745C">
      <w:pPr>
        <w:tabs>
          <w:tab w:val="clear" w:pos="1872"/>
        </w:tabs>
        <w:spacing w:after="0" w:line="240" w:lineRule="auto"/>
        <w:rPr>
          <w:rFonts w:ascii="Calibri Light" w:hAnsi="Calibri Light" w:cs="Calibri"/>
          <w:color w:val="A6A6A6"/>
          <w:sz w:val="16"/>
          <w:szCs w:val="16"/>
        </w:rPr>
      </w:pPr>
      <w:r w:rsidRPr="0065745C">
        <w:rPr>
          <w:rFonts w:ascii="Calibri Light" w:hAnsi="Calibri Light" w:cs="Calibri"/>
          <w:color w:val="A6A6A6"/>
          <w:sz w:val="16"/>
          <w:szCs w:val="16"/>
        </w:rPr>
        <w:t>12 - cnbc.com/2019/03/29/brexit-general-election-speculation-grows-after-may-loses-vote.html [3/29/19]</w:t>
      </w:r>
    </w:p>
    <w:p w:rsidR="0065745C" w:rsidRPr="0065745C" w:rsidRDefault="0065745C" w:rsidP="0065745C">
      <w:pPr>
        <w:tabs>
          <w:tab w:val="clear" w:pos="1872"/>
        </w:tabs>
        <w:spacing w:after="0" w:line="240" w:lineRule="auto"/>
        <w:rPr>
          <w:rFonts w:ascii="Calibri Light" w:hAnsi="Calibri Light" w:cs="Calibri"/>
          <w:color w:val="A6A6A6"/>
          <w:sz w:val="16"/>
          <w:szCs w:val="16"/>
        </w:rPr>
      </w:pPr>
      <w:r w:rsidRPr="0065745C">
        <w:rPr>
          <w:rFonts w:ascii="Calibri Light" w:hAnsi="Calibri Light" w:cs="Calibri"/>
          <w:color w:val="A6A6A6"/>
          <w:sz w:val="16"/>
          <w:szCs w:val="16"/>
        </w:rPr>
        <w:t>13 - nytimes.com/2019/03/07/business/ecb-european-economy-stimulus.html [3/7/19]</w:t>
      </w:r>
    </w:p>
    <w:p w:rsidR="0065745C" w:rsidRPr="0065745C" w:rsidRDefault="0065745C" w:rsidP="0065745C">
      <w:pPr>
        <w:tabs>
          <w:tab w:val="clear" w:pos="1872"/>
        </w:tabs>
        <w:spacing w:after="0" w:line="240" w:lineRule="auto"/>
        <w:rPr>
          <w:rFonts w:ascii="Calibri Light" w:hAnsi="Calibri Light" w:cs="Calibri"/>
          <w:color w:val="A6A6A6"/>
          <w:sz w:val="16"/>
          <w:szCs w:val="16"/>
        </w:rPr>
      </w:pPr>
      <w:r w:rsidRPr="0065745C">
        <w:rPr>
          <w:rFonts w:ascii="Calibri Light" w:hAnsi="Calibri Light" w:cs="Calibri"/>
          <w:color w:val="A6A6A6"/>
          <w:sz w:val="16"/>
          <w:szCs w:val="16"/>
        </w:rPr>
        <w:t>14 - investing.com/indices/major-indices [3/31/19]</w:t>
      </w:r>
    </w:p>
    <w:p w:rsidR="0065745C" w:rsidRPr="0065745C" w:rsidRDefault="0065745C" w:rsidP="0065745C">
      <w:pPr>
        <w:tabs>
          <w:tab w:val="clear" w:pos="1872"/>
        </w:tabs>
        <w:spacing w:after="0" w:line="240" w:lineRule="auto"/>
        <w:rPr>
          <w:rFonts w:ascii="Calibri Light" w:hAnsi="Calibri Light" w:cs="Calibri"/>
          <w:color w:val="A6A6A6"/>
          <w:sz w:val="16"/>
          <w:szCs w:val="16"/>
        </w:rPr>
      </w:pPr>
      <w:r w:rsidRPr="0065745C">
        <w:rPr>
          <w:rFonts w:ascii="Calibri Light" w:hAnsi="Calibri Light" w:cs="Calibri"/>
          <w:color w:val="A6A6A6"/>
          <w:sz w:val="16"/>
          <w:szCs w:val="16"/>
        </w:rPr>
        <w:t>15 - msci.com/end-of-day-data-search [3/29/19]</w:t>
      </w:r>
    </w:p>
    <w:p w:rsidR="0065745C" w:rsidRPr="0065745C" w:rsidRDefault="0065745C" w:rsidP="0065745C">
      <w:pPr>
        <w:tabs>
          <w:tab w:val="clear" w:pos="1872"/>
        </w:tabs>
        <w:spacing w:after="0" w:line="240" w:lineRule="auto"/>
        <w:rPr>
          <w:rFonts w:ascii="Calibri Light" w:hAnsi="Calibri Light" w:cs="Calibri"/>
          <w:color w:val="A6A6A6"/>
          <w:sz w:val="16"/>
          <w:szCs w:val="16"/>
        </w:rPr>
      </w:pPr>
      <w:r w:rsidRPr="0065745C">
        <w:rPr>
          <w:rFonts w:ascii="Calibri Light" w:hAnsi="Calibri Light" w:cs="Calibri"/>
          <w:color w:val="A6A6A6"/>
          <w:sz w:val="16"/>
          <w:szCs w:val="16"/>
        </w:rPr>
        <w:t>16 - barchart.com/futures/performance-leaders?viewName=chart&amp;timeFrame=3m [3/31/19]</w:t>
      </w:r>
    </w:p>
    <w:p w:rsidR="0065745C" w:rsidRPr="0065745C" w:rsidRDefault="0065745C" w:rsidP="0065745C">
      <w:pPr>
        <w:tabs>
          <w:tab w:val="clear" w:pos="1872"/>
        </w:tabs>
        <w:spacing w:after="0" w:line="240" w:lineRule="auto"/>
        <w:rPr>
          <w:rFonts w:ascii="Calibri Light" w:hAnsi="Calibri Light" w:cs="Calibri"/>
          <w:color w:val="A6A6A6"/>
          <w:sz w:val="16"/>
          <w:szCs w:val="16"/>
        </w:rPr>
      </w:pPr>
      <w:r w:rsidRPr="0065745C">
        <w:rPr>
          <w:rFonts w:ascii="Calibri Light" w:hAnsi="Calibri Light" w:cs="Calibri"/>
          <w:color w:val="A6A6A6"/>
          <w:sz w:val="16"/>
          <w:szCs w:val="16"/>
        </w:rPr>
        <w:t>17 - money.cnn.com/data/commodities/ [3/29/19]</w:t>
      </w:r>
    </w:p>
    <w:p w:rsidR="0065745C" w:rsidRPr="0065745C" w:rsidRDefault="0065745C" w:rsidP="0065745C">
      <w:pPr>
        <w:tabs>
          <w:tab w:val="clear" w:pos="1872"/>
        </w:tabs>
        <w:spacing w:after="0" w:line="240" w:lineRule="auto"/>
        <w:rPr>
          <w:rFonts w:ascii="Calibri Light" w:hAnsi="Calibri Light" w:cs="Calibri"/>
          <w:color w:val="A6A6A6"/>
          <w:sz w:val="16"/>
          <w:szCs w:val="16"/>
        </w:rPr>
      </w:pPr>
      <w:r w:rsidRPr="0065745C">
        <w:rPr>
          <w:rFonts w:ascii="Calibri Light" w:hAnsi="Calibri Light" w:cs="Calibri"/>
          <w:color w:val="A6A6A6"/>
          <w:sz w:val="16"/>
          <w:szCs w:val="16"/>
        </w:rPr>
        <w:t xml:space="preserve">18 - </w:t>
      </w:r>
      <w:proofErr w:type="gramStart"/>
      <w:r w:rsidRPr="0065745C">
        <w:rPr>
          <w:rFonts w:ascii="Calibri Light" w:hAnsi="Calibri Light" w:cs="Calibri"/>
          <w:color w:val="A6A6A6"/>
          <w:sz w:val="16"/>
          <w:szCs w:val="16"/>
        </w:rPr>
        <w:t>nar.realtor</w:t>
      </w:r>
      <w:proofErr w:type="gramEnd"/>
      <w:r w:rsidRPr="0065745C">
        <w:rPr>
          <w:rFonts w:ascii="Calibri Light" w:hAnsi="Calibri Light" w:cs="Calibri"/>
          <w:color w:val="A6A6A6"/>
          <w:sz w:val="16"/>
          <w:szCs w:val="16"/>
        </w:rPr>
        <w:t>/newsroom/existing-home-sales-surge-11-8-percent-in-february [3/22/19]</w:t>
      </w:r>
    </w:p>
    <w:p w:rsidR="0065745C" w:rsidRPr="0065745C" w:rsidRDefault="0065745C" w:rsidP="0065745C">
      <w:pPr>
        <w:tabs>
          <w:tab w:val="clear" w:pos="1872"/>
        </w:tabs>
        <w:spacing w:after="0" w:line="240" w:lineRule="auto"/>
        <w:rPr>
          <w:rFonts w:ascii="Calibri Light" w:hAnsi="Calibri Light" w:cs="Calibri"/>
          <w:color w:val="A6A6A6"/>
          <w:sz w:val="16"/>
          <w:szCs w:val="16"/>
        </w:rPr>
      </w:pPr>
      <w:r w:rsidRPr="0065745C">
        <w:rPr>
          <w:rFonts w:ascii="Calibri Light" w:hAnsi="Calibri Light" w:cs="Calibri"/>
          <w:color w:val="A6A6A6"/>
          <w:sz w:val="16"/>
          <w:szCs w:val="16"/>
        </w:rPr>
        <w:t>19 - cnbc.com/2019/03/29/new-home-sales-february.html [3/29/19]</w:t>
      </w:r>
    </w:p>
    <w:p w:rsidR="0065745C" w:rsidRPr="0065745C" w:rsidRDefault="0065745C" w:rsidP="0065745C">
      <w:pPr>
        <w:tabs>
          <w:tab w:val="clear" w:pos="1872"/>
        </w:tabs>
        <w:spacing w:after="0" w:line="240" w:lineRule="auto"/>
        <w:rPr>
          <w:rFonts w:ascii="Calibri Light" w:hAnsi="Calibri Light" w:cs="Calibri"/>
          <w:color w:val="A6A6A6"/>
          <w:sz w:val="16"/>
          <w:szCs w:val="16"/>
        </w:rPr>
      </w:pPr>
      <w:r w:rsidRPr="0065745C">
        <w:rPr>
          <w:rFonts w:ascii="Calibri Light" w:hAnsi="Calibri Light" w:cs="Calibri"/>
          <w:color w:val="A6A6A6"/>
          <w:sz w:val="16"/>
          <w:szCs w:val="16"/>
        </w:rPr>
        <w:t>20 - tinyurl.com/y27puujx [3/29/19]</w:t>
      </w:r>
    </w:p>
    <w:p w:rsidR="0065745C" w:rsidRPr="0065745C" w:rsidRDefault="0065745C" w:rsidP="0065745C">
      <w:pPr>
        <w:tabs>
          <w:tab w:val="clear" w:pos="1872"/>
        </w:tabs>
        <w:spacing w:after="0" w:line="240" w:lineRule="auto"/>
        <w:rPr>
          <w:rFonts w:ascii="Calibri Light" w:hAnsi="Calibri Light" w:cs="Calibri"/>
          <w:color w:val="A6A6A6"/>
          <w:sz w:val="16"/>
          <w:szCs w:val="16"/>
        </w:rPr>
      </w:pPr>
      <w:r w:rsidRPr="0065745C">
        <w:rPr>
          <w:rFonts w:ascii="Calibri Light" w:hAnsi="Calibri Light" w:cs="Calibri"/>
          <w:color w:val="A6A6A6"/>
          <w:sz w:val="16"/>
          <w:szCs w:val="16"/>
        </w:rPr>
        <w:t>21 - barchart.com/stocks/</w:t>
      </w:r>
      <w:proofErr w:type="spellStart"/>
      <w:r w:rsidRPr="0065745C">
        <w:rPr>
          <w:rFonts w:ascii="Calibri Light" w:hAnsi="Calibri Light" w:cs="Calibri"/>
          <w:color w:val="A6A6A6"/>
          <w:sz w:val="16"/>
          <w:szCs w:val="16"/>
        </w:rPr>
        <w:t>indices?viewName</w:t>
      </w:r>
      <w:proofErr w:type="spellEnd"/>
      <w:r w:rsidRPr="0065745C">
        <w:rPr>
          <w:rFonts w:ascii="Calibri Light" w:hAnsi="Calibri Light" w:cs="Calibri"/>
          <w:color w:val="A6A6A6"/>
          <w:sz w:val="16"/>
          <w:szCs w:val="16"/>
        </w:rPr>
        <w:t>=performance [3/29/19]</w:t>
      </w:r>
    </w:p>
    <w:p w:rsidR="0065745C" w:rsidRPr="0065745C" w:rsidRDefault="0065745C" w:rsidP="0065745C">
      <w:pPr>
        <w:tabs>
          <w:tab w:val="clear" w:pos="1872"/>
        </w:tabs>
        <w:spacing w:after="0" w:line="240" w:lineRule="auto"/>
        <w:rPr>
          <w:rFonts w:ascii="Calibri Light" w:hAnsi="Calibri Light" w:cs="Calibri"/>
          <w:color w:val="A6A6A6"/>
          <w:sz w:val="16"/>
          <w:szCs w:val="16"/>
        </w:rPr>
      </w:pPr>
      <w:r w:rsidRPr="0065745C">
        <w:rPr>
          <w:rFonts w:ascii="Calibri Light" w:hAnsi="Calibri Light" w:cs="Calibri"/>
          <w:color w:val="A6A6A6"/>
          <w:sz w:val="16"/>
          <w:szCs w:val="16"/>
        </w:rPr>
        <w:t>22 - barchart.com/stocks/</w:t>
      </w:r>
      <w:proofErr w:type="spellStart"/>
      <w:r w:rsidRPr="0065745C">
        <w:rPr>
          <w:rFonts w:ascii="Calibri Light" w:hAnsi="Calibri Light" w:cs="Calibri"/>
          <w:color w:val="A6A6A6"/>
          <w:sz w:val="16"/>
          <w:szCs w:val="16"/>
        </w:rPr>
        <w:t>indices?viewName</w:t>
      </w:r>
      <w:proofErr w:type="spellEnd"/>
      <w:r w:rsidRPr="0065745C">
        <w:rPr>
          <w:rFonts w:ascii="Calibri Light" w:hAnsi="Calibri Light" w:cs="Calibri"/>
          <w:color w:val="A6A6A6"/>
          <w:sz w:val="16"/>
          <w:szCs w:val="16"/>
        </w:rPr>
        <w:t>=performance [1/1/19]</w:t>
      </w:r>
    </w:p>
    <w:p w:rsidR="0065745C" w:rsidRPr="0065745C" w:rsidRDefault="0065745C" w:rsidP="0065745C">
      <w:pPr>
        <w:tabs>
          <w:tab w:val="clear" w:pos="1872"/>
        </w:tabs>
        <w:spacing w:after="0" w:line="240" w:lineRule="auto"/>
        <w:rPr>
          <w:rFonts w:ascii="Calibri Light" w:hAnsi="Calibri Light" w:cs="Calibri"/>
          <w:color w:val="A6A6A6"/>
          <w:sz w:val="16"/>
          <w:szCs w:val="16"/>
        </w:rPr>
      </w:pPr>
      <w:r w:rsidRPr="0065745C">
        <w:rPr>
          <w:rFonts w:ascii="Calibri Light" w:hAnsi="Calibri Light" w:cs="Calibri"/>
          <w:color w:val="A6A6A6"/>
          <w:sz w:val="16"/>
          <w:szCs w:val="16"/>
        </w:rPr>
        <w:t>23 - treasury.gov/resource-center/data-chart-center/interest-rates/Pages/TextView.aspx?data=yieldAll [3/29/19]</w:t>
      </w:r>
    </w:p>
    <w:p w:rsidR="00095069" w:rsidRPr="00726D19" w:rsidRDefault="00095069" w:rsidP="00B23397">
      <w:pPr>
        <w:tabs>
          <w:tab w:val="clear" w:pos="1872"/>
        </w:tabs>
        <w:spacing w:after="0" w:line="240" w:lineRule="auto"/>
        <w:rPr>
          <w:color w:val="auto"/>
        </w:rPr>
      </w:pPr>
    </w:p>
    <w:sectPr w:rsidR="00095069" w:rsidRPr="00726D19" w:rsidSect="00F247FC">
      <w:headerReference w:type="default" r:id="rId11"/>
      <w:footerReference w:type="default" r:id="rId12"/>
      <w:type w:val="continuous"/>
      <w:pgSz w:w="12240" w:h="15840"/>
      <w:pgMar w:top="720" w:right="720" w:bottom="720" w:left="720" w:header="720" w:footer="864" w:gutter="0"/>
      <w:cols w:space="54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B26" w:rsidRDefault="00D15B26" w:rsidP="00F07553">
      <w:pPr>
        <w:spacing w:after="0" w:line="240" w:lineRule="auto"/>
      </w:pPr>
      <w:r>
        <w:separator/>
      </w:r>
    </w:p>
  </w:endnote>
  <w:endnote w:type="continuationSeparator" w:id="0">
    <w:p w:rsidR="00D15B26" w:rsidRDefault="00D15B26" w:rsidP="00F0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45C" w:rsidRDefault="0065745C" w:rsidP="008B0AED">
    <w:pPr>
      <w:pStyle w:val="Copyright"/>
      <w:ind w:left="-360"/>
      <w:rPr>
        <w:sz w:val="20"/>
      </w:rPr>
    </w:pPr>
    <w:r w:rsidRPr="00105401">
      <w:rPr>
        <w:sz w:val="20"/>
      </w:rPr>
      <w:t xml:space="preserve">© </w:t>
    </w:r>
    <w:r w:rsidRPr="00105401">
      <w:rPr>
        <w:sz w:val="20"/>
      </w:rPr>
      <w:fldChar w:fldCharType="begin"/>
    </w:r>
    <w:r w:rsidRPr="00105401">
      <w:rPr>
        <w:sz w:val="20"/>
      </w:rPr>
      <w:instrText xml:space="preserve"> DATE  \@ "yyyy"  \* MERGEFORMAT </w:instrText>
    </w:r>
    <w:r w:rsidRPr="00105401">
      <w:rPr>
        <w:sz w:val="20"/>
      </w:rPr>
      <w:fldChar w:fldCharType="separate"/>
    </w:r>
    <w:r w:rsidR="00E2553D">
      <w:rPr>
        <w:noProof/>
        <w:sz w:val="20"/>
      </w:rPr>
      <w:t>2019</w:t>
    </w:r>
    <w:r w:rsidRPr="00105401">
      <w:rPr>
        <w:sz w:val="20"/>
      </w:rPr>
      <w:fldChar w:fldCharType="end"/>
    </w:r>
    <w:r w:rsidRPr="00105401">
      <w:rPr>
        <w:sz w:val="20"/>
      </w:rPr>
      <w:t xml:space="preserve"> Massachusetts Mutual Life Insurance Company (MassMutual), Springfield, MA 01111-0001. </w:t>
    </w:r>
  </w:p>
  <w:p w:rsidR="0065745C" w:rsidRPr="002340F5" w:rsidRDefault="0065745C" w:rsidP="002340F5">
    <w:pPr>
      <w:pStyle w:val="Copyright"/>
      <w:ind w:left="-360"/>
      <w:rPr>
        <w:sz w:val="20"/>
      </w:rPr>
    </w:pPr>
    <w:r w:rsidRPr="00105401">
      <w:rPr>
        <w:sz w:val="20"/>
      </w:rPr>
      <w:t>All rights reserved. www.massmutua</w:t>
    </w:r>
    <w:r>
      <w:rPr>
        <w:sz w:val="20"/>
      </w:rPr>
      <w:t>l.com</w:t>
    </w:r>
    <w:r w:rsidRPr="00F07553">
      <w:rPr>
        <w:noProof/>
      </w:rPr>
      <w:drawing>
        <wp:anchor distT="0" distB="0" distL="114300" distR="114300" simplePos="0" relativeHeight="251659264" behindDoc="1" locked="0" layoutInCell="1" allowOverlap="1" wp14:anchorId="0760958C" wp14:editId="1F55D315">
          <wp:simplePos x="914400" y="9182100"/>
          <wp:positionH relativeFrom="page">
            <wp:align>center</wp:align>
          </wp:positionH>
          <wp:positionV relativeFrom="page">
            <wp:align>bottom</wp:align>
          </wp:positionV>
          <wp:extent cx="7772400" cy="54864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ts gray 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48640"/>
                  </a:xfrm>
                  <a:prstGeom prst="rect">
                    <a:avLst/>
                  </a:prstGeom>
                </pic:spPr>
              </pic:pic>
            </a:graphicData>
          </a:graphic>
          <wp14:sizeRelH relativeFrom="margin">
            <wp14:pctWidth>0</wp14:pctWidth>
          </wp14:sizeRelH>
          <wp14:sizeRelV relativeFrom="margin">
            <wp14:pctHeight>0</wp14:pctHeight>
          </wp14:sizeRelV>
        </wp:anchor>
      </w:drawing>
    </w:r>
    <w:r>
      <w:rPr>
        <w:sz w:val="20"/>
      </w:rPr>
      <w:t>.</w:t>
    </w:r>
    <w:r>
      <w:tab/>
      <w:t xml:space="preserve">Page </w:t>
    </w:r>
    <w:r>
      <w:rPr>
        <w:b/>
      </w:rPr>
      <w:fldChar w:fldCharType="begin"/>
    </w:r>
    <w:r>
      <w:rPr>
        <w:b/>
      </w:rPr>
      <w:instrText xml:space="preserve"> PAGE  \* Arabic  \* MERGEFORMAT </w:instrText>
    </w:r>
    <w:r>
      <w:rPr>
        <w:b/>
      </w:rPr>
      <w:fldChar w:fldCharType="separate"/>
    </w:r>
    <w:r w:rsidR="004A5FAA">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sidR="004A5FAA">
      <w:rPr>
        <w:b/>
        <w:noProof/>
      </w:rPr>
      <w:t>7</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B26" w:rsidRDefault="00D15B26" w:rsidP="00F07553">
      <w:pPr>
        <w:spacing w:after="0" w:line="240" w:lineRule="auto"/>
      </w:pPr>
    </w:p>
  </w:footnote>
  <w:footnote w:type="continuationSeparator" w:id="0">
    <w:p w:rsidR="00D15B26" w:rsidRDefault="00D15B26" w:rsidP="00F07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45C" w:rsidRPr="00105401" w:rsidRDefault="0065745C">
    <w:pPr>
      <w:pStyle w:val="Header"/>
      <w:rPr>
        <w:sz w:val="28"/>
      </w:rPr>
    </w:pPr>
    <w:r w:rsidRPr="00105401">
      <w:rPr>
        <w:noProof/>
        <w:sz w:val="28"/>
      </w:rPr>
      <w:drawing>
        <wp:anchor distT="0" distB="0" distL="114300" distR="114300" simplePos="0" relativeHeight="251658240" behindDoc="0" locked="0" layoutInCell="1" allowOverlap="1" wp14:anchorId="532AD9B2" wp14:editId="2DEE641F">
          <wp:simplePos x="914400" y="457200"/>
          <wp:positionH relativeFrom="page">
            <wp:align>center</wp:align>
          </wp:positionH>
          <wp:positionV relativeFrom="page">
            <wp:align>top</wp:align>
          </wp:positionV>
          <wp:extent cx="5550408" cy="914902"/>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 logo top.jpg"/>
                  <pic:cNvPicPr/>
                </pic:nvPicPr>
                <pic:blipFill rotWithShape="1">
                  <a:blip r:embed="rId1">
                    <a:extLst>
                      <a:ext uri="{28A0092B-C50C-407E-A947-70E740481C1C}">
                        <a14:useLocalDpi xmlns:a14="http://schemas.microsoft.com/office/drawing/2010/main" val="0"/>
                      </a:ext>
                    </a:extLst>
                  </a:blip>
                  <a:srcRect r="28677"/>
                  <a:stretch/>
                </pic:blipFill>
                <pic:spPr bwMode="auto">
                  <a:xfrm>
                    <a:off x="0" y="0"/>
                    <a:ext cx="5550408" cy="9149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8"/>
      </w:rPr>
      <w:drawing>
        <wp:anchor distT="0" distB="0" distL="114300" distR="114300" simplePos="0" relativeHeight="251660288" behindDoc="0" locked="0" layoutInCell="1" allowOverlap="1" wp14:anchorId="2D83C6AA" wp14:editId="33693396">
          <wp:simplePos x="0" y="0"/>
          <wp:positionH relativeFrom="column">
            <wp:posOffset>3939540</wp:posOffset>
          </wp:positionH>
          <wp:positionV relativeFrom="paragraph">
            <wp:posOffset>-177800</wp:posOffset>
          </wp:positionV>
          <wp:extent cx="3043225" cy="406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orking files\2017\00_branding\MMLIS\MML_InvestorServices_logo_250X50.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43225" cy="40640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7.5pt" o:bullet="t">
        <v:imagedata r:id="rId1" o:title="bullet_orange_10px"/>
      </v:shape>
    </w:pict>
  </w:numPicBullet>
  <w:numPicBullet w:numPicBulletId="1">
    <w:pict>
      <v:shape id="_x0000_i1035" type="#_x0000_t75" style="width:9.75pt;height:9.75pt" o:bullet="t">
        <v:imagedata r:id="rId2" o:title="box"/>
      </v:shape>
    </w:pict>
  </w:numPicBullet>
  <w:abstractNum w:abstractNumId="0" w15:restartNumberingAfterBreak="0">
    <w:nsid w:val="003931F3"/>
    <w:multiLevelType w:val="hybridMultilevel"/>
    <w:tmpl w:val="D4EE36B0"/>
    <w:lvl w:ilvl="0" w:tplc="8CB806EA">
      <w:start w:val="1"/>
      <w:numFmt w:val="bullet"/>
      <w:lvlText w:val=""/>
      <w:lvlJc w:val="left"/>
      <w:pPr>
        <w:ind w:left="360" w:hanging="360"/>
      </w:pPr>
      <w:rPr>
        <w:rFonts w:ascii="Symbol" w:hAnsi="Symbol" w:hint="default"/>
      </w:rPr>
    </w:lvl>
    <w:lvl w:ilvl="1" w:tplc="66A8BC58">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B472B2"/>
    <w:multiLevelType w:val="multilevel"/>
    <w:tmpl w:val="868E80B2"/>
    <w:lvl w:ilvl="0">
      <w:start w:val="1"/>
      <w:numFmt w:val="decimal"/>
      <w:lvlText w:val="%1"/>
      <w:lvlJc w:val="left"/>
      <w:pPr>
        <w:ind w:left="720" w:hanging="576"/>
      </w:pPr>
      <w:rPr>
        <w:rFonts w:asciiTheme="minorHAnsi" w:hAnsiTheme="minorHAnsi" w:hint="default"/>
      </w:rPr>
    </w:lvl>
    <w:lvl w:ilvl="1">
      <w:start w:val="1"/>
      <w:numFmt w:val="bullet"/>
      <w:lvlText w:val="­"/>
      <w:lvlJc w:val="left"/>
      <w:pPr>
        <w:ind w:left="1440" w:hanging="576"/>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233C7DDC"/>
    <w:multiLevelType w:val="hybridMultilevel"/>
    <w:tmpl w:val="808E3C50"/>
    <w:lvl w:ilvl="0" w:tplc="11A66944">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72160B"/>
    <w:multiLevelType w:val="hybridMultilevel"/>
    <w:tmpl w:val="135AA09A"/>
    <w:lvl w:ilvl="0" w:tplc="A358E866">
      <w:start w:val="1"/>
      <w:numFmt w:val="bullet"/>
      <w:pStyle w:val="TBLchecklist"/>
      <w:lvlText w:val="□"/>
      <w:lvlJc w:val="left"/>
      <w:pPr>
        <w:ind w:left="360" w:hanging="360"/>
      </w:pPr>
      <w:rPr>
        <w:rFonts w:ascii="Arial Narrow" w:hAnsi="Arial Narro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D06B15"/>
    <w:multiLevelType w:val="hybridMultilevel"/>
    <w:tmpl w:val="F3640A60"/>
    <w:lvl w:ilvl="0" w:tplc="3DEAAFD0">
      <w:start w:val="1"/>
      <w:numFmt w:val="bullet"/>
      <w:pStyle w:val="TB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764CE724">
      <w:start w:val="1"/>
      <w:numFmt w:val="bullet"/>
      <w:pStyle w:val="TBLbullet2"/>
      <w:lvlText w:val="o"/>
      <w:lvlJc w:val="left"/>
      <w:pPr>
        <w:ind w:left="1800" w:hanging="360"/>
      </w:pPr>
      <w:rPr>
        <w:rFonts w:ascii="Courier New" w:hAnsi="Courier New" w:cs="Courier New" w:hint="default"/>
      </w:rPr>
    </w:lvl>
    <w:lvl w:ilvl="3" w:tplc="85941820">
      <w:start w:val="1"/>
      <w:numFmt w:val="bullet"/>
      <w:pStyle w:val="TBLbullet3"/>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7325D5"/>
    <w:multiLevelType w:val="multilevel"/>
    <w:tmpl w:val="BF3268BE"/>
    <w:lvl w:ilvl="0">
      <w:start w:val="1"/>
      <w:numFmt w:val="decimal"/>
      <w:lvlText w:val="%1"/>
      <w:lvlJc w:val="left"/>
      <w:pPr>
        <w:ind w:left="720" w:hanging="576"/>
      </w:pPr>
      <w:rPr>
        <w:rFonts w:asciiTheme="minorHAnsi" w:hAnsiTheme="minorHAnsi" w:hint="default"/>
      </w:rPr>
    </w:lvl>
    <w:lvl w:ilvl="1">
      <w:start w:val="1"/>
      <w:numFmt w:val="bullet"/>
      <w:pStyle w:val="List-Level2"/>
      <w:lvlText w:val="­"/>
      <w:lvlJc w:val="left"/>
      <w:pPr>
        <w:ind w:left="1440" w:hanging="576"/>
      </w:pPr>
      <w:rPr>
        <w:rFonts w:ascii="Courier New" w:hAnsi="Courier New" w:hint="default"/>
      </w:rPr>
    </w:lvl>
    <w:lvl w:ilvl="2">
      <w:start w:val="1"/>
      <w:numFmt w:val="bullet"/>
      <w:pStyle w:val="List-Level3"/>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45AB7A9A"/>
    <w:multiLevelType w:val="multilevel"/>
    <w:tmpl w:val="868E80B2"/>
    <w:lvl w:ilvl="0">
      <w:start w:val="1"/>
      <w:numFmt w:val="decimal"/>
      <w:lvlText w:val="%1"/>
      <w:lvlJc w:val="left"/>
      <w:pPr>
        <w:ind w:left="720" w:hanging="576"/>
      </w:pPr>
      <w:rPr>
        <w:rFonts w:asciiTheme="minorHAnsi" w:hAnsiTheme="minorHAnsi" w:hint="default"/>
      </w:rPr>
    </w:lvl>
    <w:lvl w:ilvl="1">
      <w:start w:val="1"/>
      <w:numFmt w:val="bullet"/>
      <w:lvlText w:val="­"/>
      <w:lvlJc w:val="left"/>
      <w:pPr>
        <w:ind w:left="1440" w:hanging="576"/>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4E8A4794"/>
    <w:multiLevelType w:val="hybridMultilevel"/>
    <w:tmpl w:val="56E2B492"/>
    <w:lvl w:ilvl="0" w:tplc="547EE22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945088"/>
    <w:multiLevelType w:val="hybridMultilevel"/>
    <w:tmpl w:val="D112172A"/>
    <w:lvl w:ilvl="0" w:tplc="EF0C26DE">
      <w:start w:val="1"/>
      <w:numFmt w:val="bullet"/>
      <w:pStyle w:val="FTbulletline1"/>
      <w:lvlText w:val=""/>
      <w:lvlPicBulletId w:val="0"/>
      <w:lvlJc w:val="left"/>
      <w:pPr>
        <w:ind w:left="360" w:hanging="360"/>
      </w:pPr>
      <w:rPr>
        <w:rFonts w:ascii="Symbol" w:hAnsi="Symbol" w:hint="default"/>
        <w:color w:val="auto"/>
      </w:rPr>
    </w:lvl>
    <w:lvl w:ilvl="1" w:tplc="6E8A454E">
      <w:start w:val="1"/>
      <w:numFmt w:val="bullet"/>
      <w:pStyle w:val="FTbulletline2"/>
      <w:lvlText w:val="o"/>
      <w:lvlJc w:val="left"/>
      <w:pPr>
        <w:ind w:left="1080" w:hanging="360"/>
      </w:pPr>
      <w:rPr>
        <w:rFonts w:ascii="Courier New" w:hAnsi="Courier New" w:cs="Courier New" w:hint="default"/>
      </w:rPr>
    </w:lvl>
    <w:lvl w:ilvl="2" w:tplc="F42A9AB2">
      <w:start w:val="1"/>
      <w:numFmt w:val="bullet"/>
      <w:pStyle w:val="FTbulletline3"/>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C815BF"/>
    <w:multiLevelType w:val="hybridMultilevel"/>
    <w:tmpl w:val="C47EC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1E5541"/>
    <w:multiLevelType w:val="hybridMultilevel"/>
    <w:tmpl w:val="FB14DBF8"/>
    <w:lvl w:ilvl="0" w:tplc="56764E72">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A3329"/>
    <w:multiLevelType w:val="hybridMultilevel"/>
    <w:tmpl w:val="C7801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C0886"/>
    <w:multiLevelType w:val="hybridMultilevel"/>
    <w:tmpl w:val="7DA80C62"/>
    <w:lvl w:ilvl="0" w:tplc="6CA460B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D3800"/>
    <w:multiLevelType w:val="multilevel"/>
    <w:tmpl w:val="1646C96E"/>
    <w:lvl w:ilvl="0">
      <w:start w:val="1"/>
      <w:numFmt w:val="decimal"/>
      <w:lvlText w:val="%1"/>
      <w:lvlJc w:val="left"/>
      <w:pPr>
        <w:ind w:left="720" w:hanging="576"/>
      </w:pPr>
      <w:rPr>
        <w:rFonts w:asciiTheme="minorHAnsi" w:hAnsiTheme="minorHAnsi" w:hint="default"/>
      </w:rPr>
    </w:lvl>
    <w:lvl w:ilvl="1">
      <w:start w:val="1"/>
      <w:numFmt w:val="bullet"/>
      <w:lvlText w:val="­"/>
      <w:lvlJc w:val="left"/>
      <w:pPr>
        <w:ind w:left="1440" w:hanging="576"/>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700B1918"/>
    <w:multiLevelType w:val="hybridMultilevel"/>
    <w:tmpl w:val="806877AA"/>
    <w:lvl w:ilvl="0" w:tplc="DE829BE2">
      <w:start w:val="1"/>
      <w:numFmt w:val="bullet"/>
      <w:pStyle w:val="Checklis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855E0D"/>
    <w:multiLevelType w:val="hybridMultilevel"/>
    <w:tmpl w:val="7FAEB446"/>
    <w:lvl w:ilvl="0" w:tplc="11A66944">
      <w:start w:val="1"/>
      <w:numFmt w:val="bullet"/>
      <w:lvlText w:val=""/>
      <w:lvlJc w:val="left"/>
      <w:pPr>
        <w:ind w:left="360" w:hanging="360"/>
      </w:pPr>
      <w:rPr>
        <w:rFonts w:ascii="Symbol" w:hAnsi="Symbol" w:hint="default"/>
      </w:rPr>
    </w:lvl>
    <w:lvl w:ilvl="1" w:tplc="A0429DDC">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0"/>
  </w:num>
  <w:num w:numId="4">
    <w:abstractNumId w:val="15"/>
  </w:num>
  <w:num w:numId="5">
    <w:abstractNumId w:val="6"/>
  </w:num>
  <w:num w:numId="6">
    <w:abstractNumId w:val="1"/>
  </w:num>
  <w:num w:numId="7">
    <w:abstractNumId w:val="11"/>
  </w:num>
  <w:num w:numId="8">
    <w:abstractNumId w:val="5"/>
  </w:num>
  <w:num w:numId="9">
    <w:abstractNumId w:val="13"/>
  </w:num>
  <w:num w:numId="10">
    <w:abstractNumId w:val="12"/>
  </w:num>
  <w:num w:numId="11">
    <w:abstractNumId w:val="8"/>
  </w:num>
  <w:num w:numId="12">
    <w:abstractNumId w:val="10"/>
  </w:num>
  <w:num w:numId="13">
    <w:abstractNumId w:val="7"/>
  </w:num>
  <w:num w:numId="14">
    <w:abstractNumId w:val="14"/>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D7C"/>
    <w:rsid w:val="00031E56"/>
    <w:rsid w:val="000443DE"/>
    <w:rsid w:val="0005003B"/>
    <w:rsid w:val="000666E0"/>
    <w:rsid w:val="00080464"/>
    <w:rsid w:val="00081CCD"/>
    <w:rsid w:val="00095069"/>
    <w:rsid w:val="000B0B46"/>
    <w:rsid w:val="000C5248"/>
    <w:rsid w:val="00105401"/>
    <w:rsid w:val="00114AB0"/>
    <w:rsid w:val="00136FA5"/>
    <w:rsid w:val="00151E95"/>
    <w:rsid w:val="001671A3"/>
    <w:rsid w:val="001845EC"/>
    <w:rsid w:val="001B5CE1"/>
    <w:rsid w:val="001C75AF"/>
    <w:rsid w:val="001D09C9"/>
    <w:rsid w:val="001F6E90"/>
    <w:rsid w:val="00214745"/>
    <w:rsid w:val="002278FE"/>
    <w:rsid w:val="002340F5"/>
    <w:rsid w:val="00255F75"/>
    <w:rsid w:val="00265CC5"/>
    <w:rsid w:val="002837A2"/>
    <w:rsid w:val="002B2F27"/>
    <w:rsid w:val="002B5866"/>
    <w:rsid w:val="002D0D4C"/>
    <w:rsid w:val="002F40FC"/>
    <w:rsid w:val="002F5483"/>
    <w:rsid w:val="00332493"/>
    <w:rsid w:val="00335A23"/>
    <w:rsid w:val="00354B61"/>
    <w:rsid w:val="00355751"/>
    <w:rsid w:val="00356256"/>
    <w:rsid w:val="0039139D"/>
    <w:rsid w:val="003A0F3C"/>
    <w:rsid w:val="003A0FA5"/>
    <w:rsid w:val="003A103C"/>
    <w:rsid w:val="003A5473"/>
    <w:rsid w:val="003C5DAF"/>
    <w:rsid w:val="003F1FC2"/>
    <w:rsid w:val="003F5533"/>
    <w:rsid w:val="003F6B0F"/>
    <w:rsid w:val="00412EB0"/>
    <w:rsid w:val="00415EF3"/>
    <w:rsid w:val="00420483"/>
    <w:rsid w:val="0043698B"/>
    <w:rsid w:val="00456C6F"/>
    <w:rsid w:val="004721CD"/>
    <w:rsid w:val="00475AB7"/>
    <w:rsid w:val="0049526C"/>
    <w:rsid w:val="004A5FAA"/>
    <w:rsid w:val="004A689F"/>
    <w:rsid w:val="00522465"/>
    <w:rsid w:val="00523A9A"/>
    <w:rsid w:val="00526CDE"/>
    <w:rsid w:val="00561C34"/>
    <w:rsid w:val="00577943"/>
    <w:rsid w:val="00580B84"/>
    <w:rsid w:val="00582950"/>
    <w:rsid w:val="00585F3D"/>
    <w:rsid w:val="00585F9E"/>
    <w:rsid w:val="00590884"/>
    <w:rsid w:val="005970E5"/>
    <w:rsid w:val="005A2F1D"/>
    <w:rsid w:val="005A59F8"/>
    <w:rsid w:val="005A6927"/>
    <w:rsid w:val="005B1D7C"/>
    <w:rsid w:val="005B1DB2"/>
    <w:rsid w:val="005C6087"/>
    <w:rsid w:val="005E172B"/>
    <w:rsid w:val="00611891"/>
    <w:rsid w:val="0063730A"/>
    <w:rsid w:val="00643099"/>
    <w:rsid w:val="00645CD2"/>
    <w:rsid w:val="0065745C"/>
    <w:rsid w:val="0067731A"/>
    <w:rsid w:val="00685F99"/>
    <w:rsid w:val="00690730"/>
    <w:rsid w:val="00695E8F"/>
    <w:rsid w:val="006C1C6C"/>
    <w:rsid w:val="006C6202"/>
    <w:rsid w:val="007152C3"/>
    <w:rsid w:val="0071593E"/>
    <w:rsid w:val="00726D19"/>
    <w:rsid w:val="00737707"/>
    <w:rsid w:val="00795985"/>
    <w:rsid w:val="007A2A39"/>
    <w:rsid w:val="007D154B"/>
    <w:rsid w:val="007D623E"/>
    <w:rsid w:val="007E4678"/>
    <w:rsid w:val="007F279A"/>
    <w:rsid w:val="00823BA4"/>
    <w:rsid w:val="00824483"/>
    <w:rsid w:val="00833246"/>
    <w:rsid w:val="0086638A"/>
    <w:rsid w:val="008779B6"/>
    <w:rsid w:val="00891D34"/>
    <w:rsid w:val="008933D8"/>
    <w:rsid w:val="008A1BC3"/>
    <w:rsid w:val="008B0AED"/>
    <w:rsid w:val="008C0A83"/>
    <w:rsid w:val="008D300F"/>
    <w:rsid w:val="009004E9"/>
    <w:rsid w:val="00902804"/>
    <w:rsid w:val="00903F44"/>
    <w:rsid w:val="009146B2"/>
    <w:rsid w:val="00920D4D"/>
    <w:rsid w:val="00925E52"/>
    <w:rsid w:val="009270AD"/>
    <w:rsid w:val="00935A3D"/>
    <w:rsid w:val="00945E0E"/>
    <w:rsid w:val="00957884"/>
    <w:rsid w:val="009617F9"/>
    <w:rsid w:val="00971FC0"/>
    <w:rsid w:val="009864E9"/>
    <w:rsid w:val="009A37D7"/>
    <w:rsid w:val="009B72C8"/>
    <w:rsid w:val="00A06400"/>
    <w:rsid w:val="00A219C7"/>
    <w:rsid w:val="00A50DC5"/>
    <w:rsid w:val="00A51CE2"/>
    <w:rsid w:val="00A66FD4"/>
    <w:rsid w:val="00AB40E7"/>
    <w:rsid w:val="00AB6546"/>
    <w:rsid w:val="00AB781A"/>
    <w:rsid w:val="00AC57B7"/>
    <w:rsid w:val="00AD49B3"/>
    <w:rsid w:val="00AE72DB"/>
    <w:rsid w:val="00AF62FE"/>
    <w:rsid w:val="00AF79E4"/>
    <w:rsid w:val="00B074E7"/>
    <w:rsid w:val="00B2122A"/>
    <w:rsid w:val="00B23397"/>
    <w:rsid w:val="00B538B9"/>
    <w:rsid w:val="00B56685"/>
    <w:rsid w:val="00B6234B"/>
    <w:rsid w:val="00B750E1"/>
    <w:rsid w:val="00B778CF"/>
    <w:rsid w:val="00BB7983"/>
    <w:rsid w:val="00BC72A0"/>
    <w:rsid w:val="00BD054A"/>
    <w:rsid w:val="00C17AE9"/>
    <w:rsid w:val="00C27233"/>
    <w:rsid w:val="00C41BAA"/>
    <w:rsid w:val="00C52EBF"/>
    <w:rsid w:val="00C77F0D"/>
    <w:rsid w:val="00C85540"/>
    <w:rsid w:val="00CB35DC"/>
    <w:rsid w:val="00CB5421"/>
    <w:rsid w:val="00CB649A"/>
    <w:rsid w:val="00CD57D9"/>
    <w:rsid w:val="00CD68D2"/>
    <w:rsid w:val="00CF3085"/>
    <w:rsid w:val="00D15B26"/>
    <w:rsid w:val="00D35B51"/>
    <w:rsid w:val="00D373BF"/>
    <w:rsid w:val="00D8715B"/>
    <w:rsid w:val="00DA275A"/>
    <w:rsid w:val="00DA6671"/>
    <w:rsid w:val="00DC5036"/>
    <w:rsid w:val="00DE7FED"/>
    <w:rsid w:val="00DF5FF0"/>
    <w:rsid w:val="00E03142"/>
    <w:rsid w:val="00E2553D"/>
    <w:rsid w:val="00E274B9"/>
    <w:rsid w:val="00E44387"/>
    <w:rsid w:val="00E62547"/>
    <w:rsid w:val="00EA2A56"/>
    <w:rsid w:val="00EA3322"/>
    <w:rsid w:val="00EA62CF"/>
    <w:rsid w:val="00EA7983"/>
    <w:rsid w:val="00EB154D"/>
    <w:rsid w:val="00EB2691"/>
    <w:rsid w:val="00EC52D7"/>
    <w:rsid w:val="00EC586D"/>
    <w:rsid w:val="00EE2BA5"/>
    <w:rsid w:val="00EF7EB5"/>
    <w:rsid w:val="00F07553"/>
    <w:rsid w:val="00F247FC"/>
    <w:rsid w:val="00FA734E"/>
    <w:rsid w:val="00FB1920"/>
    <w:rsid w:val="00FD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A0361"/>
  <w15:docId w15:val="{034C8B53-E823-494F-AC2A-92556AF8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36466" w:themeColor="text1"/>
        <w:sz w:val="22"/>
        <w:szCs w:val="22"/>
        <w:lang w:val="en-US" w:eastAsia="en-US" w:bidi="ar-SA"/>
      </w:rPr>
    </w:rPrDefault>
    <w:pPrDefault>
      <w:pPr>
        <w:spacing w:after="180" w:line="30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locked="1"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DC5"/>
    <w:pPr>
      <w:tabs>
        <w:tab w:val="left" w:pos="1872"/>
      </w:tabs>
    </w:pPr>
    <w:rPr>
      <w:rFonts w:ascii="Century Gothic" w:hAnsi="Century Gothic"/>
      <w:color w:val="000000"/>
    </w:rPr>
  </w:style>
  <w:style w:type="paragraph" w:styleId="Heading1">
    <w:name w:val="heading 1"/>
    <w:basedOn w:val="FTSectionTitlenobold"/>
    <w:next w:val="Heading2"/>
    <w:link w:val="Heading1Char"/>
    <w:uiPriority w:val="1"/>
    <w:qFormat/>
    <w:rsid w:val="00526CDE"/>
    <w:pPr>
      <w:outlineLvl w:val="0"/>
    </w:pPr>
    <w:rPr>
      <w:b/>
      <w:color w:val="002F6C" w:themeColor="accent1"/>
      <w:sz w:val="58"/>
    </w:rPr>
  </w:style>
  <w:style w:type="paragraph" w:styleId="Heading2">
    <w:name w:val="heading 2"/>
    <w:basedOn w:val="Heading1"/>
    <w:next w:val="Normal"/>
    <w:link w:val="Heading2Char"/>
    <w:uiPriority w:val="2"/>
    <w:unhideWhenUsed/>
    <w:qFormat/>
    <w:rsid w:val="00526CDE"/>
    <w:pPr>
      <w:spacing w:before="40" w:after="240" w:line="420" w:lineRule="atLeast"/>
      <w:outlineLvl w:val="1"/>
    </w:pPr>
    <w:rPr>
      <w:sz w:val="36"/>
      <w:szCs w:val="26"/>
    </w:rPr>
  </w:style>
  <w:style w:type="paragraph" w:styleId="Heading3">
    <w:name w:val="heading 3"/>
    <w:aliases w:val="TBL Title"/>
    <w:basedOn w:val="Normal"/>
    <w:next w:val="Normal"/>
    <w:link w:val="Heading3Char"/>
    <w:uiPriority w:val="13"/>
    <w:unhideWhenUsed/>
    <w:qFormat/>
    <w:rsid w:val="008933D8"/>
    <w:pPr>
      <w:keepNext/>
      <w:keepLines/>
      <w:spacing w:before="40" w:after="120"/>
      <w:outlineLvl w:val="2"/>
    </w:pPr>
    <w:rPr>
      <w:rFonts w:eastAsiaTheme="majorEastAsia" w:cstheme="majorBidi"/>
      <w:b/>
      <w:caps/>
      <w:color w:val="001735" w:themeColor="accent1" w:themeShade="7F"/>
      <w:spacing w:val="26"/>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F07553"/>
    <w:pPr>
      <w:tabs>
        <w:tab w:val="center" w:pos="4680"/>
        <w:tab w:val="right" w:pos="9360"/>
      </w:tabs>
      <w:spacing w:after="0" w:line="240" w:lineRule="auto"/>
    </w:pPr>
  </w:style>
  <w:style w:type="character" w:customStyle="1" w:styleId="Heading1Char">
    <w:name w:val="Heading 1 Char"/>
    <w:basedOn w:val="DefaultParagraphFont"/>
    <w:link w:val="Heading1"/>
    <w:uiPriority w:val="1"/>
    <w:rsid w:val="00526CDE"/>
    <w:rPr>
      <w:rFonts w:cs="Arial"/>
      <w:b/>
      <w:color w:val="002F6C" w:themeColor="accent1"/>
      <w:sz w:val="58"/>
    </w:rPr>
  </w:style>
  <w:style w:type="character" w:customStyle="1" w:styleId="Heading2Char">
    <w:name w:val="Heading 2 Char"/>
    <w:basedOn w:val="DefaultParagraphFont"/>
    <w:link w:val="Heading2"/>
    <w:uiPriority w:val="2"/>
    <w:rsid w:val="00526CDE"/>
    <w:rPr>
      <w:rFonts w:cs="Arial"/>
      <w:b/>
      <w:color w:val="002F6C" w:themeColor="accent1"/>
      <w:sz w:val="36"/>
      <w:szCs w:val="26"/>
    </w:rPr>
  </w:style>
  <w:style w:type="paragraph" w:customStyle="1" w:styleId="Subhead1">
    <w:name w:val="Subhead 1"/>
    <w:basedOn w:val="Heading2"/>
    <w:link w:val="Subhead1Char"/>
    <w:uiPriority w:val="2"/>
    <w:qFormat/>
    <w:rsid w:val="00420483"/>
    <w:pPr>
      <w:spacing w:before="0" w:after="360"/>
      <w:contextualSpacing/>
    </w:pPr>
    <w:rPr>
      <w:color w:val="009CDE" w:themeColor="accent2"/>
      <w:sz w:val="32"/>
    </w:rPr>
  </w:style>
  <w:style w:type="paragraph" w:styleId="BodyText">
    <w:name w:val="Body Text"/>
    <w:basedOn w:val="Normal"/>
    <w:link w:val="BodyTextChar"/>
    <w:uiPriority w:val="99"/>
    <w:semiHidden/>
    <w:unhideWhenUsed/>
    <w:rsid w:val="002D0D4C"/>
    <w:pPr>
      <w:spacing w:after="120"/>
    </w:pPr>
  </w:style>
  <w:style w:type="character" w:customStyle="1" w:styleId="BodyTextChar">
    <w:name w:val="Body Text Char"/>
    <w:basedOn w:val="DefaultParagraphFont"/>
    <w:link w:val="BodyText"/>
    <w:uiPriority w:val="99"/>
    <w:semiHidden/>
    <w:rsid w:val="002D0D4C"/>
  </w:style>
  <w:style w:type="character" w:customStyle="1" w:styleId="Heading3Char">
    <w:name w:val="Heading 3 Char"/>
    <w:aliases w:val="TBL Title Char"/>
    <w:basedOn w:val="DefaultParagraphFont"/>
    <w:link w:val="Heading3"/>
    <w:uiPriority w:val="13"/>
    <w:rsid w:val="008933D8"/>
    <w:rPr>
      <w:rFonts w:ascii="Century Gothic" w:eastAsiaTheme="majorEastAsia" w:hAnsi="Century Gothic" w:cstheme="majorBidi"/>
      <w:b/>
      <w:caps/>
      <w:color w:val="001735" w:themeColor="accent1" w:themeShade="7F"/>
      <w:spacing w:val="26"/>
      <w:sz w:val="20"/>
      <w:szCs w:val="24"/>
    </w:rPr>
  </w:style>
  <w:style w:type="character" w:customStyle="1" w:styleId="HeaderChar">
    <w:name w:val="Header Char"/>
    <w:basedOn w:val="DefaultParagraphFont"/>
    <w:link w:val="Header"/>
    <w:uiPriority w:val="99"/>
    <w:rsid w:val="00F07553"/>
  </w:style>
  <w:style w:type="paragraph" w:styleId="Footer">
    <w:name w:val="footer"/>
    <w:basedOn w:val="Normal"/>
    <w:link w:val="FooterChar"/>
    <w:uiPriority w:val="99"/>
    <w:unhideWhenUsed/>
    <w:locked/>
    <w:rsid w:val="00F07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553"/>
  </w:style>
  <w:style w:type="character" w:customStyle="1" w:styleId="Subhead1Char">
    <w:name w:val="Subhead 1 Char"/>
    <w:basedOn w:val="Heading2Char"/>
    <w:link w:val="Subhead1"/>
    <w:uiPriority w:val="2"/>
    <w:rsid w:val="00420483"/>
    <w:rPr>
      <w:rFonts w:ascii="Century Gothic" w:eastAsiaTheme="majorEastAsia" w:hAnsi="Century Gothic" w:cstheme="majorBidi"/>
      <w:b/>
      <w:color w:val="009CDE" w:themeColor="accent2"/>
      <w:sz w:val="32"/>
      <w:szCs w:val="26"/>
    </w:rPr>
  </w:style>
  <w:style w:type="paragraph" w:customStyle="1" w:styleId="Copyright">
    <w:name w:val="Copyright"/>
    <w:basedOn w:val="Normal"/>
    <w:link w:val="CopyrightChar"/>
    <w:uiPriority w:val="14"/>
    <w:qFormat/>
    <w:rsid w:val="00D373BF"/>
    <w:pPr>
      <w:tabs>
        <w:tab w:val="right" w:pos="10080"/>
      </w:tabs>
      <w:spacing w:after="60" w:line="170" w:lineRule="exact"/>
      <w:ind w:left="-720" w:right="-720"/>
    </w:pPr>
    <w:rPr>
      <w:rFonts w:cs="Arial"/>
      <w:color w:val="B1B3B3" w:themeColor="accent3"/>
      <w:sz w:val="16"/>
      <w:szCs w:val="16"/>
    </w:rPr>
  </w:style>
  <w:style w:type="table" w:styleId="TableGrid">
    <w:name w:val="Table Grid"/>
    <w:basedOn w:val="TableNormal"/>
    <w:uiPriority w:val="39"/>
    <w:locked/>
    <w:rsid w:val="00080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rightChar">
    <w:name w:val="Copyright Char"/>
    <w:basedOn w:val="DefaultParagraphFont"/>
    <w:link w:val="Copyright"/>
    <w:uiPriority w:val="14"/>
    <w:rsid w:val="00D373BF"/>
    <w:rPr>
      <w:rFonts w:ascii="Century Gothic" w:hAnsi="Century Gothic" w:cs="Arial"/>
      <w:color w:val="B1B3B3" w:themeColor="accent3"/>
      <w:sz w:val="16"/>
      <w:szCs w:val="16"/>
    </w:rPr>
  </w:style>
  <w:style w:type="table" w:customStyle="1" w:styleId="PlainTable11">
    <w:name w:val="Plain Table 11"/>
    <w:basedOn w:val="TableNormal"/>
    <w:uiPriority w:val="41"/>
    <w:locked/>
    <w:rsid w:val="000804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qFormat/>
    <w:rsid w:val="00D373BF"/>
    <w:pPr>
      <w:spacing w:after="90" w:line="240" w:lineRule="exact"/>
      <w:ind w:left="-720" w:right="-720"/>
    </w:pPr>
    <w:rPr>
      <w:sz w:val="20"/>
      <w:szCs w:val="20"/>
    </w:rPr>
  </w:style>
  <w:style w:type="character" w:customStyle="1" w:styleId="FootnoteTextChar">
    <w:name w:val="Footnote Text Char"/>
    <w:basedOn w:val="DefaultParagraphFont"/>
    <w:link w:val="FootnoteText"/>
    <w:uiPriority w:val="99"/>
    <w:rsid w:val="00D373BF"/>
    <w:rPr>
      <w:rFonts w:ascii="Century Gothic" w:hAnsi="Century Gothic"/>
      <w:sz w:val="20"/>
      <w:szCs w:val="20"/>
    </w:rPr>
  </w:style>
  <w:style w:type="character" w:styleId="FootnoteReference">
    <w:name w:val="footnote reference"/>
    <w:basedOn w:val="DefaultParagraphFont"/>
    <w:uiPriority w:val="99"/>
    <w:semiHidden/>
    <w:unhideWhenUsed/>
    <w:rsid w:val="00945E0E"/>
    <w:rPr>
      <w:vertAlign w:val="superscript"/>
    </w:rPr>
  </w:style>
  <w:style w:type="character" w:customStyle="1" w:styleId="FootnoteNumber">
    <w:name w:val="Footnote Number"/>
    <w:basedOn w:val="FootnoteReference"/>
    <w:uiPriority w:val="15"/>
    <w:qFormat/>
    <w:rsid w:val="00AD49B3"/>
    <w:rPr>
      <w:vertAlign w:val="superscript"/>
    </w:rPr>
  </w:style>
  <w:style w:type="table" w:customStyle="1" w:styleId="ListTable3-Accent11">
    <w:name w:val="List Table 3 - Accent 11"/>
    <w:aliases w:val="MM Table"/>
    <w:basedOn w:val="TableNormal"/>
    <w:uiPriority w:val="48"/>
    <w:rsid w:val="00081CCD"/>
    <w:pPr>
      <w:spacing w:after="0" w:line="240" w:lineRule="auto"/>
    </w:pPr>
    <w:tblPr>
      <w:tblStyleRowBandSize w:val="1"/>
      <w:tblBorders>
        <w:bottom w:val="single" w:sz="4" w:space="0" w:color="002F6C" w:themeColor="accent1"/>
        <w:insideH w:val="single" w:sz="4" w:space="0" w:color="002F6C" w:themeColor="accent1"/>
        <w:insideV w:val="single" w:sz="4" w:space="0" w:color="002F6C" w:themeColor="accent1"/>
      </w:tblBorders>
      <w:tblCellMar>
        <w:top w:w="72" w:type="dxa"/>
        <w:left w:w="72" w:type="dxa"/>
        <w:bottom w:w="72" w:type="dxa"/>
        <w:right w:w="72" w:type="dxa"/>
      </w:tblCellMar>
    </w:tblPr>
    <w:trPr>
      <w:cantSplit/>
    </w:trPr>
    <w:tcPr>
      <w:shd w:val="clear" w:color="auto" w:fill="auto"/>
    </w:tcPr>
    <w:tblStylePr w:type="firstRow">
      <w:rPr>
        <w:b/>
        <w:bCs/>
        <w:color w:val="002F6C" w:themeColor="text2"/>
      </w:rPr>
      <w:tblPr/>
      <w:tcPr>
        <w:tcBorders>
          <w:top w:val="nil"/>
          <w:left w:val="nil"/>
          <w:bottom w:val="nil"/>
          <w:right w:val="nil"/>
          <w:insideH w:val="nil"/>
          <w:insideV w:val="nil"/>
          <w:tl2br w:val="nil"/>
          <w:tr2bl w:val="nil"/>
        </w:tcBorders>
        <w:shd w:val="clear" w:color="auto" w:fill="auto"/>
      </w:tcPr>
    </w:tblStylePr>
    <w:tblStylePr w:type="lastRow">
      <w:rPr>
        <w:b/>
        <w:bCs/>
      </w:rPr>
      <w:tblPr/>
      <w:tcPr>
        <w:tcBorders>
          <w:top w:val="double" w:sz="4" w:space="0" w:color="002F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Horz">
      <w:rPr>
        <w:color w:val="002F6C" w:themeColor="text2"/>
      </w:rPr>
      <w:tblPr/>
      <w:tcPr>
        <w:shd w:val="clear" w:color="auto" w:fill="F3F3F3"/>
      </w:tcPr>
    </w:tblStylePr>
    <w:tblStylePr w:type="band2Horz">
      <w:rPr>
        <w:color w:val="002F6C" w:themeColor="text2"/>
      </w:rPr>
      <w:tblPr/>
      <w:tcPr>
        <w:tcBorders>
          <w:insideH w:val="nil"/>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F6C" w:themeColor="accent1"/>
          <w:left w:val="nil"/>
        </w:tcBorders>
      </w:tcPr>
    </w:tblStylePr>
    <w:tblStylePr w:type="swCell">
      <w:tblPr/>
      <w:tcPr>
        <w:tcBorders>
          <w:top w:val="double" w:sz="4" w:space="0" w:color="002F6C" w:themeColor="accent1"/>
          <w:right w:val="nil"/>
        </w:tcBorders>
      </w:tcPr>
    </w:tblStylePr>
  </w:style>
  <w:style w:type="paragraph" w:styleId="ListParagraph">
    <w:name w:val="List Paragraph"/>
    <w:basedOn w:val="Normal"/>
    <w:link w:val="ListParagraphChar"/>
    <w:uiPriority w:val="34"/>
    <w:qFormat/>
    <w:rsid w:val="00031E56"/>
    <w:pPr>
      <w:numPr>
        <w:numId w:val="10"/>
      </w:numPr>
      <w:contextualSpacing/>
    </w:pPr>
  </w:style>
  <w:style w:type="paragraph" w:customStyle="1" w:styleId="TBLColumnHead">
    <w:name w:val="TBL ColumnHead"/>
    <w:basedOn w:val="Normal"/>
    <w:link w:val="TBLColumnHeadChar"/>
    <w:uiPriority w:val="12"/>
    <w:qFormat/>
    <w:rsid w:val="00A51CE2"/>
    <w:pPr>
      <w:spacing w:after="0" w:line="240" w:lineRule="auto"/>
      <w:jc w:val="center"/>
    </w:pPr>
    <w:rPr>
      <w:caps/>
      <w:color w:val="002F6C" w:themeColor="accent1"/>
    </w:rPr>
  </w:style>
  <w:style w:type="paragraph" w:customStyle="1" w:styleId="List-Level2">
    <w:name w:val="List - Level 2"/>
    <w:basedOn w:val="ListParagraph"/>
    <w:link w:val="List-Level2Char"/>
    <w:uiPriority w:val="9"/>
    <w:qFormat/>
    <w:rsid w:val="003F1FC2"/>
    <w:pPr>
      <w:numPr>
        <w:ilvl w:val="1"/>
        <w:numId w:val="8"/>
      </w:numPr>
      <w:ind w:left="990" w:hanging="270"/>
    </w:pPr>
  </w:style>
  <w:style w:type="paragraph" w:customStyle="1" w:styleId="List-LASTspacebelow">
    <w:name w:val="List - LAST (space below)"/>
    <w:basedOn w:val="ListParagraph"/>
    <w:next w:val="Normal"/>
    <w:link w:val="List-LASTspacebelowChar"/>
    <w:uiPriority w:val="8"/>
    <w:rsid w:val="003F1FC2"/>
  </w:style>
  <w:style w:type="character" w:customStyle="1" w:styleId="ListParagraphChar">
    <w:name w:val="List Paragraph Char"/>
    <w:basedOn w:val="DefaultParagraphFont"/>
    <w:link w:val="ListParagraph"/>
    <w:uiPriority w:val="34"/>
    <w:rsid w:val="00031E56"/>
    <w:rPr>
      <w:rFonts w:ascii="Century Gothic" w:hAnsi="Century Gothic"/>
    </w:rPr>
  </w:style>
  <w:style w:type="character" w:customStyle="1" w:styleId="List-Level2Char">
    <w:name w:val="List - Level 2 Char"/>
    <w:basedOn w:val="ListParagraphChar"/>
    <w:link w:val="List-Level2"/>
    <w:uiPriority w:val="9"/>
    <w:rsid w:val="003A0F3C"/>
    <w:rPr>
      <w:rFonts w:ascii="Century Gothic" w:hAnsi="Century Gothic"/>
    </w:rPr>
  </w:style>
  <w:style w:type="paragraph" w:customStyle="1" w:styleId="List-Lvl2LASTspacebelow">
    <w:name w:val="List - Lvl2 LAST (space below)"/>
    <w:basedOn w:val="List-Level2"/>
    <w:next w:val="Normal"/>
    <w:link w:val="List-Lvl2LASTspacebelowChar"/>
    <w:uiPriority w:val="10"/>
    <w:rsid w:val="003F6B0F"/>
    <w:pPr>
      <w:ind w:left="994" w:hanging="274"/>
    </w:pPr>
  </w:style>
  <w:style w:type="character" w:customStyle="1" w:styleId="List-LASTspacebelowChar">
    <w:name w:val="List - LAST (space below) Char"/>
    <w:basedOn w:val="ListParagraphChar"/>
    <w:link w:val="List-LASTspacebelow"/>
    <w:uiPriority w:val="8"/>
    <w:rsid w:val="003A0F3C"/>
    <w:rPr>
      <w:rFonts w:ascii="Century Gothic" w:hAnsi="Century Gothic"/>
    </w:rPr>
  </w:style>
  <w:style w:type="paragraph" w:customStyle="1" w:styleId="Call-out">
    <w:name w:val="Call-out"/>
    <w:basedOn w:val="Normal"/>
    <w:link w:val="Call-outChar"/>
    <w:uiPriority w:val="5"/>
    <w:qFormat/>
    <w:rsid w:val="00D373BF"/>
    <w:pPr>
      <w:spacing w:before="240" w:line="240" w:lineRule="auto"/>
    </w:pPr>
    <w:rPr>
      <w:rFonts w:ascii="Times New Roman" w:hAnsi="Times New Roman"/>
      <w:color w:val="002F6C" w:themeColor="text2"/>
      <w:sz w:val="32"/>
    </w:rPr>
  </w:style>
  <w:style w:type="character" w:customStyle="1" w:styleId="List-Lvl2LASTspacebelowChar">
    <w:name w:val="List - Lvl2 LAST (space below) Char"/>
    <w:basedOn w:val="List-Level2Char"/>
    <w:link w:val="List-Lvl2LASTspacebelow"/>
    <w:uiPriority w:val="10"/>
    <w:rsid w:val="003F6B0F"/>
    <w:rPr>
      <w:rFonts w:ascii="Century Gothic" w:hAnsi="Century Gothic"/>
    </w:rPr>
  </w:style>
  <w:style w:type="paragraph" w:customStyle="1" w:styleId="Subhead2">
    <w:name w:val="Subhead 2"/>
    <w:basedOn w:val="Normal"/>
    <w:next w:val="Normal"/>
    <w:link w:val="Subhead2Char"/>
    <w:uiPriority w:val="3"/>
    <w:qFormat/>
    <w:rsid w:val="005970E5"/>
    <w:pPr>
      <w:keepNext/>
      <w:spacing w:after="120" w:line="400" w:lineRule="exact"/>
    </w:pPr>
    <w:rPr>
      <w:b/>
      <w:spacing w:val="8"/>
      <w:sz w:val="28"/>
      <w:szCs w:val="28"/>
    </w:rPr>
  </w:style>
  <w:style w:type="character" w:customStyle="1" w:styleId="Call-outChar">
    <w:name w:val="Call-out Char"/>
    <w:basedOn w:val="DefaultParagraphFont"/>
    <w:link w:val="Call-out"/>
    <w:uiPriority w:val="5"/>
    <w:rsid w:val="00D373BF"/>
    <w:rPr>
      <w:rFonts w:ascii="Times New Roman" w:hAnsi="Times New Roman"/>
      <w:color w:val="002F6C" w:themeColor="text2"/>
      <w:sz w:val="32"/>
    </w:rPr>
  </w:style>
  <w:style w:type="paragraph" w:customStyle="1" w:styleId="Subhead3">
    <w:name w:val="Subhead 3"/>
    <w:basedOn w:val="Subhead2"/>
    <w:next w:val="Normal"/>
    <w:link w:val="Subhead3Char"/>
    <w:uiPriority w:val="4"/>
    <w:qFormat/>
    <w:rsid w:val="00D373BF"/>
    <w:pPr>
      <w:spacing w:after="0"/>
    </w:pPr>
    <w:rPr>
      <w:rFonts w:ascii="Times New Roman" w:hAnsi="Times New Roman"/>
      <w:b w:val="0"/>
      <w:color w:val="009CDE" w:themeColor="accent2"/>
    </w:rPr>
  </w:style>
  <w:style w:type="character" w:customStyle="1" w:styleId="Subhead2Char">
    <w:name w:val="Subhead 2 Char"/>
    <w:basedOn w:val="DefaultParagraphFont"/>
    <w:link w:val="Subhead2"/>
    <w:uiPriority w:val="3"/>
    <w:rsid w:val="003A0F3C"/>
    <w:rPr>
      <w:b/>
      <w:spacing w:val="8"/>
      <w:sz w:val="28"/>
      <w:szCs w:val="28"/>
    </w:rPr>
  </w:style>
  <w:style w:type="paragraph" w:styleId="EndnoteText">
    <w:name w:val="endnote text"/>
    <w:basedOn w:val="Normal"/>
    <w:link w:val="EndnoteTextChar"/>
    <w:uiPriority w:val="99"/>
    <w:semiHidden/>
    <w:unhideWhenUsed/>
    <w:rsid w:val="005970E5"/>
    <w:pPr>
      <w:spacing w:after="0" w:line="240" w:lineRule="auto"/>
    </w:pPr>
    <w:rPr>
      <w:sz w:val="20"/>
      <w:szCs w:val="20"/>
    </w:rPr>
  </w:style>
  <w:style w:type="character" w:customStyle="1" w:styleId="Subhead3Char">
    <w:name w:val="Subhead 3 Char"/>
    <w:basedOn w:val="Subhead2Char"/>
    <w:link w:val="Subhead3"/>
    <w:uiPriority w:val="4"/>
    <w:rsid w:val="00D373BF"/>
    <w:rPr>
      <w:rFonts w:ascii="Times New Roman" w:hAnsi="Times New Roman"/>
      <w:b w:val="0"/>
      <w:color w:val="009CDE" w:themeColor="accent2"/>
      <w:spacing w:val="8"/>
      <w:sz w:val="28"/>
      <w:szCs w:val="28"/>
    </w:rPr>
  </w:style>
  <w:style w:type="character" w:customStyle="1" w:styleId="EndnoteTextChar">
    <w:name w:val="Endnote Text Char"/>
    <w:basedOn w:val="DefaultParagraphFont"/>
    <w:link w:val="EndnoteText"/>
    <w:uiPriority w:val="99"/>
    <w:semiHidden/>
    <w:rsid w:val="005970E5"/>
    <w:rPr>
      <w:sz w:val="20"/>
      <w:szCs w:val="20"/>
    </w:rPr>
  </w:style>
  <w:style w:type="character" w:styleId="EndnoteReference">
    <w:name w:val="endnote reference"/>
    <w:basedOn w:val="DefaultParagraphFont"/>
    <w:uiPriority w:val="99"/>
    <w:semiHidden/>
    <w:unhideWhenUsed/>
    <w:rsid w:val="005970E5"/>
    <w:rPr>
      <w:vertAlign w:val="superscript"/>
    </w:rPr>
  </w:style>
  <w:style w:type="paragraph" w:customStyle="1" w:styleId="TBLText">
    <w:name w:val="TBL Text"/>
    <w:basedOn w:val="Normal"/>
    <w:link w:val="TBLTextChar"/>
    <w:uiPriority w:val="11"/>
    <w:qFormat/>
    <w:rsid w:val="00A51CE2"/>
    <w:pPr>
      <w:spacing w:after="0" w:line="240" w:lineRule="auto"/>
    </w:pPr>
    <w:rPr>
      <w:b/>
      <w:color w:val="002F6C" w:themeColor="accent1"/>
    </w:rPr>
  </w:style>
  <w:style w:type="character" w:customStyle="1" w:styleId="TBLColumnHeadChar">
    <w:name w:val="TBL ColumnHead Char"/>
    <w:basedOn w:val="DefaultParagraphFont"/>
    <w:link w:val="TBLColumnHead"/>
    <w:uiPriority w:val="12"/>
    <w:rsid w:val="00A51CE2"/>
    <w:rPr>
      <w:rFonts w:ascii="Century Gothic" w:hAnsi="Century Gothic"/>
      <w:caps/>
      <w:color w:val="002F6C" w:themeColor="accent1"/>
    </w:rPr>
  </w:style>
  <w:style w:type="character" w:customStyle="1" w:styleId="TBLTextChar">
    <w:name w:val="TBL Text Char"/>
    <w:basedOn w:val="DefaultParagraphFont"/>
    <w:link w:val="TBLText"/>
    <w:uiPriority w:val="11"/>
    <w:rsid w:val="00A51CE2"/>
    <w:rPr>
      <w:rFonts w:ascii="Century Gothic" w:hAnsi="Century Gothic"/>
      <w:b/>
      <w:color w:val="002F6C" w:themeColor="accent1"/>
    </w:rPr>
  </w:style>
  <w:style w:type="character" w:customStyle="1" w:styleId="Bold">
    <w:name w:val="Bold"/>
    <w:basedOn w:val="DefaultParagraphFont"/>
    <w:uiPriority w:val="1"/>
    <w:qFormat/>
    <w:rsid w:val="00AB6546"/>
    <w:rPr>
      <w:rFonts w:asciiTheme="minorHAnsi" w:hAnsiTheme="minorHAnsi"/>
      <w:b/>
      <w:sz w:val="22"/>
    </w:rPr>
  </w:style>
  <w:style w:type="character" w:customStyle="1" w:styleId="Italic">
    <w:name w:val="Italic"/>
    <w:basedOn w:val="DefaultParagraphFont"/>
    <w:uiPriority w:val="1"/>
    <w:qFormat/>
    <w:rsid w:val="00FA734E"/>
    <w:rPr>
      <w:i/>
    </w:rPr>
  </w:style>
  <w:style w:type="character" w:customStyle="1" w:styleId="BoldItalic">
    <w:name w:val="Bold Italic"/>
    <w:basedOn w:val="Bold"/>
    <w:uiPriority w:val="1"/>
    <w:qFormat/>
    <w:rsid w:val="00FA734E"/>
    <w:rPr>
      <w:rFonts w:asciiTheme="minorHAnsi" w:hAnsiTheme="minorHAnsi"/>
      <w:b/>
      <w:i/>
      <w:sz w:val="22"/>
    </w:rPr>
  </w:style>
  <w:style w:type="paragraph" w:styleId="BalloonText">
    <w:name w:val="Balloon Text"/>
    <w:basedOn w:val="Normal"/>
    <w:link w:val="BalloonTextChar"/>
    <w:uiPriority w:val="99"/>
    <w:semiHidden/>
    <w:unhideWhenUsed/>
    <w:rsid w:val="00903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F44"/>
    <w:rPr>
      <w:rFonts w:ascii="Tahoma" w:hAnsi="Tahoma" w:cs="Tahoma"/>
      <w:sz w:val="16"/>
      <w:szCs w:val="16"/>
    </w:rPr>
  </w:style>
  <w:style w:type="character" w:styleId="CommentReference">
    <w:name w:val="annotation reference"/>
    <w:basedOn w:val="DefaultParagraphFont"/>
    <w:uiPriority w:val="99"/>
    <w:semiHidden/>
    <w:unhideWhenUsed/>
    <w:rsid w:val="009B72C8"/>
    <w:rPr>
      <w:sz w:val="16"/>
      <w:szCs w:val="16"/>
    </w:rPr>
  </w:style>
  <w:style w:type="paragraph" w:styleId="CommentText">
    <w:name w:val="annotation text"/>
    <w:basedOn w:val="Normal"/>
    <w:link w:val="CommentTextChar"/>
    <w:uiPriority w:val="99"/>
    <w:semiHidden/>
    <w:unhideWhenUsed/>
    <w:rsid w:val="009B72C8"/>
    <w:pPr>
      <w:spacing w:before="120" w:after="0" w:line="240" w:lineRule="auto"/>
    </w:pPr>
    <w:rPr>
      <w:rFonts w:ascii="Arial Narrow" w:hAnsi="Arial Narrow"/>
      <w:color w:val="auto"/>
      <w:sz w:val="20"/>
      <w:szCs w:val="20"/>
    </w:rPr>
  </w:style>
  <w:style w:type="character" w:customStyle="1" w:styleId="CommentTextChar">
    <w:name w:val="Comment Text Char"/>
    <w:basedOn w:val="DefaultParagraphFont"/>
    <w:link w:val="CommentText"/>
    <w:uiPriority w:val="99"/>
    <w:semiHidden/>
    <w:rsid w:val="009B72C8"/>
    <w:rPr>
      <w:rFonts w:ascii="Arial Narrow" w:hAnsi="Arial Narrow"/>
      <w:color w:val="auto"/>
      <w:sz w:val="20"/>
      <w:szCs w:val="20"/>
    </w:rPr>
  </w:style>
  <w:style w:type="paragraph" w:customStyle="1" w:styleId="FTSectionTitlenobold">
    <w:name w:val="FT Section Title no bold"/>
    <w:basedOn w:val="Normal"/>
    <w:link w:val="FTSectionTitlenoboldChar"/>
    <w:rsid w:val="00971FC0"/>
    <w:pPr>
      <w:tabs>
        <w:tab w:val="left" w:pos="3326"/>
      </w:tabs>
      <w:spacing w:after="120" w:line="240" w:lineRule="auto"/>
    </w:pPr>
    <w:rPr>
      <w:rFonts w:asciiTheme="minorHAnsi" w:hAnsiTheme="minorHAnsi" w:cs="Arial"/>
    </w:rPr>
  </w:style>
  <w:style w:type="paragraph" w:customStyle="1" w:styleId="FTCopy">
    <w:name w:val="FT Copy"/>
    <w:basedOn w:val="Normal"/>
    <w:link w:val="FTCopyChar"/>
    <w:rsid w:val="009B72C8"/>
    <w:pPr>
      <w:tabs>
        <w:tab w:val="left" w:pos="2790"/>
      </w:tabs>
      <w:spacing w:before="120" w:after="120" w:line="240" w:lineRule="auto"/>
    </w:pPr>
    <w:rPr>
      <w:rFonts w:ascii="Arial Narrow" w:hAnsi="Arial Narrow" w:cs="Arial"/>
      <w:szCs w:val="20"/>
    </w:rPr>
  </w:style>
  <w:style w:type="character" w:customStyle="1" w:styleId="FTSectionTitlenoboldChar">
    <w:name w:val="FT Section Title no bold Char"/>
    <w:basedOn w:val="DefaultParagraphFont"/>
    <w:link w:val="FTSectionTitlenobold"/>
    <w:rsid w:val="00971FC0"/>
    <w:rPr>
      <w:rFonts w:cs="Arial"/>
    </w:rPr>
  </w:style>
  <w:style w:type="paragraph" w:customStyle="1" w:styleId="FTTableheaderrowwhite">
    <w:name w:val="FT Table header row white"/>
    <w:basedOn w:val="Normal"/>
    <w:link w:val="FTTableheaderrowwhiteChar"/>
    <w:rsid w:val="009B72C8"/>
    <w:pPr>
      <w:spacing w:before="40" w:after="40" w:line="240" w:lineRule="auto"/>
      <w:jc w:val="center"/>
    </w:pPr>
    <w:rPr>
      <w:rFonts w:ascii="Arial Narrow" w:hAnsi="Arial Narrow" w:cs="Arial"/>
      <w:color w:val="FFFFFF" w:themeColor="background1"/>
      <w:kern w:val="8"/>
      <w:szCs w:val="20"/>
    </w:rPr>
  </w:style>
  <w:style w:type="character" w:customStyle="1" w:styleId="FTCopyChar">
    <w:name w:val="FT Copy Char"/>
    <w:basedOn w:val="DefaultParagraphFont"/>
    <w:link w:val="FTCopy"/>
    <w:rsid w:val="009B72C8"/>
    <w:rPr>
      <w:rFonts w:ascii="Arial Narrow" w:hAnsi="Arial Narrow" w:cs="Arial"/>
      <w:szCs w:val="20"/>
    </w:rPr>
  </w:style>
  <w:style w:type="character" w:customStyle="1" w:styleId="FTTableheaderrowwhiteChar">
    <w:name w:val="FT Table header row white Char"/>
    <w:basedOn w:val="DefaultParagraphFont"/>
    <w:link w:val="FTTableheaderrowwhite"/>
    <w:rsid w:val="009B72C8"/>
    <w:rPr>
      <w:rFonts w:ascii="Arial Narrow" w:hAnsi="Arial Narrow" w:cs="Arial"/>
      <w:color w:val="FFFFFF" w:themeColor="background1"/>
      <w:kern w:val="8"/>
      <w:szCs w:val="20"/>
    </w:rPr>
  </w:style>
  <w:style w:type="table" w:customStyle="1" w:styleId="FT1">
    <w:name w:val="FT 1"/>
    <w:basedOn w:val="TableNormal"/>
    <w:uiPriority w:val="99"/>
    <w:rsid w:val="00AB6546"/>
    <w:pPr>
      <w:spacing w:after="0" w:line="240" w:lineRule="auto"/>
    </w:pPr>
    <w:rPr>
      <w:rFonts w:ascii="Arial Narrow" w:hAnsi="Arial Narrow"/>
      <w:color w:val="auto"/>
    </w:rPr>
    <w:tblPr>
      <w:tblCellMar>
        <w:top w:w="360" w:type="dxa"/>
        <w:left w:w="58" w:type="dxa"/>
        <w:right w:w="58" w:type="dxa"/>
      </w:tblCellMar>
    </w:tblPr>
    <w:tblStylePr w:type="firstCol">
      <w:rPr>
        <w:rFonts w:ascii="Arial Narrow" w:hAnsi="Arial Narrow"/>
        <w:b/>
        <w:color w:val="000000"/>
        <w:sz w:val="22"/>
      </w:rPr>
    </w:tblStylePr>
    <w:tblStylePr w:type="lastCol">
      <w:rPr>
        <w:rFonts w:ascii="Arial Narrow" w:hAnsi="Arial Narrow"/>
        <w:sz w:val="20"/>
      </w:rPr>
    </w:tblStylePr>
  </w:style>
  <w:style w:type="paragraph" w:customStyle="1" w:styleId="FTbulletline1">
    <w:name w:val="FT bullet line 1"/>
    <w:basedOn w:val="ListParagraph"/>
    <w:next w:val="FTCopy"/>
    <w:link w:val="FTbulletline1Char"/>
    <w:rsid w:val="009B72C8"/>
    <w:pPr>
      <w:numPr>
        <w:numId w:val="11"/>
      </w:numPr>
      <w:spacing w:before="120" w:after="0" w:line="240" w:lineRule="auto"/>
    </w:pPr>
    <w:rPr>
      <w:rFonts w:ascii="Arial Narrow" w:hAnsi="Arial Narrow" w:cs="Arial"/>
      <w:color w:val="auto"/>
      <w:szCs w:val="20"/>
    </w:rPr>
  </w:style>
  <w:style w:type="character" w:customStyle="1" w:styleId="FTbulletline1Char">
    <w:name w:val="FT bullet line 1 Char"/>
    <w:basedOn w:val="ListParagraphChar"/>
    <w:link w:val="FTbulletline1"/>
    <w:rsid w:val="009B72C8"/>
    <w:rPr>
      <w:rFonts w:ascii="Arial Narrow" w:hAnsi="Arial Narrow" w:cs="Arial"/>
      <w:color w:val="auto"/>
      <w:szCs w:val="20"/>
    </w:rPr>
  </w:style>
  <w:style w:type="paragraph" w:customStyle="1" w:styleId="FTbulletline2">
    <w:name w:val="FT bullet line 2"/>
    <w:basedOn w:val="Normal"/>
    <w:link w:val="FTbulletline2Char"/>
    <w:rsid w:val="009B72C8"/>
    <w:pPr>
      <w:numPr>
        <w:ilvl w:val="1"/>
        <w:numId w:val="11"/>
      </w:numPr>
      <w:spacing w:after="0" w:line="240" w:lineRule="auto"/>
      <w:contextualSpacing/>
    </w:pPr>
    <w:rPr>
      <w:rFonts w:ascii="Arial Narrow" w:hAnsi="Arial Narrow" w:cs="Arial"/>
      <w:color w:val="auto"/>
      <w:szCs w:val="20"/>
    </w:rPr>
  </w:style>
  <w:style w:type="character" w:customStyle="1" w:styleId="FTbulletline2Char">
    <w:name w:val="FT bullet line 2 Char"/>
    <w:basedOn w:val="FTbulletline1Char"/>
    <w:link w:val="FTbulletline2"/>
    <w:rsid w:val="009B72C8"/>
    <w:rPr>
      <w:rFonts w:ascii="Arial Narrow" w:hAnsi="Arial Narrow" w:cs="Arial"/>
      <w:color w:val="auto"/>
      <w:szCs w:val="20"/>
    </w:rPr>
  </w:style>
  <w:style w:type="paragraph" w:customStyle="1" w:styleId="FTbulletline3">
    <w:name w:val="FT bullet line 3"/>
    <w:basedOn w:val="Normal"/>
    <w:link w:val="FTbulletline3Char"/>
    <w:rsid w:val="009B72C8"/>
    <w:pPr>
      <w:numPr>
        <w:ilvl w:val="2"/>
        <w:numId w:val="11"/>
      </w:numPr>
      <w:spacing w:after="120" w:line="240" w:lineRule="auto"/>
      <w:contextualSpacing/>
    </w:pPr>
    <w:rPr>
      <w:rFonts w:ascii="Arial Narrow" w:hAnsi="Arial Narrow" w:cs="Arial"/>
      <w:color w:val="auto"/>
      <w:szCs w:val="20"/>
    </w:rPr>
  </w:style>
  <w:style w:type="character" w:customStyle="1" w:styleId="FTbulletline3Char">
    <w:name w:val="FT bullet line 3 Char"/>
    <w:basedOn w:val="FTbulletline1Char"/>
    <w:link w:val="FTbulletline3"/>
    <w:rsid w:val="009B72C8"/>
    <w:rPr>
      <w:rFonts w:ascii="Arial Narrow" w:hAnsi="Arial Narrow" w:cs="Arial"/>
      <w:color w:val="auto"/>
      <w:szCs w:val="20"/>
    </w:rPr>
  </w:style>
  <w:style w:type="paragraph" w:customStyle="1" w:styleId="Checklist">
    <w:name w:val="Checklist"/>
    <w:basedOn w:val="FTCopy"/>
    <w:link w:val="ChecklistChar"/>
    <w:qFormat/>
    <w:rsid w:val="003F6B0F"/>
    <w:pPr>
      <w:numPr>
        <w:numId w:val="14"/>
      </w:numPr>
      <w:spacing w:before="0" w:line="300" w:lineRule="exact"/>
      <w:contextualSpacing/>
    </w:pPr>
    <w:rPr>
      <w:rFonts w:asciiTheme="minorHAnsi" w:hAnsiTheme="minorHAnsi"/>
    </w:rPr>
  </w:style>
  <w:style w:type="character" w:customStyle="1" w:styleId="ChecklistChar">
    <w:name w:val="Checklist Char"/>
    <w:basedOn w:val="FTCopyChar"/>
    <w:link w:val="Checklist"/>
    <w:rsid w:val="003F6B0F"/>
    <w:rPr>
      <w:rFonts w:ascii="Arial Narrow" w:hAnsi="Arial Narrow" w:cs="Arial"/>
      <w:szCs w:val="20"/>
    </w:rPr>
  </w:style>
  <w:style w:type="paragraph" w:customStyle="1" w:styleId="FTSection">
    <w:name w:val="FT Section"/>
    <w:basedOn w:val="Header"/>
    <w:link w:val="FTSectionChar"/>
    <w:autoRedefine/>
    <w:rsid w:val="009B72C8"/>
    <w:pPr>
      <w:spacing w:after="240"/>
    </w:pPr>
    <w:rPr>
      <w:rFonts w:ascii="Arial Narrow" w:hAnsi="Arial Narrow"/>
    </w:rPr>
  </w:style>
  <w:style w:type="character" w:customStyle="1" w:styleId="FTSectionChar">
    <w:name w:val="FT Section Char"/>
    <w:basedOn w:val="HeaderChar"/>
    <w:link w:val="FTSection"/>
    <w:rsid w:val="009B72C8"/>
    <w:rPr>
      <w:rFonts w:ascii="Arial Narrow" w:hAnsi="Arial Narrow"/>
      <w:color w:val="000000"/>
    </w:rPr>
  </w:style>
  <w:style w:type="paragraph" w:customStyle="1" w:styleId="List-Level3">
    <w:name w:val="List - Level 3"/>
    <w:basedOn w:val="List-Level2"/>
    <w:link w:val="List-Level3Char"/>
    <w:qFormat/>
    <w:rsid w:val="003F6B0F"/>
    <w:pPr>
      <w:numPr>
        <w:ilvl w:val="2"/>
      </w:numPr>
      <w:ind w:left="1426"/>
    </w:pPr>
  </w:style>
  <w:style w:type="paragraph" w:styleId="IntenseQuote">
    <w:name w:val="Intense Quote"/>
    <w:basedOn w:val="Normal"/>
    <w:next w:val="Normal"/>
    <w:link w:val="IntenseQuoteChar"/>
    <w:uiPriority w:val="30"/>
    <w:qFormat/>
    <w:locked/>
    <w:rsid w:val="003F6B0F"/>
    <w:pPr>
      <w:pBdr>
        <w:bottom w:val="single" w:sz="4" w:space="4" w:color="002F6C" w:themeColor="accent1"/>
      </w:pBdr>
      <w:spacing w:before="200" w:after="280"/>
      <w:ind w:left="936" w:right="936"/>
    </w:pPr>
    <w:rPr>
      <w:b/>
      <w:bCs/>
      <w:i/>
      <w:iCs/>
      <w:color w:val="002F6C" w:themeColor="accent1"/>
    </w:rPr>
  </w:style>
  <w:style w:type="character" w:customStyle="1" w:styleId="List-Level3Char">
    <w:name w:val="List - Level 3 Char"/>
    <w:basedOn w:val="List-Level2Char"/>
    <w:link w:val="List-Level3"/>
    <w:rsid w:val="003F6B0F"/>
    <w:rPr>
      <w:rFonts w:ascii="Century Gothic" w:hAnsi="Century Gothic"/>
    </w:rPr>
  </w:style>
  <w:style w:type="character" w:customStyle="1" w:styleId="IntenseQuoteChar">
    <w:name w:val="Intense Quote Char"/>
    <w:basedOn w:val="DefaultParagraphFont"/>
    <w:link w:val="IntenseQuote"/>
    <w:uiPriority w:val="30"/>
    <w:rsid w:val="003F6B0F"/>
    <w:rPr>
      <w:rFonts w:ascii="Century Gothic" w:hAnsi="Century Gothic"/>
      <w:b/>
      <w:bCs/>
      <w:i/>
      <w:iCs/>
      <w:color w:val="002F6C" w:themeColor="accent1"/>
    </w:rPr>
  </w:style>
  <w:style w:type="character" w:styleId="IntenseEmphasis">
    <w:name w:val="Intense Emphasis"/>
    <w:basedOn w:val="DefaultParagraphFont"/>
    <w:uiPriority w:val="21"/>
    <w:qFormat/>
    <w:locked/>
    <w:rsid w:val="003F6B0F"/>
    <w:rPr>
      <w:b/>
      <w:bCs/>
      <w:i/>
      <w:iCs/>
      <w:color w:val="002F6C" w:themeColor="accent1"/>
    </w:rPr>
  </w:style>
  <w:style w:type="paragraph" w:customStyle="1" w:styleId="TBLbullet1">
    <w:name w:val="TBL bullet 1"/>
    <w:basedOn w:val="TBLText"/>
    <w:link w:val="TBLbullet1Char"/>
    <w:qFormat/>
    <w:rsid w:val="00E274B9"/>
    <w:pPr>
      <w:numPr>
        <w:numId w:val="15"/>
      </w:numPr>
      <w:ind w:left="270" w:hanging="180"/>
    </w:pPr>
  </w:style>
  <w:style w:type="paragraph" w:customStyle="1" w:styleId="TBLbullet2">
    <w:name w:val="TBL bullet 2"/>
    <w:basedOn w:val="TBLText"/>
    <w:link w:val="TBLbullet2Char"/>
    <w:qFormat/>
    <w:rsid w:val="00E274B9"/>
    <w:pPr>
      <w:numPr>
        <w:ilvl w:val="2"/>
        <w:numId w:val="15"/>
      </w:numPr>
      <w:ind w:left="450" w:hanging="180"/>
    </w:pPr>
  </w:style>
  <w:style w:type="character" w:customStyle="1" w:styleId="TBLbullet1Char">
    <w:name w:val="TBL bullet 1 Char"/>
    <w:basedOn w:val="TBLTextChar"/>
    <w:link w:val="TBLbullet1"/>
    <w:rsid w:val="00E274B9"/>
    <w:rPr>
      <w:rFonts w:ascii="Century Gothic" w:hAnsi="Century Gothic"/>
      <w:b/>
      <w:color w:val="002F6C" w:themeColor="accent1"/>
      <w:sz w:val="16"/>
    </w:rPr>
  </w:style>
  <w:style w:type="paragraph" w:customStyle="1" w:styleId="TBLbullet3">
    <w:name w:val="TBL bullet 3"/>
    <w:basedOn w:val="TBLText"/>
    <w:link w:val="TBLbullet3Char"/>
    <w:qFormat/>
    <w:rsid w:val="00E274B9"/>
    <w:pPr>
      <w:numPr>
        <w:ilvl w:val="3"/>
        <w:numId w:val="15"/>
      </w:numPr>
      <w:ind w:left="720" w:hanging="270"/>
    </w:pPr>
  </w:style>
  <w:style w:type="character" w:customStyle="1" w:styleId="TBLbullet2Char">
    <w:name w:val="TBL bullet 2 Char"/>
    <w:basedOn w:val="TBLTextChar"/>
    <w:link w:val="TBLbullet2"/>
    <w:rsid w:val="00E274B9"/>
    <w:rPr>
      <w:rFonts w:ascii="Century Gothic" w:hAnsi="Century Gothic"/>
      <w:b/>
      <w:color w:val="002F6C" w:themeColor="accent1"/>
      <w:sz w:val="16"/>
    </w:rPr>
  </w:style>
  <w:style w:type="paragraph" w:customStyle="1" w:styleId="TBLchecklist">
    <w:name w:val="TBL checklist"/>
    <w:basedOn w:val="TBLText"/>
    <w:link w:val="TBLchecklistChar"/>
    <w:qFormat/>
    <w:rsid w:val="00E274B9"/>
    <w:pPr>
      <w:numPr>
        <w:numId w:val="16"/>
      </w:numPr>
    </w:pPr>
  </w:style>
  <w:style w:type="character" w:customStyle="1" w:styleId="TBLbullet3Char">
    <w:name w:val="TBL bullet 3 Char"/>
    <w:basedOn w:val="TBLTextChar"/>
    <w:link w:val="TBLbullet3"/>
    <w:rsid w:val="00E274B9"/>
    <w:rPr>
      <w:rFonts w:ascii="Century Gothic" w:hAnsi="Century Gothic"/>
      <w:b/>
      <w:color w:val="002F6C" w:themeColor="accent1"/>
      <w:sz w:val="16"/>
    </w:rPr>
  </w:style>
  <w:style w:type="paragraph" w:styleId="TOCHeading">
    <w:name w:val="TOC Heading"/>
    <w:basedOn w:val="Heading1"/>
    <w:next w:val="Normal"/>
    <w:uiPriority w:val="39"/>
    <w:unhideWhenUsed/>
    <w:qFormat/>
    <w:rsid w:val="00355751"/>
    <w:pPr>
      <w:spacing w:before="480" w:after="0" w:line="276" w:lineRule="auto"/>
      <w:outlineLvl w:val="9"/>
    </w:pPr>
    <w:rPr>
      <w:rFonts w:asciiTheme="majorHAnsi" w:hAnsiTheme="majorHAnsi"/>
      <w:bCs/>
      <w:sz w:val="28"/>
      <w:szCs w:val="28"/>
      <w:lang w:eastAsia="ja-JP"/>
    </w:rPr>
  </w:style>
  <w:style w:type="character" w:customStyle="1" w:styleId="TBLchecklistChar">
    <w:name w:val="TBL checklist Char"/>
    <w:basedOn w:val="TBLTextChar"/>
    <w:link w:val="TBLchecklist"/>
    <w:rsid w:val="00E274B9"/>
    <w:rPr>
      <w:rFonts w:ascii="Century Gothic" w:hAnsi="Century Gothic"/>
      <w:b/>
      <w:color w:val="002F6C" w:themeColor="accent1"/>
      <w:sz w:val="16"/>
    </w:rPr>
  </w:style>
  <w:style w:type="paragraph" w:styleId="TOC1">
    <w:name w:val="toc 1"/>
    <w:basedOn w:val="Normal"/>
    <w:next w:val="Normal"/>
    <w:autoRedefine/>
    <w:uiPriority w:val="39"/>
    <w:unhideWhenUsed/>
    <w:rsid w:val="00355751"/>
    <w:pPr>
      <w:spacing w:after="100"/>
    </w:pPr>
  </w:style>
  <w:style w:type="paragraph" w:styleId="TOC2">
    <w:name w:val="toc 2"/>
    <w:basedOn w:val="Normal"/>
    <w:next w:val="Normal"/>
    <w:autoRedefine/>
    <w:uiPriority w:val="39"/>
    <w:unhideWhenUsed/>
    <w:rsid w:val="00355751"/>
    <w:pPr>
      <w:spacing w:after="100"/>
      <w:ind w:left="220"/>
    </w:pPr>
  </w:style>
  <w:style w:type="paragraph" w:styleId="TOC3">
    <w:name w:val="toc 3"/>
    <w:basedOn w:val="Normal"/>
    <w:next w:val="Normal"/>
    <w:autoRedefine/>
    <w:uiPriority w:val="39"/>
    <w:unhideWhenUsed/>
    <w:rsid w:val="00355751"/>
    <w:pPr>
      <w:spacing w:after="100"/>
      <w:ind w:left="440"/>
    </w:pPr>
  </w:style>
  <w:style w:type="character" w:styleId="Hyperlink">
    <w:name w:val="Hyperlink"/>
    <w:basedOn w:val="DefaultParagraphFont"/>
    <w:uiPriority w:val="99"/>
    <w:unhideWhenUsed/>
    <w:rsid w:val="00355751"/>
    <w:rPr>
      <w:color w:val="FF671F" w:themeColor="hyperlink"/>
      <w:u w:val="single"/>
    </w:rPr>
  </w:style>
  <w:style w:type="paragraph" w:customStyle="1" w:styleId="SkillHeading">
    <w:name w:val="Skill Heading"/>
    <w:basedOn w:val="Heading1"/>
    <w:link w:val="SkillHeadingChar"/>
    <w:rsid w:val="003A5473"/>
  </w:style>
  <w:style w:type="paragraph" w:customStyle="1" w:styleId="SkillHeading2">
    <w:name w:val="Skill Heading 2"/>
    <w:basedOn w:val="SkillHeading"/>
    <w:link w:val="SkillHeading2Char"/>
    <w:rsid w:val="00526CDE"/>
    <w:pPr>
      <w:tabs>
        <w:tab w:val="clear" w:pos="3326"/>
      </w:tabs>
    </w:pPr>
    <w:rPr>
      <w:rFonts w:ascii="Century Gothic" w:eastAsia="Century Gothic" w:hAnsi="Century Gothic" w:cs="Times New Roman"/>
      <w:b w:val="0"/>
      <w:szCs w:val="58"/>
    </w:rPr>
  </w:style>
  <w:style w:type="character" w:customStyle="1" w:styleId="SkillHeadingChar">
    <w:name w:val="Skill Heading Char"/>
    <w:basedOn w:val="Heading1Char"/>
    <w:link w:val="SkillHeading"/>
    <w:rsid w:val="003A5473"/>
    <w:rPr>
      <w:rFonts w:cs="Arial"/>
      <w:b/>
      <w:color w:val="002F6C" w:themeColor="accent1"/>
      <w:sz w:val="58"/>
    </w:rPr>
  </w:style>
  <w:style w:type="paragraph" w:customStyle="1" w:styleId="SkillSubhead1">
    <w:name w:val="Skill Subhead 1"/>
    <w:basedOn w:val="Subhead1"/>
    <w:link w:val="SkillSubhead1Char"/>
    <w:rsid w:val="003A5473"/>
  </w:style>
  <w:style w:type="character" w:customStyle="1" w:styleId="SkillHeading2Char">
    <w:name w:val="Skill Heading 2 Char"/>
    <w:basedOn w:val="Heading2Char"/>
    <w:link w:val="SkillHeading2"/>
    <w:rsid w:val="00526CDE"/>
    <w:rPr>
      <w:rFonts w:eastAsia="Century Gothic" w:cs="Times New Roman"/>
      <w:b/>
      <w:color w:val="002F6C" w:themeColor="accent1"/>
      <w:sz w:val="58"/>
      <w:szCs w:val="58"/>
    </w:rPr>
  </w:style>
  <w:style w:type="character" w:customStyle="1" w:styleId="SkillSubhead1Char">
    <w:name w:val="Skill Subhead 1 Char"/>
    <w:basedOn w:val="Subhead1Char"/>
    <w:link w:val="SkillSubhead1"/>
    <w:rsid w:val="003A5473"/>
    <w:rPr>
      <w:rFonts w:ascii="Century Gothic" w:eastAsiaTheme="majorEastAsia" w:hAnsi="Century Gothic" w:cstheme="majorBidi"/>
      <w:b/>
      <w:color w:val="009CDE" w:themeColor="accent2"/>
      <w:sz w:val="32"/>
      <w:szCs w:val="26"/>
    </w:rPr>
  </w:style>
  <w:style w:type="character" w:customStyle="1" w:styleId="st">
    <w:name w:val="st"/>
    <w:rsid w:val="00A06400"/>
  </w:style>
  <w:style w:type="character" w:styleId="SubtleReference">
    <w:name w:val="Subtle Reference"/>
    <w:basedOn w:val="DefaultParagraphFont"/>
    <w:uiPriority w:val="31"/>
    <w:qFormat/>
    <w:locked/>
    <w:rsid w:val="00095069"/>
    <w:rPr>
      <w:smallCaps/>
      <w:color w:val="009CDE" w:themeColor="accent2"/>
      <w:u w:val="single"/>
    </w:rPr>
  </w:style>
  <w:style w:type="character" w:styleId="IntenseReference">
    <w:name w:val="Intense Reference"/>
    <w:basedOn w:val="DefaultParagraphFont"/>
    <w:uiPriority w:val="32"/>
    <w:qFormat/>
    <w:locked/>
    <w:rsid w:val="00D8715B"/>
    <w:rPr>
      <w:b/>
      <w:bCs/>
      <w:smallCaps/>
      <w:color w:val="009CDE" w:themeColor="accent2"/>
      <w:spacing w:val="5"/>
      <w:u w:val="single"/>
    </w:rPr>
  </w:style>
  <w:style w:type="paragraph" w:customStyle="1" w:styleId="QEUQuoteTipHeader">
    <w:name w:val="QEU Quote &amp; Tip Header"/>
    <w:basedOn w:val="Call-out"/>
    <w:link w:val="QEUQuoteTipHeaderChar"/>
    <w:qFormat/>
    <w:rsid w:val="002F5483"/>
    <w:pPr>
      <w:spacing w:before="0" w:after="0"/>
      <w:jc w:val="center"/>
    </w:pPr>
    <w:rPr>
      <w:sz w:val="28"/>
      <w:szCs w:val="28"/>
    </w:rPr>
  </w:style>
  <w:style w:type="paragraph" w:customStyle="1" w:styleId="QEUQuoteTipText">
    <w:name w:val="QEU Quote &amp; Tip Text"/>
    <w:basedOn w:val="Normal"/>
    <w:link w:val="QEUQuoteTipTextChar"/>
    <w:qFormat/>
    <w:rsid w:val="002F5483"/>
    <w:pPr>
      <w:spacing w:before="120" w:after="0" w:line="240" w:lineRule="auto"/>
      <w:ind w:left="1022" w:right="1922"/>
    </w:pPr>
    <w:rPr>
      <w:rFonts w:asciiTheme="majorHAnsi" w:hAnsiTheme="majorHAnsi"/>
      <w:i/>
      <w:color w:val="009CDE" w:themeColor="accent2"/>
    </w:rPr>
  </w:style>
  <w:style w:type="character" w:customStyle="1" w:styleId="QEUQuoteTipHeaderChar">
    <w:name w:val="QEU Quote &amp; Tip Header Char"/>
    <w:basedOn w:val="Call-outChar"/>
    <w:link w:val="QEUQuoteTipHeader"/>
    <w:rsid w:val="002F5483"/>
    <w:rPr>
      <w:rFonts w:ascii="Times New Roman" w:hAnsi="Times New Roman"/>
      <w:color w:val="002F6C" w:themeColor="text2"/>
      <w:sz w:val="28"/>
      <w:szCs w:val="28"/>
    </w:rPr>
  </w:style>
  <w:style w:type="paragraph" w:customStyle="1" w:styleId="QEUTitle">
    <w:name w:val="QEU Title"/>
    <w:basedOn w:val="Normal"/>
    <w:link w:val="QEUTitleChar"/>
    <w:qFormat/>
    <w:rsid w:val="008779B6"/>
    <w:pPr>
      <w:spacing w:line="240" w:lineRule="auto"/>
    </w:pPr>
    <w:rPr>
      <w:b/>
      <w:color w:val="002F6C" w:themeColor="text2"/>
      <w:sz w:val="58"/>
      <w:szCs w:val="58"/>
    </w:rPr>
  </w:style>
  <w:style w:type="character" w:customStyle="1" w:styleId="QEUQuoteTipTextChar">
    <w:name w:val="QEU Quote &amp; Tip Text Char"/>
    <w:basedOn w:val="DefaultParagraphFont"/>
    <w:link w:val="QEUQuoteTipText"/>
    <w:rsid w:val="002F5483"/>
    <w:rPr>
      <w:rFonts w:asciiTheme="majorHAnsi" w:hAnsiTheme="majorHAnsi"/>
      <w:i/>
      <w:color w:val="009CDE" w:themeColor="accent2"/>
    </w:rPr>
  </w:style>
  <w:style w:type="paragraph" w:customStyle="1" w:styleId="QEU-PresentedBy">
    <w:name w:val="QEU - Presented By"/>
    <w:basedOn w:val="Normal"/>
    <w:link w:val="QEU-PresentedByChar"/>
    <w:qFormat/>
    <w:rsid w:val="008779B6"/>
    <w:rPr>
      <w:rFonts w:asciiTheme="majorHAnsi" w:hAnsiTheme="majorHAnsi"/>
      <w:i/>
      <w:sz w:val="28"/>
      <w:szCs w:val="28"/>
    </w:rPr>
  </w:style>
  <w:style w:type="character" w:customStyle="1" w:styleId="QEUTitleChar">
    <w:name w:val="QEU Title Char"/>
    <w:basedOn w:val="DefaultParagraphFont"/>
    <w:link w:val="QEUTitle"/>
    <w:rsid w:val="008779B6"/>
    <w:rPr>
      <w:rFonts w:ascii="Century Gothic" w:hAnsi="Century Gothic"/>
      <w:b/>
      <w:color w:val="002F6C" w:themeColor="text2"/>
      <w:sz w:val="58"/>
      <w:szCs w:val="58"/>
    </w:rPr>
  </w:style>
  <w:style w:type="paragraph" w:customStyle="1" w:styleId="QEUareviewof">
    <w:name w:val="QEU &quot;a review of...&quot;"/>
    <w:basedOn w:val="Normal"/>
    <w:link w:val="QEUareviewofChar"/>
    <w:qFormat/>
    <w:rsid w:val="008779B6"/>
    <w:pPr>
      <w:spacing w:after="0"/>
      <w:jc w:val="right"/>
    </w:pPr>
    <w:rPr>
      <w:rFonts w:asciiTheme="majorHAnsi" w:hAnsiTheme="majorHAnsi"/>
      <w:color w:val="808080"/>
      <w:sz w:val="20"/>
      <w:szCs w:val="20"/>
    </w:rPr>
  </w:style>
  <w:style w:type="character" w:customStyle="1" w:styleId="QEU-PresentedByChar">
    <w:name w:val="QEU - Presented By Char"/>
    <w:basedOn w:val="DefaultParagraphFont"/>
    <w:link w:val="QEU-PresentedBy"/>
    <w:rsid w:val="008779B6"/>
    <w:rPr>
      <w:rFonts w:asciiTheme="majorHAnsi" w:hAnsiTheme="majorHAnsi"/>
      <w:i/>
      <w:sz w:val="28"/>
      <w:szCs w:val="28"/>
    </w:rPr>
  </w:style>
  <w:style w:type="paragraph" w:customStyle="1" w:styleId="QEUInThisUpdatelinks">
    <w:name w:val="QEU In This Update links"/>
    <w:basedOn w:val="Call-out"/>
    <w:link w:val="QEUInThisUpdatelinksChar"/>
    <w:qFormat/>
    <w:rsid w:val="008779B6"/>
    <w:rPr>
      <w:rFonts w:ascii="Century Gothic" w:hAnsi="Century Gothic"/>
      <w:color w:val="002F6C" w:themeColor="accent1"/>
    </w:rPr>
  </w:style>
  <w:style w:type="character" w:customStyle="1" w:styleId="QEUareviewofChar">
    <w:name w:val="QEU &quot;a review of...&quot; Char"/>
    <w:basedOn w:val="DefaultParagraphFont"/>
    <w:link w:val="QEUareviewof"/>
    <w:rsid w:val="008779B6"/>
    <w:rPr>
      <w:rFonts w:asciiTheme="majorHAnsi" w:hAnsiTheme="majorHAnsi"/>
      <w:color w:val="808080"/>
      <w:sz w:val="20"/>
      <w:szCs w:val="20"/>
    </w:rPr>
  </w:style>
  <w:style w:type="paragraph" w:customStyle="1" w:styleId="QEULeftColumnTitles">
    <w:name w:val="QEU Left Column Titles"/>
    <w:basedOn w:val="Normal"/>
    <w:link w:val="QEULeftColumnTitlesChar"/>
    <w:qFormat/>
    <w:rsid w:val="00935A3D"/>
    <w:pPr>
      <w:spacing w:after="0" w:line="240" w:lineRule="auto"/>
    </w:pPr>
    <w:rPr>
      <w:b/>
      <w:color w:val="002F6C" w:themeColor="accent1"/>
    </w:rPr>
  </w:style>
  <w:style w:type="character" w:customStyle="1" w:styleId="QEUInThisUpdatelinksChar">
    <w:name w:val="QEU In This Update links Char"/>
    <w:basedOn w:val="Call-outChar"/>
    <w:link w:val="QEUInThisUpdatelinks"/>
    <w:rsid w:val="008779B6"/>
    <w:rPr>
      <w:rFonts w:ascii="Century Gothic" w:hAnsi="Century Gothic"/>
      <w:color w:val="002F6C" w:themeColor="accent1"/>
      <w:sz w:val="32"/>
    </w:rPr>
  </w:style>
  <w:style w:type="table" w:customStyle="1" w:styleId="Style1">
    <w:name w:val="Style1"/>
    <w:basedOn w:val="TableNormal"/>
    <w:uiPriority w:val="99"/>
    <w:rsid w:val="008779B6"/>
    <w:pPr>
      <w:spacing w:after="0" w:line="240" w:lineRule="auto"/>
    </w:pPr>
    <w:rPr>
      <w:color w:val="000000"/>
    </w:rPr>
    <w:tblPr/>
  </w:style>
  <w:style w:type="character" w:customStyle="1" w:styleId="QEULeftColumnTitlesChar">
    <w:name w:val="QEU Left Column Titles Char"/>
    <w:basedOn w:val="DefaultParagraphFont"/>
    <w:link w:val="QEULeftColumnTitles"/>
    <w:rsid w:val="00935A3D"/>
    <w:rPr>
      <w:rFonts w:ascii="Century Gothic" w:hAnsi="Century Gothic"/>
      <w:b/>
      <w:color w:val="002F6C" w:themeColor="accent1"/>
    </w:rPr>
  </w:style>
  <w:style w:type="paragraph" w:customStyle="1" w:styleId="QEUTableSources">
    <w:name w:val="QEU Table Sources"/>
    <w:basedOn w:val="Normal"/>
    <w:link w:val="QEUTableSourcesChar"/>
    <w:qFormat/>
    <w:rsid w:val="00523A9A"/>
    <w:pPr>
      <w:spacing w:before="120" w:after="0" w:line="240" w:lineRule="auto"/>
      <w:jc w:val="center"/>
    </w:pPr>
    <w:rPr>
      <w:rFonts w:asciiTheme="majorHAnsi" w:hAnsiTheme="majorHAnsi"/>
      <w:color w:val="808080"/>
      <w:sz w:val="20"/>
      <w:szCs w:val="20"/>
    </w:rPr>
  </w:style>
  <w:style w:type="paragraph" w:customStyle="1" w:styleId="QEURepresentativeDisclosurelanguage">
    <w:name w:val="QEU Representative Disclosure language"/>
    <w:basedOn w:val="FTSectionTitlenobold"/>
    <w:link w:val="QEURepresentativeDisclosurelanguageChar"/>
    <w:qFormat/>
    <w:rsid w:val="00523A9A"/>
    <w:rPr>
      <w:spacing w:val="-4"/>
      <w:sz w:val="16"/>
      <w:szCs w:val="16"/>
    </w:rPr>
  </w:style>
  <w:style w:type="character" w:customStyle="1" w:styleId="QEUTableSourcesChar">
    <w:name w:val="QEU Table Sources Char"/>
    <w:basedOn w:val="DefaultParagraphFont"/>
    <w:link w:val="QEUTableSources"/>
    <w:rsid w:val="00523A9A"/>
    <w:rPr>
      <w:rFonts w:asciiTheme="majorHAnsi" w:hAnsiTheme="majorHAnsi"/>
      <w:color w:val="808080"/>
      <w:sz w:val="20"/>
      <w:szCs w:val="20"/>
    </w:rPr>
  </w:style>
  <w:style w:type="paragraph" w:customStyle="1" w:styleId="QEUCitationsTitle">
    <w:name w:val="QEU Citations Title"/>
    <w:basedOn w:val="FTSectionTitlenobold"/>
    <w:link w:val="QEUCitationsTitleChar"/>
    <w:qFormat/>
    <w:rsid w:val="00523A9A"/>
    <w:pPr>
      <w:spacing w:after="0"/>
    </w:pPr>
    <w:rPr>
      <w:b/>
      <w:bCs/>
    </w:rPr>
  </w:style>
  <w:style w:type="character" w:customStyle="1" w:styleId="QEURepresentativeDisclosurelanguageChar">
    <w:name w:val="QEU Representative Disclosure language Char"/>
    <w:basedOn w:val="FTSectionTitlenoboldChar"/>
    <w:link w:val="QEURepresentativeDisclosurelanguage"/>
    <w:rsid w:val="00523A9A"/>
    <w:rPr>
      <w:rFonts w:cs="Arial"/>
      <w:color w:val="000000"/>
      <w:spacing w:val="-4"/>
      <w:sz w:val="16"/>
      <w:szCs w:val="16"/>
    </w:rPr>
  </w:style>
  <w:style w:type="paragraph" w:customStyle="1" w:styleId="QEUCitationsContent">
    <w:name w:val="QEU Citations Content"/>
    <w:basedOn w:val="FTSectionTitlenobold"/>
    <w:link w:val="QEUCitationsContentChar"/>
    <w:qFormat/>
    <w:rsid w:val="00523A9A"/>
    <w:pPr>
      <w:spacing w:after="0"/>
    </w:pPr>
    <w:rPr>
      <w:sz w:val="16"/>
      <w:szCs w:val="16"/>
    </w:rPr>
  </w:style>
  <w:style w:type="character" w:customStyle="1" w:styleId="QEUCitationsTitleChar">
    <w:name w:val="QEU Citations Title Char"/>
    <w:basedOn w:val="FTSectionTitlenoboldChar"/>
    <w:link w:val="QEUCitationsTitle"/>
    <w:rsid w:val="00523A9A"/>
    <w:rPr>
      <w:rFonts w:cs="Arial"/>
      <w:b/>
      <w:bCs/>
      <w:color w:val="000000"/>
    </w:rPr>
  </w:style>
  <w:style w:type="paragraph" w:customStyle="1" w:styleId="QEUTableHeader">
    <w:name w:val="QEU Table Header"/>
    <w:basedOn w:val="Normal"/>
    <w:link w:val="QEUTableHeaderChar"/>
    <w:qFormat/>
    <w:rsid w:val="00EA7983"/>
    <w:pPr>
      <w:spacing w:after="0" w:line="240" w:lineRule="auto"/>
      <w:jc w:val="center"/>
    </w:pPr>
    <w:rPr>
      <w:b/>
      <w:bCs/>
      <w:sz w:val="18"/>
      <w:szCs w:val="18"/>
    </w:rPr>
  </w:style>
  <w:style w:type="character" w:customStyle="1" w:styleId="QEUCitationsContentChar">
    <w:name w:val="QEU Citations Content Char"/>
    <w:basedOn w:val="FTSectionTitlenoboldChar"/>
    <w:link w:val="QEUCitationsContent"/>
    <w:rsid w:val="00523A9A"/>
    <w:rPr>
      <w:rFonts w:cs="Arial"/>
      <w:color w:val="000000"/>
      <w:sz w:val="16"/>
      <w:szCs w:val="16"/>
    </w:rPr>
  </w:style>
  <w:style w:type="paragraph" w:customStyle="1" w:styleId="QEUTableText">
    <w:name w:val="QEU Table Text"/>
    <w:basedOn w:val="TBLText"/>
    <w:link w:val="QEUTableTextChar"/>
    <w:qFormat/>
    <w:rsid w:val="00EA7983"/>
    <w:rPr>
      <w:b w:val="0"/>
      <w:sz w:val="18"/>
    </w:rPr>
  </w:style>
  <w:style w:type="character" w:customStyle="1" w:styleId="QEUTableHeaderChar">
    <w:name w:val="QEU Table Header Char"/>
    <w:basedOn w:val="DefaultParagraphFont"/>
    <w:link w:val="QEUTableHeader"/>
    <w:rsid w:val="00EA7983"/>
    <w:rPr>
      <w:rFonts w:ascii="Century Gothic" w:hAnsi="Century Gothic"/>
      <w:b/>
      <w:bCs/>
      <w:color w:val="000000"/>
      <w:sz w:val="18"/>
      <w:szCs w:val="18"/>
    </w:rPr>
  </w:style>
  <w:style w:type="paragraph" w:customStyle="1" w:styleId="QEUQuoteAttribute">
    <w:name w:val="QEU Quote Attribute"/>
    <w:basedOn w:val="Normal"/>
    <w:link w:val="QEUQuoteAttributeChar"/>
    <w:qFormat/>
    <w:rsid w:val="00EA7983"/>
    <w:pPr>
      <w:spacing w:before="120" w:after="0" w:line="240" w:lineRule="auto"/>
      <w:ind w:left="1022" w:right="1922"/>
      <w:jc w:val="right"/>
    </w:pPr>
    <w:rPr>
      <w:rFonts w:asciiTheme="majorHAnsi" w:hAnsiTheme="majorHAnsi"/>
      <w:i/>
      <w:color w:val="009CDE" w:themeColor="accent2"/>
      <w:spacing w:val="-2"/>
    </w:rPr>
  </w:style>
  <w:style w:type="character" w:customStyle="1" w:styleId="QEUTableTextChar">
    <w:name w:val="QEU Table Text Char"/>
    <w:basedOn w:val="TBLTextChar"/>
    <w:link w:val="QEUTableText"/>
    <w:rsid w:val="00EA7983"/>
    <w:rPr>
      <w:rFonts w:ascii="Century Gothic" w:hAnsi="Century Gothic"/>
      <w:b w:val="0"/>
      <w:color w:val="002F6C" w:themeColor="accent1"/>
      <w:sz w:val="18"/>
    </w:rPr>
  </w:style>
  <w:style w:type="character" w:customStyle="1" w:styleId="QEUQuoteAttributeChar">
    <w:name w:val="QEU Quote Attribute Char"/>
    <w:basedOn w:val="DefaultParagraphFont"/>
    <w:link w:val="QEUQuoteAttribute"/>
    <w:rsid w:val="00EA7983"/>
    <w:rPr>
      <w:rFonts w:asciiTheme="majorHAnsi" w:hAnsiTheme="majorHAnsi"/>
      <w:i/>
      <w:color w:val="009CDE" w:themeColor="accent2"/>
      <w:spacing w:val="-2"/>
    </w:rPr>
  </w:style>
  <w:style w:type="paragraph" w:styleId="BodyText2">
    <w:name w:val="Body Text 2"/>
    <w:basedOn w:val="Normal"/>
    <w:link w:val="BodyText2Char"/>
    <w:uiPriority w:val="99"/>
    <w:unhideWhenUsed/>
    <w:rsid w:val="00902804"/>
    <w:pPr>
      <w:spacing w:after="240" w:line="240" w:lineRule="auto"/>
      <w:jc w:val="both"/>
    </w:pPr>
  </w:style>
  <w:style w:type="character" w:customStyle="1" w:styleId="BodyText2Char">
    <w:name w:val="Body Text 2 Char"/>
    <w:basedOn w:val="DefaultParagraphFont"/>
    <w:link w:val="BodyText2"/>
    <w:uiPriority w:val="99"/>
    <w:rsid w:val="00902804"/>
    <w:rPr>
      <w:rFonts w:ascii="Century Gothic" w:hAnsi="Century Gothic"/>
      <w:color w:val="000000"/>
    </w:rPr>
  </w:style>
  <w:style w:type="paragraph" w:styleId="BodyText3">
    <w:name w:val="Body Text 3"/>
    <w:basedOn w:val="Normal"/>
    <w:link w:val="BodyText3Char"/>
    <w:uiPriority w:val="99"/>
    <w:unhideWhenUsed/>
    <w:rsid w:val="00902804"/>
    <w:pPr>
      <w:spacing w:after="0" w:line="240" w:lineRule="auto"/>
      <w:jc w:val="both"/>
    </w:pPr>
    <w:rPr>
      <w:iCs/>
      <w:sz w:val="18"/>
      <w:szCs w:val="18"/>
    </w:rPr>
  </w:style>
  <w:style w:type="character" w:customStyle="1" w:styleId="BodyText3Char">
    <w:name w:val="Body Text 3 Char"/>
    <w:basedOn w:val="DefaultParagraphFont"/>
    <w:link w:val="BodyText3"/>
    <w:uiPriority w:val="99"/>
    <w:rsid w:val="00902804"/>
    <w:rPr>
      <w:rFonts w:ascii="Century Gothic" w:hAnsi="Century Gothic"/>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ng%20files\2017\00_branding\00_NewFT_templates\MMLIS_AssetID_SkillName_RS.dotx" TargetMode="External"/></Relationships>
</file>

<file path=word/theme/theme1.xml><?xml version="1.0" encoding="utf-8"?>
<a:theme xmlns:a="http://schemas.openxmlformats.org/drawingml/2006/main" name="Office Theme">
  <a:themeElements>
    <a:clrScheme name="MM Word Templates 2017">
      <a:dk1>
        <a:srgbClr val="636466"/>
      </a:dk1>
      <a:lt1>
        <a:srgbClr val="FFFFFF"/>
      </a:lt1>
      <a:dk2>
        <a:srgbClr val="002F6C"/>
      </a:dk2>
      <a:lt2>
        <a:srgbClr val="F3F3F4"/>
      </a:lt2>
      <a:accent1>
        <a:srgbClr val="002F6C"/>
      </a:accent1>
      <a:accent2>
        <a:srgbClr val="009CDE"/>
      </a:accent2>
      <a:accent3>
        <a:srgbClr val="B1B3B3"/>
      </a:accent3>
      <a:accent4>
        <a:srgbClr val="D9D9D6"/>
      </a:accent4>
      <a:accent5>
        <a:srgbClr val="EE2737"/>
      </a:accent5>
      <a:accent6>
        <a:srgbClr val="43B02A"/>
      </a:accent6>
      <a:hlink>
        <a:srgbClr val="FF671F"/>
      </a:hlink>
      <a:folHlink>
        <a:srgbClr val="F6BE00"/>
      </a:folHlink>
    </a:clrScheme>
    <a:fontScheme name="MassMutual 2017">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2F20D-3CC4-4D81-B5F3-AABB44BE6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97BA0C-33CC-4F27-BF60-CEC4396CF4CB}">
  <ds:schemaRefs>
    <ds:schemaRef ds:uri="http://schemas.microsoft.com/sharepoint/v3/contenttype/forms"/>
  </ds:schemaRefs>
</ds:datastoreItem>
</file>

<file path=customXml/itemProps3.xml><?xml version="1.0" encoding="utf-8"?>
<ds:datastoreItem xmlns:ds="http://schemas.openxmlformats.org/officeDocument/2006/customXml" ds:itemID="{4F853D62-1139-498D-88BA-8BD88B0878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8E7CB2-0A41-4611-A461-46BE631F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MMLIS_AssetID_SkillName_RS</Template>
  <TotalTime>1</TotalTime>
  <Pages>7</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MassMutual</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Metcalf-Wirth</dc:creator>
  <cp:lastModifiedBy>Fitzgerald, Brittany</cp:lastModifiedBy>
  <cp:revision>2</cp:revision>
  <dcterms:created xsi:type="dcterms:W3CDTF">2019-04-15T13:57:00Z</dcterms:created>
  <dcterms:modified xsi:type="dcterms:W3CDTF">2019-04-15T13:57:00Z</dcterms:modified>
</cp:coreProperties>
</file>