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jc w:val="center"/>
        <w:rPr>
          <w:b/>
          <w:b/>
          <w:sz w:val="32"/>
          <w:szCs w:val="32"/>
        </w:rPr>
      </w:pPr>
      <w:r>
        <w:rPr>
          <w:b/>
          <w:sz w:val="32"/>
          <w:szCs w:val="32"/>
        </w:rPr>
        <w:t>A</w:t>
      </w:r>
      <w:r>
        <w:rPr>
          <w:b/>
          <w:sz w:val="28"/>
          <w:szCs w:val="28"/>
        </w:rPr>
        <w:t>NTHONY</w:t>
      </w:r>
      <w:r>
        <w:rPr>
          <w:b/>
          <w:sz w:val="32"/>
          <w:szCs w:val="32"/>
        </w:rPr>
        <w:t xml:space="preserve"> E. L</w:t>
      </w:r>
      <w:r>
        <w:rPr>
          <w:b/>
          <w:sz w:val="28"/>
          <w:szCs w:val="28"/>
        </w:rPr>
        <w:t>O</w:t>
      </w:r>
      <w:r>
        <w:rPr>
          <w:b/>
          <w:sz w:val="32"/>
          <w:szCs w:val="32"/>
        </w:rPr>
        <w:t>C</w:t>
      </w:r>
      <w:r>
        <w:rPr>
          <w:b/>
          <w:sz w:val="28"/>
          <w:szCs w:val="28"/>
        </w:rPr>
        <w:t>ASCIO</w:t>
      </w:r>
      <w:r>
        <w:rPr>
          <w:b/>
          <w:sz w:val="32"/>
          <w:szCs w:val="32"/>
        </w:rPr>
        <w:t>, CFP® EA</w:t>
      </w:r>
    </w:p>
    <w:p>
      <w:pPr>
        <w:pStyle w:val="Normal"/>
        <w:shd w:fill="FFFFFF" w:val="clear"/>
        <w:jc w:val="center"/>
        <w:rPr/>
      </w:pPr>
      <w:r>
        <w:rPr>
          <w:b/>
          <w:sz w:val="32"/>
          <w:szCs w:val="32"/>
        </w:rPr>
        <w:t>A</w:t>
      </w:r>
      <w:r>
        <w:rPr>
          <w:b/>
          <w:sz w:val="28"/>
          <w:szCs w:val="28"/>
        </w:rPr>
        <w:t>NTHONY</w:t>
      </w:r>
      <w:r>
        <w:rPr>
          <w:b/>
          <w:sz w:val="32"/>
          <w:szCs w:val="32"/>
        </w:rPr>
        <w:t xml:space="preserve"> L</w:t>
      </w:r>
      <w:r>
        <w:rPr>
          <w:b/>
          <w:sz w:val="28"/>
          <w:szCs w:val="28"/>
        </w:rPr>
        <w:t>O</w:t>
      </w:r>
      <w:r>
        <w:rPr>
          <w:b/>
          <w:sz w:val="32"/>
          <w:szCs w:val="32"/>
        </w:rPr>
        <w:t>C</w:t>
      </w:r>
      <w:r>
        <w:rPr>
          <w:b/>
          <w:sz w:val="28"/>
          <w:szCs w:val="28"/>
        </w:rPr>
        <w:t>ASCIO,</w:t>
      </w:r>
      <w:r>
        <w:rPr>
          <w:b/>
          <w:sz w:val="32"/>
          <w:szCs w:val="32"/>
        </w:rPr>
        <w:t xml:space="preserve"> C</w:t>
      </w:r>
      <w:r>
        <w:rPr>
          <w:b/>
          <w:sz w:val="28"/>
          <w:szCs w:val="28"/>
        </w:rPr>
        <w:t>ONSULTING</w:t>
      </w:r>
      <w:r>
        <w:rPr>
          <w:b/>
          <w:sz w:val="32"/>
          <w:szCs w:val="32"/>
        </w:rPr>
        <w:t>, LLC</w:t>
      </w:r>
    </w:p>
    <w:p>
      <w:pPr>
        <w:pStyle w:val="Normal"/>
        <w:shd w:fill="FFFFFF" w:val="clear"/>
        <w:jc w:val="center"/>
        <w:rPr>
          <w:b/>
          <w:b/>
          <w:i/>
          <w:i/>
          <w:sz w:val="28"/>
          <w:szCs w:val="28"/>
        </w:rPr>
      </w:pPr>
      <w:r>
        <w:rPr>
          <w:b/>
          <w:i/>
          <w:sz w:val="28"/>
          <w:szCs w:val="28"/>
        </w:rPr>
        <w:t>Taxes, Investment, Wealth Management &amp; Retirement Income Planning</w:t>
      </w:r>
    </w:p>
    <w:p>
      <w:pPr>
        <w:pStyle w:val="Normal"/>
        <w:shd w:fill="FFFFFF" w:val="clear"/>
        <w:jc w:val="center"/>
        <w:rPr>
          <w:b/>
          <w:b/>
          <w:color w:val="C0C0C0"/>
          <w:sz w:val="21"/>
          <w:szCs w:val="21"/>
        </w:rPr>
      </w:pPr>
      <w:r>
        <w:rPr>
          <w:b/>
          <w:sz w:val="21"/>
          <w:szCs w:val="21"/>
        </w:rPr>
        <w:t>59 Old Highway 22,</w:t>
      </w:r>
      <w:r>
        <w:rPr>
          <w:b/>
          <w:color w:val="C0C0C0"/>
          <w:sz w:val="21"/>
          <w:szCs w:val="21"/>
        </w:rPr>
        <w:t xml:space="preserve"> </w:t>
      </w:r>
      <w:r>
        <w:rPr>
          <w:b/>
          <w:sz w:val="21"/>
          <w:szCs w:val="21"/>
        </w:rPr>
        <w:t>Clinton, NJ  08809</w:t>
      </w:r>
    </w:p>
    <w:p>
      <w:pPr>
        <w:pStyle w:val="Normal"/>
        <w:shd w:fill="FFFFFF" w:val="clear"/>
        <w:jc w:val="center"/>
        <w:rPr>
          <w:b/>
          <w:b/>
          <w:sz w:val="21"/>
          <w:szCs w:val="21"/>
        </w:rPr>
      </w:pPr>
      <w:r>
        <w:rPr>
          <w:b/>
          <w:sz w:val="21"/>
          <w:szCs w:val="21"/>
        </w:rPr>
        <w:t>Phone: 908-730-8599    **    800-269-9329</w:t>
      </w:r>
    </w:p>
    <w:p>
      <w:pPr>
        <w:pStyle w:val="Normal"/>
        <w:shd w:fill="FFFFFF" w:val="clear"/>
        <w:jc w:val="center"/>
        <w:rPr>
          <w:b/>
          <w:b/>
          <w:sz w:val="21"/>
          <w:szCs w:val="21"/>
        </w:rPr>
      </w:pPr>
      <w:r>
        <w:rPr>
          <w:b/>
          <w:sz w:val="21"/>
          <w:szCs w:val="21"/>
        </w:rPr>
        <w:t xml:space="preserve"> </w:t>
      </w:r>
      <w:r>
        <w:rPr>
          <w:b/>
          <w:sz w:val="21"/>
          <w:szCs w:val="21"/>
        </w:rPr>
        <w:t>Fax: 908-730-9656</w:t>
      </w:r>
    </w:p>
    <w:p>
      <w:pPr>
        <w:pStyle w:val="Normal"/>
        <w:shd w:fill="FFFFFF" w:val="clear"/>
        <w:jc w:val="center"/>
        <w:rPr>
          <w:b/>
          <w:b/>
          <w:sz w:val="21"/>
          <w:szCs w:val="21"/>
        </w:rPr>
      </w:pPr>
      <w:r>
        <w:rPr>
          <w:b/>
          <w:sz w:val="21"/>
          <w:szCs w:val="21"/>
        </w:rPr>
        <w:t>Email: info@anthonylocascio.com</w:t>
      </w:r>
    </w:p>
    <w:p>
      <w:pPr>
        <w:pStyle w:val="Normal"/>
        <w:shd w:fill="FFFFFF" w:val="clear"/>
        <w:jc w:val="center"/>
        <w:rPr>
          <w:b/>
          <w:b/>
          <w:sz w:val="21"/>
          <w:szCs w:val="21"/>
        </w:rPr>
      </w:pPr>
      <w:r>
        <w:rPr>
          <w:b/>
          <w:sz w:val="21"/>
          <w:szCs w:val="21"/>
        </w:rPr>
        <w:t>www.anthonylocascio.com</w:t>
      </w:r>
    </w:p>
    <w:p>
      <w:pPr>
        <w:pStyle w:val="Normal"/>
        <w:ind w:right="-540" w:hanging="0"/>
        <w:rPr>
          <w:b/>
          <w:b/>
          <w:sz w:val="20"/>
          <w:szCs w:val="20"/>
        </w:rPr>
      </w:pPr>
      <w:r>
        <w:rPr>
          <w:b/>
          <w:sz w:val="20"/>
          <w:szCs w:val="20"/>
        </w:rPr>
      </w:r>
    </w:p>
    <w:p>
      <w:pPr>
        <w:pStyle w:val="Normal"/>
        <w:ind w:right="-540" w:hanging="0"/>
        <w:rPr>
          <w:b/>
          <w:b/>
          <w:sz w:val="20"/>
          <w:szCs w:val="20"/>
        </w:rPr>
      </w:pPr>
      <w:r>
        <w:rPr>
          <w:b/>
          <w:sz w:val="20"/>
          <w:szCs w:val="20"/>
        </w:rPr>
      </w:r>
    </w:p>
    <w:p>
      <w:pPr>
        <w:pStyle w:val="Normal"/>
        <w:ind w:right="-540" w:hanging="0"/>
        <w:rPr>
          <w:b/>
          <w:b/>
          <w:sz w:val="20"/>
          <w:szCs w:val="20"/>
        </w:rPr>
      </w:pPr>
      <w:r>
        <w:rPr>
          <w:b/>
          <w:sz w:val="20"/>
          <w:szCs w:val="20"/>
        </w:rPr>
      </w:r>
    </w:p>
    <w:p>
      <w:pPr>
        <w:pStyle w:val="Normal"/>
        <w:ind w:left="4320" w:right="-540" w:firstLine="720"/>
        <w:rPr>
          <w:b/>
          <w:b/>
          <w:sz w:val="28"/>
          <w:szCs w:val="28"/>
          <w:u w:val="single"/>
        </w:rPr>
      </w:pPr>
      <w:r>
        <w:rPr>
          <w:b/>
          <w:sz w:val="28"/>
          <w:szCs w:val="28"/>
          <w:u w:val="single"/>
        </w:rPr>
        <w:t>Education</w:t>
      </w:r>
    </w:p>
    <w:p>
      <w:pPr>
        <w:pStyle w:val="Normal"/>
        <w:ind w:left="4320" w:right="-540" w:firstLine="720"/>
        <w:rPr>
          <w:sz w:val="20"/>
          <w:szCs w:val="20"/>
        </w:rPr>
      </w:pPr>
      <w:r>
        <w:rPr>
          <w:sz w:val="20"/>
          <w:szCs w:val="20"/>
        </w:rPr>
        <w:tab/>
      </w:r>
    </w:p>
    <w:p>
      <w:pPr>
        <w:pStyle w:val="Normal"/>
        <w:ind w:left="1440" w:right="-540" w:firstLine="720"/>
        <w:rPr/>
      </w:pPr>
      <w:r>
        <w:rPr>
          <w:u w:val="single"/>
        </w:rPr>
        <w:t>Wagner College</w:t>
      </w:r>
      <w:r>
        <w:rPr/>
        <w:t>, Staten Island, NY</w:t>
      </w:r>
    </w:p>
    <w:p>
      <w:pPr>
        <w:pStyle w:val="Normal"/>
        <w:ind w:left="1440" w:right="-540" w:firstLine="720"/>
        <w:rPr/>
      </w:pPr>
      <w:r>
        <w:rPr/>
        <w:t xml:space="preserve">Pre-Law/Minor in Business Administration; B.A., Political Science, </w:t>
      </w:r>
    </w:p>
    <w:p>
      <w:pPr>
        <w:pStyle w:val="Normal"/>
        <w:ind w:left="1440" w:right="-540" w:firstLine="720"/>
        <w:rPr/>
      </w:pPr>
      <w:r>
        <w:rPr/>
        <w:t>GPA 4.0, Cum Laude Graduate</w:t>
      </w:r>
    </w:p>
    <w:p>
      <w:pPr>
        <w:pStyle w:val="Normal"/>
        <w:ind w:left="720" w:hanging="0"/>
        <w:rPr/>
      </w:pPr>
      <w:r>
        <w:rPr/>
        <w:tab/>
        <w:tab/>
      </w:r>
      <w:r>
        <w:rPr>
          <w:u w:val="single"/>
        </w:rPr>
        <w:t>College for Financial Planning</w:t>
      </w:r>
      <w:r>
        <w:rPr/>
        <w:t>, Denver, CO</w:t>
      </w:r>
    </w:p>
    <w:p>
      <w:pPr>
        <w:pStyle w:val="Normal"/>
        <w:rPr/>
      </w:pPr>
      <w:r>
        <w:rPr/>
        <w:tab/>
        <w:tab/>
        <w:tab/>
      </w:r>
      <w:r>
        <w:rPr>
          <w:u w:val="single"/>
        </w:rPr>
        <w:t>Accreditation Council for Accountancy and Taxation</w:t>
      </w:r>
    </w:p>
    <w:p>
      <w:pPr>
        <w:pStyle w:val="Normal"/>
        <w:rPr/>
      </w:pPr>
      <w:r>
        <w:rPr/>
        <w:tab/>
        <w:tab/>
        <w:tab/>
      </w:r>
      <w:r>
        <w:rPr>
          <w:u w:val="single"/>
        </w:rPr>
        <w:t>Association for Investment Management &amp; Research</w:t>
      </w:r>
    </w:p>
    <w:p>
      <w:pPr>
        <w:pStyle w:val="Normal"/>
        <w:rPr/>
      </w:pPr>
      <w:r>
        <w:rPr/>
        <w:tab/>
        <w:tab/>
        <w:tab/>
      </w:r>
    </w:p>
    <w:p>
      <w:pPr>
        <w:pStyle w:val="Heading2"/>
        <w:rPr>
          <w:sz w:val="24"/>
        </w:rPr>
      </w:pPr>
      <w:r>
        <w:rPr>
          <w:sz w:val="24"/>
        </w:rPr>
        <w:tab/>
        <w:tab/>
        <w:tab/>
      </w:r>
    </w:p>
    <w:p>
      <w:pPr>
        <w:pStyle w:val="Normal"/>
        <w:rPr>
          <w:sz w:val="24"/>
        </w:rPr>
      </w:pPr>
      <w:r>
        <w:rPr>
          <w:sz w:val="24"/>
        </w:rPr>
      </w:r>
    </w:p>
    <w:p>
      <w:pPr>
        <w:pStyle w:val="Heading2"/>
        <w:ind w:left="4320" w:firstLine="720"/>
        <w:rPr>
          <w:bCs w:val="false"/>
          <w:sz w:val="28"/>
          <w:szCs w:val="28"/>
          <w:u w:val="single"/>
        </w:rPr>
      </w:pPr>
      <w:r>
        <w:rPr>
          <w:bCs w:val="false"/>
          <w:sz w:val="28"/>
          <w:szCs w:val="28"/>
          <w:u w:val="single"/>
        </w:rPr>
        <w:t>Designations</w:t>
      </w:r>
    </w:p>
    <w:p>
      <w:pPr>
        <w:pStyle w:val="Heading2"/>
        <w:ind w:left="4320" w:firstLine="720"/>
        <w:rPr>
          <w:b w:val="false"/>
          <w:b w:val="false"/>
          <w:bCs w:val="false"/>
          <w:szCs w:val="20"/>
        </w:rPr>
      </w:pPr>
      <w:r>
        <w:rPr>
          <w:b w:val="false"/>
          <w:bCs w:val="false"/>
          <w:szCs w:val="20"/>
        </w:rPr>
        <w:t xml:space="preserve"> </w:t>
      </w:r>
    </w:p>
    <w:p>
      <w:pPr>
        <w:pStyle w:val="Heading2"/>
        <w:ind w:left="1440" w:firstLine="720"/>
        <w:rPr>
          <w:b w:val="false"/>
          <w:b w:val="false"/>
          <w:bCs w:val="false"/>
          <w:sz w:val="24"/>
        </w:rPr>
      </w:pPr>
      <w:r>
        <w:rPr>
          <w:b w:val="false"/>
          <w:bCs w:val="false"/>
          <w:sz w:val="24"/>
        </w:rPr>
        <w:t>CERTIFIED FINANCIAL PLANNER™ Practitioner</w:t>
      </w:r>
    </w:p>
    <w:p>
      <w:pPr>
        <w:pStyle w:val="Normal"/>
        <w:rPr/>
      </w:pPr>
      <w:r>
        <w:rPr/>
        <w:tab/>
        <w:tab/>
        <w:tab/>
        <w:t>ENROLLED AGENT: Enrolled to represent taxpayers before the Internal Revenue Service</w:t>
      </w:r>
    </w:p>
    <w:p>
      <w:pPr>
        <w:pStyle w:val="Normal"/>
        <w:ind w:left="720" w:hanging="0"/>
        <w:rPr>
          <w:lang w:val="nb-NO"/>
        </w:rPr>
      </w:pPr>
      <w:r>
        <w:rPr/>
        <w:tab/>
        <w:tab/>
      </w:r>
      <w:r>
        <w:rPr>
          <w:lang w:val="nb-NO"/>
        </w:rPr>
        <w:t>Ed Slott Master Elite IRA Advisor</w:t>
      </w:r>
    </w:p>
    <w:p>
      <w:pPr>
        <w:pStyle w:val="Normal"/>
        <w:rPr>
          <w:rFonts w:ascii="Tahoma" w:hAnsi="Tahoma" w:cs="Tahoma"/>
          <w:sz w:val="20"/>
          <w:szCs w:val="20"/>
        </w:rPr>
      </w:pPr>
      <w:r>
        <w:rPr>
          <w:lang w:val="nb-NO"/>
        </w:rPr>
        <w:tab/>
        <w:tab/>
        <w:tab/>
      </w:r>
      <w:r>
        <w:rPr>
          <w:rFonts w:cs="Tahoma" w:ascii="Tahoma" w:hAnsi="Tahoma"/>
        </w:rPr>
        <w:tab/>
      </w:r>
    </w:p>
    <w:p>
      <w:pPr>
        <w:pStyle w:val="Normal"/>
        <w:rPr>
          <w:sz w:val="20"/>
          <w:szCs w:val="20"/>
        </w:rPr>
      </w:pPr>
      <w:r>
        <w:rPr>
          <w:b/>
        </w:rPr>
        <w:t xml:space="preserve">             </w:t>
      </w:r>
      <w:r>
        <w:rPr>
          <w:b/>
          <w:u w:val="single"/>
        </w:rPr>
        <w:t xml:space="preserve"> </w:t>
      </w:r>
    </w:p>
    <w:p>
      <w:pPr>
        <w:pStyle w:val="Normal"/>
        <w:ind w:left="4320" w:firstLine="720"/>
        <w:rPr>
          <w:sz w:val="28"/>
          <w:szCs w:val="28"/>
          <w:u w:val="single"/>
        </w:rPr>
      </w:pPr>
      <w:r>
        <w:rPr>
          <w:b/>
          <w:sz w:val="28"/>
          <w:szCs w:val="28"/>
          <w:u w:val="single"/>
        </w:rPr>
        <w:t>Affiliations</w:t>
      </w:r>
    </w:p>
    <w:p>
      <w:pPr>
        <w:pStyle w:val="Normal"/>
        <w:ind w:left="4320" w:firstLine="720"/>
        <w:rPr>
          <w:sz w:val="20"/>
          <w:szCs w:val="20"/>
          <w:u w:val="single"/>
        </w:rPr>
      </w:pPr>
      <w:r>
        <w:rPr>
          <w:sz w:val="20"/>
          <w:szCs w:val="20"/>
          <w:u w:val="single"/>
        </w:rPr>
      </w:r>
    </w:p>
    <w:p>
      <w:pPr>
        <w:pStyle w:val="Normal"/>
        <w:rPr/>
      </w:pPr>
      <w:r>
        <w:rPr>
          <w:sz w:val="20"/>
          <w:szCs w:val="20"/>
        </w:rPr>
        <w:tab/>
        <w:tab/>
        <w:tab/>
      </w:r>
      <w:r>
        <w:rPr/>
        <w:t xml:space="preserve">Certified Financial Planner Board of Standards, Inc. </w:t>
      </w:r>
    </w:p>
    <w:p>
      <w:pPr>
        <w:pStyle w:val="Normal"/>
        <w:rPr/>
      </w:pPr>
      <w:r>
        <w:rPr/>
        <w:tab/>
        <w:tab/>
        <w:tab/>
        <w:t>Financial Planning Association</w:t>
      </w:r>
    </w:p>
    <w:p>
      <w:pPr>
        <w:pStyle w:val="Normal"/>
        <w:rPr/>
      </w:pPr>
      <w:r>
        <w:rPr/>
        <w:tab/>
        <w:tab/>
        <w:tab/>
        <w:t>Financial Planning Association of NJ</w:t>
      </w:r>
    </w:p>
    <w:p>
      <w:pPr>
        <w:pStyle w:val="Normal"/>
        <w:rPr/>
      </w:pPr>
      <w:r>
        <w:rPr/>
        <w:tab/>
        <w:tab/>
        <w:tab/>
        <w:t>National Association of Enrolled Agents</w:t>
      </w:r>
    </w:p>
    <w:p>
      <w:pPr>
        <w:pStyle w:val="Normal"/>
        <w:rPr/>
      </w:pPr>
      <w:r>
        <w:rPr/>
        <w:tab/>
        <w:tab/>
        <w:tab/>
        <w:t xml:space="preserve">New Jersey Department of Banking &amp; Insurance </w:t>
      </w:r>
    </w:p>
    <w:p>
      <w:pPr>
        <w:pStyle w:val="Normal"/>
        <w:rPr/>
      </w:pPr>
      <w:r>
        <w:rPr/>
        <w:tab/>
        <w:tab/>
        <w:tab/>
        <w:t>Better Business Bureau</w:t>
      </w:r>
    </w:p>
    <w:p>
      <w:pPr>
        <w:pStyle w:val="Normal"/>
        <w:rPr/>
      </w:pPr>
      <w:r>
        <w:rPr/>
        <w:tab/>
        <w:tab/>
        <w:tab/>
        <w:t>National Association of Tax Practitioners</w:t>
        <w:tab/>
        <w:tab/>
        <w:tab/>
        <w:tab/>
        <w:tab/>
        <w:tab/>
        <w:tab/>
      </w:r>
    </w:p>
    <w:p>
      <w:pPr>
        <w:pStyle w:val="Normal"/>
        <w:rPr/>
      </w:pPr>
      <w:r>
        <w:rPr/>
        <w:tab/>
        <w:tab/>
        <w:tab/>
        <w:t>Member of Ed Slott’s Master Elite IRA Advisor Group</w:t>
      </w:r>
    </w:p>
    <w:p>
      <w:pPr>
        <w:pStyle w:val="Normal"/>
        <w:rPr/>
      </w:pPr>
      <w:r>
        <w:rPr/>
        <w:tab/>
        <w:tab/>
        <w:tab/>
      </w:r>
    </w:p>
    <w:p>
      <w:pPr>
        <w:pStyle w:val="Normal"/>
        <w:rPr/>
      </w:pPr>
      <w:r>
        <w:rPr/>
      </w:r>
    </w:p>
    <w:p>
      <w:pPr>
        <w:pStyle w:val="Normal"/>
        <w:rPr/>
      </w:pPr>
      <w:r>
        <w:rPr/>
      </w:r>
    </w:p>
    <w:p>
      <w:pPr>
        <w:pStyle w:val="Normal"/>
        <w:rPr/>
      </w:pPr>
      <w:r>
        <w:rPr/>
      </w:r>
    </w:p>
    <w:p>
      <w:pPr>
        <w:pStyle w:val="Normal"/>
        <w:rPr/>
      </w:pPr>
      <w:r>
        <w:rPr/>
      </w:r>
    </w:p>
    <w:p>
      <w:pPr>
        <w:pStyle w:val="Normal"/>
        <w:shd w:fill="FFFFFF" w:val="clear"/>
        <w:jc w:val="center"/>
        <w:rPr>
          <w:b/>
          <w:b/>
          <w:color w:val="000000"/>
          <w:sz w:val="16"/>
          <w:szCs w:val="16"/>
        </w:rPr>
      </w:pPr>
      <w:r>
        <w:rPr>
          <w:b/>
          <w:i/>
          <w:iCs/>
          <w:color w:val="000000"/>
          <w:sz w:val="16"/>
          <w:szCs w:val="16"/>
          <w:highlight w:val="white"/>
        </w:rPr>
        <w:t>Anthony E. LoCascio is registered with and securities offered through Kovack Securities, Inc. Member FINRA/SIPC. 6451 N. Federal Highway, Suite 1201, Ft. Lauderdale, FL 33308 (954) 782-4771. </w:t>
      </w:r>
      <w:r>
        <w:rPr>
          <w:b/>
          <w:i/>
          <w:iCs/>
          <w:color w:val="000000"/>
          <w:sz w:val="16"/>
          <w:szCs w:val="16"/>
        </w:rPr>
        <w:t>Anthony LoCascio Consulting, LLC offers Financial Planning and Investment Advisory services through Investment Capital Advisors LLC. Anthony LoCascio Consulting, LLC and Investment Capital Advisors LLC are not affiliated with Kovack Securities, Inc. or Kovack Advisors, Inc.  Kovack Securities, Inc. and Kovack Advisors, Inc. do not provide tax and/or legal advice. Anthony LoCascio Consulting offers Tax Planning Services.</w:t>
      </w:r>
    </w:p>
    <w:p>
      <w:pPr>
        <w:pStyle w:val="Normal"/>
        <w:jc w:val="center"/>
        <w:rPr>
          <w:b/>
          <w:b/>
          <w:i/>
          <w:i/>
          <w:color w:val="000000"/>
          <w:sz w:val="16"/>
          <w:szCs w:val="16"/>
        </w:rPr>
      </w:pPr>
      <w:r>
        <w:rPr>
          <w:b/>
          <w:i/>
          <w:color w:val="000000"/>
          <w:sz w:val="16"/>
          <w:szCs w:val="16"/>
        </w:rPr>
      </w:r>
    </w:p>
    <w:p>
      <w:pPr>
        <w:pStyle w:val="Normal"/>
        <w:rPr>
          <w:rFonts w:ascii="Arial" w:hAnsi="Arial" w:cs="Arial"/>
          <w:i/>
          <w:i/>
          <w:sz w:val="16"/>
          <w:szCs w:val="16"/>
        </w:rPr>
      </w:pPr>
      <w:r>
        <w:rPr>
          <w:rFonts w:cs="Arial" w:ascii="Arial" w:hAnsi="Arial"/>
          <w:i/>
          <w:sz w:val="16"/>
          <w:szCs w:val="16"/>
        </w:rPr>
      </w:r>
    </w:p>
    <w:p>
      <w:pPr>
        <w:pStyle w:val="Normal"/>
        <w:rPr>
          <w:rFonts w:ascii="Arial" w:hAnsi="Arial" w:cs="Arial"/>
          <w:i/>
          <w:i/>
          <w:sz w:val="20"/>
          <w:szCs w:val="20"/>
        </w:rPr>
      </w:pPr>
      <w:r>
        <w:rPr>
          <w:rFonts w:cs="Arial" w:ascii="Arial" w:hAnsi="Arial"/>
          <w:i/>
          <w:sz w:val="20"/>
          <w:szCs w:val="20"/>
        </w:rPr>
      </w:r>
    </w:p>
    <w:p>
      <w:pPr>
        <w:pStyle w:val="Normal"/>
        <w:rPr>
          <w:rFonts w:ascii="Arial" w:hAnsi="Arial" w:cs="Arial"/>
          <w:i/>
          <w:i/>
          <w:sz w:val="16"/>
          <w:szCs w:val="16"/>
        </w:rPr>
      </w:pPr>
      <w:r>
        <w:rPr>
          <w:rFonts w:cs="Arial" w:ascii="Arial" w:hAnsi="Arial"/>
          <w:i/>
          <w:sz w:val="16"/>
          <w:szCs w:val="16"/>
        </w:rPr>
      </w:r>
    </w:p>
    <w:p>
      <w:pPr>
        <w:pStyle w:val="Normal"/>
        <w:rPr>
          <w:rFonts w:ascii="Arial" w:hAnsi="Arial" w:cs="Arial"/>
          <w:i/>
          <w:i/>
          <w:sz w:val="28"/>
          <w:szCs w:val="28"/>
        </w:rPr>
      </w:pPr>
      <w:r>
        <w:rPr>
          <w:rFonts w:cs="Arial" w:ascii="Arial" w:hAnsi="Arial"/>
          <w:i/>
          <w:sz w:val="28"/>
          <w:szCs w:val="28"/>
        </w:rPr>
      </w:r>
    </w:p>
    <w:p>
      <w:pPr>
        <w:pStyle w:val="Normal"/>
        <w:rPr/>
      </w:pPr>
      <w:r>
        <w:rPr>
          <w:sz w:val="20"/>
          <w:szCs w:val="20"/>
        </w:rPr>
        <w:t xml:space="preserve">                          </w:t>
      </w:r>
      <w:r>
        <w:rPr>
          <w:sz w:val="20"/>
          <w:szCs w:val="20"/>
        </w:rPr>
        <w:tab/>
        <w:tab/>
        <w:tab/>
      </w:r>
    </w:p>
    <w:p>
      <w:pPr>
        <w:pStyle w:val="Normal"/>
        <w:ind w:left="720" w:hanging="720"/>
        <w:jc w:val="center"/>
        <w:rPr>
          <w:b/>
          <w:b/>
          <w:bCs/>
          <w:i/>
          <w:i/>
          <w:sz w:val="16"/>
          <w:szCs w:val="16"/>
        </w:rPr>
      </w:pPr>
      <w:r>
        <w:rPr>
          <w:b/>
          <w:bCs/>
          <w:i/>
          <w:sz w:val="16"/>
          <w:szCs w:val="16"/>
        </w:rPr>
      </w:r>
    </w:p>
    <w:p>
      <w:pPr>
        <w:pStyle w:val="Normal"/>
        <w:ind w:left="720" w:hanging="720"/>
        <w:jc w:val="center"/>
        <w:rPr>
          <w:b/>
          <w:b/>
          <w:bCs/>
          <w:i/>
          <w:i/>
          <w:sz w:val="16"/>
          <w:szCs w:val="16"/>
        </w:rPr>
      </w:pPr>
      <w:r>
        <w:rPr>
          <w:b/>
          <w:bCs/>
          <w:i/>
          <w:sz w:val="16"/>
          <w:szCs w:val="16"/>
        </w:rPr>
      </w:r>
    </w:p>
    <w:p>
      <w:pPr>
        <w:pStyle w:val="Normal"/>
        <w:jc w:val="center"/>
        <w:rPr>
          <w:rFonts w:ascii="Bookman Old Style" w:hAnsi="Bookman Old Style" w:cs="Bookman Old Style"/>
          <w:bCs/>
          <w:i/>
          <w:i/>
          <w:sz w:val="16"/>
          <w:szCs w:val="16"/>
        </w:rPr>
      </w:pPr>
      <w:r>
        <w:rPr>
          <w:rFonts w:cs="Bookman Old Style" w:ascii="Bookman Old Style" w:hAnsi="Bookman Old Style"/>
          <w:bCs/>
          <w:i/>
          <w:sz w:val="16"/>
          <w:szCs w:val="16"/>
        </w:rPr>
      </w:r>
    </w:p>
    <w:p>
      <w:pPr>
        <w:pStyle w:val="Normal"/>
        <w:jc w:val="center"/>
        <w:rPr>
          <w:rFonts w:ascii="Bookman Old Style" w:hAnsi="Bookman Old Style" w:cs="Bookman Old Style"/>
          <w:sz w:val="20"/>
          <w:szCs w:val="20"/>
        </w:rPr>
      </w:pPr>
      <w:r>
        <w:rPr>
          <w:rFonts w:cs="Bookman Old Style" w:ascii="Bookman Old Style" w:hAnsi="Bookman Old Style"/>
          <w:sz w:val="20"/>
          <w:szCs w:val="20"/>
        </w:rPr>
      </w:r>
    </w:p>
    <w:p>
      <w:pPr>
        <w:pStyle w:val="Normal"/>
        <w:rPr>
          <w:rFonts w:ascii="Bookman Old Style" w:hAnsi="Bookman Old Style" w:cs="Bookman Old Style"/>
          <w:sz w:val="20"/>
          <w:szCs w:val="20"/>
        </w:rPr>
      </w:pPr>
      <w:r>
        <w:rPr>
          <w:rFonts w:cs="Bookman Old Style" w:ascii="Bookman Old Style" w:hAnsi="Bookman Old Style"/>
          <w:sz w:val="20"/>
          <w:szCs w:val="20"/>
        </w:rPr>
      </w:r>
    </w:p>
    <w:p>
      <w:pPr>
        <w:pStyle w:val="Normal"/>
        <w:rPr>
          <w:rFonts w:ascii="Bookman Old Style" w:hAnsi="Bookman Old Style" w:cs="Bookman Old Style"/>
          <w:sz w:val="20"/>
          <w:szCs w:val="20"/>
        </w:rPr>
      </w:pPr>
      <w:r>
        <w:rPr>
          <w:rFonts w:cs="Bookman Old Style" w:ascii="Bookman Old Style" w:hAnsi="Bookman Old Style"/>
          <w:sz w:val="20"/>
          <w:szCs w:val="20"/>
        </w:rPr>
      </w:r>
    </w:p>
    <w:p>
      <w:pPr>
        <w:pStyle w:val="Normal"/>
        <w:shd w:fill="FFFFFF" w:val="clear"/>
        <w:jc w:val="center"/>
        <w:rPr>
          <w:rFonts w:ascii="Bookman Old Style" w:hAnsi="Bookman Old Style" w:cs="Bookman Old Style"/>
          <w:b/>
          <w:b/>
          <w:sz w:val="36"/>
          <w:szCs w:val="36"/>
        </w:rPr>
      </w:pPr>
      <w:r>
        <w:rPr>
          <w:rFonts w:cs="Bookman Old Style" w:ascii="Bookman Old Style" w:hAnsi="Bookman Old Style"/>
          <w:b/>
          <w:sz w:val="36"/>
          <w:szCs w:val="36"/>
        </w:rPr>
      </w:r>
    </w:p>
    <w:p>
      <w:pPr>
        <w:pStyle w:val="Normal"/>
        <w:shd w:fill="FFFFFF" w:val="clear"/>
        <w:jc w:val="center"/>
        <w:rPr>
          <w:b/>
          <w:b/>
          <w:sz w:val="36"/>
          <w:szCs w:val="36"/>
        </w:rPr>
      </w:pPr>
      <w:r>
        <w:rPr>
          <w:b/>
          <w:sz w:val="36"/>
          <w:szCs w:val="36"/>
        </w:rPr>
      </w:r>
    </w:p>
    <w:p>
      <w:pPr>
        <w:pStyle w:val="Normal"/>
        <w:shd w:fill="FFFFFF" w:val="clear"/>
        <w:jc w:val="center"/>
        <w:rPr>
          <w:b/>
          <w:b/>
          <w:sz w:val="36"/>
          <w:szCs w:val="36"/>
        </w:rPr>
      </w:pPr>
      <w:r>
        <w:rPr>
          <w:b/>
          <w:sz w:val="36"/>
          <w:szCs w:val="36"/>
        </w:rPr>
        <w:t>A</w:t>
      </w:r>
      <w:r>
        <w:rPr>
          <w:b/>
          <w:sz w:val="28"/>
          <w:szCs w:val="28"/>
        </w:rPr>
        <w:t>NTHONY</w:t>
      </w:r>
      <w:r>
        <w:rPr>
          <w:b/>
          <w:sz w:val="36"/>
          <w:szCs w:val="36"/>
        </w:rPr>
        <w:t xml:space="preserve"> E. L</w:t>
      </w:r>
      <w:r>
        <w:rPr>
          <w:b/>
          <w:sz w:val="28"/>
          <w:szCs w:val="28"/>
        </w:rPr>
        <w:t>O</w:t>
      </w:r>
      <w:r>
        <w:rPr>
          <w:b/>
          <w:sz w:val="36"/>
          <w:szCs w:val="36"/>
        </w:rPr>
        <w:t>C</w:t>
      </w:r>
      <w:r>
        <w:rPr>
          <w:b/>
          <w:sz w:val="28"/>
          <w:szCs w:val="28"/>
        </w:rPr>
        <w:t>ASCIO</w:t>
      </w:r>
      <w:r>
        <w:rPr>
          <w:b/>
          <w:sz w:val="36"/>
          <w:szCs w:val="36"/>
        </w:rPr>
        <w:t>, CFP® EA</w:t>
      </w:r>
    </w:p>
    <w:p>
      <w:pPr>
        <w:pStyle w:val="Normal"/>
        <w:shd w:fill="FFFFFF" w:val="clear"/>
        <w:jc w:val="center"/>
        <w:rPr>
          <w:b/>
          <w:b/>
          <w:sz w:val="32"/>
          <w:szCs w:val="32"/>
        </w:rPr>
      </w:pPr>
      <w:r>
        <w:rPr>
          <w:b/>
          <w:sz w:val="32"/>
          <w:szCs w:val="32"/>
        </w:rPr>
        <w:t>A</w:t>
      </w:r>
      <w:r>
        <w:rPr>
          <w:b/>
          <w:sz w:val="28"/>
          <w:szCs w:val="28"/>
        </w:rPr>
        <w:t xml:space="preserve">NTHONY </w:t>
      </w:r>
      <w:r>
        <w:rPr>
          <w:b/>
          <w:sz w:val="32"/>
          <w:szCs w:val="32"/>
        </w:rPr>
        <w:t>L</w:t>
      </w:r>
      <w:r>
        <w:rPr>
          <w:b/>
          <w:sz w:val="28"/>
          <w:szCs w:val="28"/>
        </w:rPr>
        <w:t>O</w:t>
      </w:r>
      <w:r>
        <w:rPr>
          <w:b/>
          <w:sz w:val="32"/>
          <w:szCs w:val="32"/>
        </w:rPr>
        <w:t>C</w:t>
      </w:r>
      <w:r>
        <w:rPr>
          <w:b/>
          <w:sz w:val="28"/>
          <w:szCs w:val="28"/>
        </w:rPr>
        <w:t xml:space="preserve">ASCIO </w:t>
      </w:r>
      <w:r>
        <w:rPr>
          <w:b/>
          <w:sz w:val="32"/>
          <w:szCs w:val="32"/>
        </w:rPr>
        <w:t>C</w:t>
      </w:r>
      <w:r>
        <w:rPr>
          <w:b/>
          <w:sz w:val="28"/>
          <w:szCs w:val="28"/>
        </w:rPr>
        <w:t xml:space="preserve">ONSULTING, </w:t>
      </w:r>
      <w:r>
        <w:rPr>
          <w:b/>
          <w:sz w:val="32"/>
          <w:szCs w:val="32"/>
        </w:rPr>
        <w:t>LLC</w:t>
      </w:r>
    </w:p>
    <w:p>
      <w:pPr>
        <w:pStyle w:val="Normal"/>
        <w:rPr>
          <w:rFonts w:ascii="Bookman Old Style" w:hAnsi="Bookman Old Style" w:cs="Bookman Old Style"/>
          <w:b/>
          <w:b/>
          <w:sz w:val="20"/>
          <w:szCs w:val="20"/>
        </w:rPr>
      </w:pPr>
      <w:r>
        <w:rPr>
          <w:rFonts w:cs="Bookman Old Style" w:ascii="Bookman Old Style" w:hAnsi="Bookman Old Style"/>
          <w:b/>
          <w:sz w:val="20"/>
          <w:szCs w:val="20"/>
        </w:rPr>
      </w:r>
    </w:p>
    <w:p>
      <w:pPr>
        <w:pStyle w:val="Normal"/>
        <w:rPr>
          <w:rFonts w:ascii="Bookman Old Style" w:hAnsi="Bookman Old Style" w:cs="Bookman Old Style"/>
          <w:sz w:val="20"/>
          <w:szCs w:val="20"/>
        </w:rPr>
      </w:pPr>
      <w:r>
        <w:rPr>
          <w:rFonts w:cs="Bookman Old Style" w:ascii="Bookman Old Style" w:hAnsi="Bookman Old Style"/>
          <w:sz w:val="20"/>
          <w:szCs w:val="20"/>
        </w:rPr>
      </w:r>
    </w:p>
    <w:p>
      <w:pPr>
        <w:pStyle w:val="Normal"/>
        <w:rPr>
          <w:rFonts w:ascii="Bookman Old Style" w:hAnsi="Bookman Old Style" w:cs="Bookman Old Style"/>
          <w:sz w:val="20"/>
          <w:szCs w:val="20"/>
        </w:rPr>
      </w:pPr>
      <w:r>
        <w:rPr>
          <w:rFonts w:cs="Bookman Old Style" w:ascii="Bookman Old Style" w:hAnsi="Bookman Old Style"/>
          <w:sz w:val="20"/>
          <w:szCs w:val="20"/>
        </w:rPr>
      </w:r>
    </w:p>
    <w:p>
      <w:pPr>
        <w:pStyle w:val="Normal"/>
        <w:rPr>
          <w:rFonts w:ascii="Bookman Old Style" w:hAnsi="Bookman Old Style" w:cs="Bookman Old Style"/>
          <w:sz w:val="20"/>
          <w:szCs w:val="20"/>
        </w:rPr>
      </w:pPr>
      <w:r>
        <w:rPr>
          <w:rFonts w:cs="Bookman Old Style" w:ascii="Bookman Old Style" w:hAnsi="Bookman Old Style"/>
          <w:sz w:val="20"/>
          <w:szCs w:val="20"/>
        </w:rPr>
      </w:r>
    </w:p>
    <w:p>
      <w:pPr>
        <w:pStyle w:val="Heading2"/>
        <w:ind w:left="4320" w:firstLine="720"/>
        <w:rPr>
          <w:rFonts w:ascii="Bookman Old Style" w:hAnsi="Bookman Old Style" w:cs="Bookman Old Style"/>
          <w:b w:val="false"/>
          <w:b w:val="false"/>
          <w:bCs w:val="false"/>
          <w:sz w:val="20"/>
          <w:szCs w:val="20"/>
        </w:rPr>
      </w:pPr>
      <w:r>
        <w:rPr>
          <w:rFonts w:cs="Bookman Old Style" w:ascii="Bookman Old Style" w:hAnsi="Bookman Old Style"/>
          <w:b w:val="false"/>
          <w:bCs w:val="false"/>
          <w:sz w:val="20"/>
          <w:szCs w:val="20"/>
        </w:rPr>
      </w:r>
    </w:p>
    <w:p>
      <w:pPr>
        <w:pStyle w:val="Heading2"/>
        <w:ind w:left="4320" w:hanging="0"/>
        <w:rPr>
          <w:bCs w:val="false"/>
          <w:sz w:val="28"/>
          <w:szCs w:val="28"/>
          <w:u w:val="single"/>
        </w:rPr>
      </w:pPr>
      <w:r>
        <w:rPr>
          <w:bCs w:val="false"/>
          <w:sz w:val="28"/>
          <w:szCs w:val="28"/>
          <w:u w:val="single"/>
        </w:rPr>
        <w:t xml:space="preserve">Accomplishments </w:t>
      </w:r>
    </w:p>
    <w:p>
      <w:pPr>
        <w:pStyle w:val="Normal"/>
        <w:rPr>
          <w:bCs/>
          <w:sz w:val="28"/>
          <w:szCs w:val="28"/>
          <w:u w:val="single"/>
        </w:rPr>
      </w:pPr>
      <w:r>
        <w:rPr>
          <w:bCs/>
          <w:sz w:val="28"/>
          <w:szCs w:val="28"/>
          <w:u w:val="single"/>
        </w:rPr>
      </w:r>
    </w:p>
    <w:p>
      <w:pPr>
        <w:pStyle w:val="Normal"/>
        <w:numPr>
          <w:ilvl w:val="0"/>
          <w:numId w:val="4"/>
        </w:numPr>
        <w:rPr/>
      </w:pPr>
      <w:r>
        <w:rPr/>
        <w:t xml:space="preserve">Host of Radio Show, </w:t>
      </w:r>
      <w:r>
        <w:rPr>
          <w:b/>
          <w:bCs/>
        </w:rPr>
        <w:t xml:space="preserve">“Make Your Money Work” </w:t>
      </w:r>
    </w:p>
    <w:p>
      <w:pPr>
        <w:pStyle w:val="Normal"/>
        <w:ind w:left="2520" w:hanging="0"/>
        <w:rPr/>
      </w:pPr>
      <w:r>
        <w:rPr/>
      </w:r>
    </w:p>
    <w:p>
      <w:pPr>
        <w:pStyle w:val="Normal"/>
        <w:numPr>
          <w:ilvl w:val="0"/>
          <w:numId w:val="4"/>
        </w:numPr>
        <w:rPr/>
      </w:pPr>
      <w:r>
        <w:rPr/>
        <w:t xml:space="preserve">Interviewed by </w:t>
      </w:r>
      <w:r>
        <w:rPr>
          <w:b/>
          <w:bCs/>
        </w:rPr>
        <w:t xml:space="preserve">NBC, Fox News, CNBC, </w:t>
      </w:r>
    </w:p>
    <w:p>
      <w:pPr>
        <w:pStyle w:val="Normal"/>
        <w:ind w:left="2880" w:hanging="0"/>
        <w:rPr/>
      </w:pPr>
      <w:r>
        <w:rPr>
          <w:b/>
          <w:bCs/>
        </w:rPr>
        <w:t>The New York Post, Reader’s Digest and the NY Times</w:t>
      </w:r>
      <w:r>
        <w:rPr>
          <w:bCs/>
        </w:rPr>
        <w:t>, 2001</w:t>
      </w:r>
    </w:p>
    <w:p>
      <w:pPr>
        <w:pStyle w:val="Normal"/>
        <w:ind w:left="2880" w:hanging="0"/>
        <w:rPr>
          <w:b/>
          <w:b/>
          <w:bCs/>
        </w:rPr>
      </w:pPr>
      <w:r>
        <w:rPr>
          <w:b/>
          <w:bCs/>
        </w:rPr>
      </w:r>
    </w:p>
    <w:p>
      <w:pPr>
        <w:pStyle w:val="Normal"/>
        <w:numPr>
          <w:ilvl w:val="0"/>
          <w:numId w:val="3"/>
        </w:numPr>
        <w:rPr>
          <w:bCs/>
        </w:rPr>
      </w:pPr>
      <w:r>
        <w:rPr>
          <w:bCs/>
        </w:rPr>
        <w:t xml:space="preserve">Author </w:t>
      </w:r>
    </w:p>
    <w:p>
      <w:pPr>
        <w:pStyle w:val="Normal"/>
        <w:ind w:left="1440" w:firstLine="720"/>
        <w:rPr/>
      </w:pPr>
      <w:r>
        <w:rPr/>
        <w:tab/>
      </w:r>
    </w:p>
    <w:p>
      <w:pPr>
        <w:pStyle w:val="Normal"/>
        <w:numPr>
          <w:ilvl w:val="0"/>
          <w:numId w:val="2"/>
        </w:numPr>
        <w:rPr/>
      </w:pPr>
      <w:r>
        <w:rPr/>
        <w:t xml:space="preserve">Nominated to </w:t>
      </w:r>
      <w:r>
        <w:rPr>
          <w:b/>
          <w:bCs/>
        </w:rPr>
        <w:t>Worth Magazine</w:t>
      </w:r>
      <w:r>
        <w:rPr/>
        <w:t xml:space="preserve"> as one of the top Financial</w:t>
      </w:r>
    </w:p>
    <w:p>
      <w:pPr>
        <w:pStyle w:val="Normal"/>
        <w:ind w:left="720" w:firstLine="720"/>
        <w:rPr/>
      </w:pPr>
      <w:r>
        <w:rPr/>
        <w:t xml:space="preserve">           </w:t>
      </w:r>
      <w:r>
        <w:rPr/>
        <w:tab/>
        <w:t xml:space="preserve">             Advisors in America, 1998 </w:t>
      </w:r>
    </w:p>
    <w:p>
      <w:pPr>
        <w:pStyle w:val="Normal"/>
        <w:ind w:left="720" w:firstLine="720"/>
        <w:rPr/>
      </w:pPr>
      <w:r>
        <w:rPr/>
        <w:t xml:space="preserve">                       </w:t>
      </w:r>
    </w:p>
    <w:p>
      <w:pPr>
        <w:pStyle w:val="Normal"/>
        <w:numPr>
          <w:ilvl w:val="0"/>
          <w:numId w:val="2"/>
        </w:numPr>
        <w:rPr/>
      </w:pPr>
      <w:r>
        <w:rPr/>
        <w:t xml:space="preserve">Hosted </w:t>
      </w:r>
      <w:r>
        <w:rPr>
          <w:b/>
          <w:bCs/>
        </w:rPr>
        <w:t>“Who Stole the American Dream?”</w:t>
      </w:r>
      <w:r>
        <w:rPr/>
        <w:t xml:space="preserve"> cable TV show, 1998</w:t>
      </w:r>
    </w:p>
    <w:p>
      <w:pPr>
        <w:pStyle w:val="Normal"/>
        <w:ind w:left="2520" w:hanging="0"/>
        <w:rPr/>
      </w:pPr>
      <w:r>
        <w:rPr/>
      </w:r>
    </w:p>
    <w:p>
      <w:pPr>
        <w:pStyle w:val="Normal"/>
        <w:ind w:left="2520" w:hanging="0"/>
        <w:rPr/>
      </w:pPr>
      <w:r>
        <w:rPr/>
      </w:r>
    </w:p>
    <w:p>
      <w:pPr>
        <w:pStyle w:val="Normal"/>
        <w:rPr/>
      </w:pPr>
      <w:r>
        <w:rPr/>
      </w:r>
    </w:p>
    <w:p>
      <w:pPr>
        <w:pStyle w:val="Normal"/>
        <w:rPr/>
      </w:pPr>
      <w:r>
        <w:rPr/>
        <w:tab/>
      </w:r>
    </w:p>
    <w:p>
      <w:pPr>
        <w:pStyle w:val="Normal"/>
        <w:rPr>
          <w:sz w:val="20"/>
          <w:szCs w:val="20"/>
        </w:rPr>
      </w:pPr>
      <w:r>
        <w:rPr>
          <w:sz w:val="20"/>
          <w:szCs w:val="20"/>
        </w:rPr>
        <w:tab/>
      </w:r>
    </w:p>
    <w:p>
      <w:pPr>
        <w:pStyle w:val="Normal"/>
        <w:ind w:left="1440" w:hanging="0"/>
        <w:rPr>
          <w:sz w:val="20"/>
          <w:szCs w:val="20"/>
        </w:rPr>
      </w:pPr>
      <w:r>
        <w:rPr>
          <w:sz w:val="20"/>
          <w:szCs w:val="20"/>
        </w:rPr>
      </w:r>
    </w:p>
    <w:p>
      <w:pPr>
        <w:pStyle w:val="Normal"/>
        <w:ind w:left="2520" w:hanging="0"/>
        <w:rPr>
          <w:sz w:val="20"/>
          <w:szCs w:val="20"/>
        </w:rPr>
      </w:pPr>
      <w:r>
        <w:rPr>
          <w:sz w:val="20"/>
          <w:szCs w:val="20"/>
        </w:rPr>
        <w:tab/>
        <w:tab/>
        <w:tab/>
      </w:r>
      <w:r>
        <w:rPr/>
        <w:drawing>
          <wp:inline distT="0" distB="0" distL="0" distR="0">
            <wp:extent cx="1124585" cy="907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 t="-6" r="-5" b="-6"/>
                    <a:stretch>
                      <a:fillRect/>
                    </a:stretch>
                  </pic:blipFill>
                  <pic:spPr bwMode="auto">
                    <a:xfrm>
                      <a:off x="0" y="0"/>
                      <a:ext cx="1124585" cy="907415"/>
                    </a:xfrm>
                    <a:prstGeom prst="rect">
                      <a:avLst/>
                    </a:prstGeom>
                  </pic:spPr>
                </pic:pic>
              </a:graphicData>
            </a:graphic>
          </wp:inline>
        </w:drawing>
      </w:r>
    </w:p>
    <w:p>
      <w:pPr>
        <w:pStyle w:val="Normal"/>
        <w:rPr>
          <w:sz w:val="20"/>
          <w:szCs w:val="20"/>
        </w:rPr>
      </w:pPr>
      <w:r>
        <w:rPr>
          <w:sz w:val="20"/>
          <w:szCs w:val="20"/>
        </w:rPr>
      </w:r>
    </w:p>
    <w:p>
      <w:pPr>
        <w:pStyle w:val="Normal"/>
        <w:rPr>
          <w:sz w:val="20"/>
          <w:szCs w:val="20"/>
        </w:rPr>
      </w:pPr>
      <w:r>
        <w:rPr>
          <w:sz w:val="20"/>
          <w:szCs w:val="20"/>
        </w:rPr>
      </w:r>
    </w:p>
    <w:p>
      <w:pPr>
        <w:pStyle w:val="Normal"/>
        <w:rPr>
          <w:sz w:val="18"/>
        </w:rPr>
      </w:pPr>
      <w:r>
        <w:rPr>
          <w:sz w:val="18"/>
        </w:rPr>
      </w:r>
    </w:p>
    <w:p>
      <w:pPr>
        <w:pStyle w:val="Normal"/>
        <w:rPr>
          <w:sz w:val="18"/>
        </w:rPr>
      </w:pPr>
      <w:r>
        <w:rPr>
          <w:sz w:val="18"/>
        </w:rPr>
      </w:r>
    </w:p>
    <w:p>
      <w:pPr>
        <w:pStyle w:val="Normal"/>
        <w:rPr>
          <w:sz w:val="18"/>
        </w:rPr>
      </w:pPr>
      <w:r>
        <w:rPr>
          <w:sz w:val="18"/>
        </w:rPr>
      </w:r>
    </w:p>
    <w:p>
      <w:pPr>
        <w:pStyle w:val="Normal"/>
        <w:rPr>
          <w:sz w:val="18"/>
        </w:rPr>
      </w:pPr>
      <w:r>
        <w:rPr>
          <w:sz w:val="18"/>
        </w:rPr>
      </w:r>
    </w:p>
    <w:p>
      <w:pPr>
        <w:pStyle w:val="Normal"/>
        <w:shd w:fill="FFFFFF" w:val="clear"/>
        <w:jc w:val="center"/>
        <w:rPr>
          <w:b/>
          <w:b/>
          <w:color w:val="000000"/>
          <w:sz w:val="16"/>
          <w:szCs w:val="16"/>
        </w:rPr>
      </w:pPr>
      <w:r>
        <w:rPr>
          <w:b/>
          <w:i/>
          <w:iCs/>
          <w:color w:val="000000"/>
          <w:sz w:val="16"/>
          <w:szCs w:val="16"/>
          <w:highlight w:val="white"/>
        </w:rPr>
        <w:t>Anthony E. LoCascio is registered with and securities offered through Kovack Securities, Inc. Member FINRA/SIPC. 6451 N. Federal Highway, Suite 1201, Ft. Lauderdale, FL 33308 (954) 782-4771. </w:t>
      </w:r>
      <w:r>
        <w:rPr>
          <w:b/>
          <w:i/>
          <w:iCs/>
          <w:color w:val="000000"/>
          <w:sz w:val="16"/>
          <w:szCs w:val="16"/>
        </w:rPr>
        <w:t>Anthony LoCascio Consulting, LLC offers Financial Planning and Investment Advisory services through Investment Capital Advisors LLC. Anthony LoCascio Consulting, LLC and Investment Capital Advisors LLC are not affiliated with Kovack Securities, Inc. or Kovack Advisors, Inc.  Kovack Securities, Inc. and Kovack Advisors, Inc. do not provide tax and/or legal advice. Anthony LoCascio Consulting offers Tax Planning Services.</w:t>
      </w:r>
    </w:p>
    <w:p>
      <w:pPr>
        <w:pStyle w:val="Normal"/>
        <w:rPr>
          <w:b/>
          <w:b/>
          <w:color w:val="000000"/>
          <w:sz w:val="18"/>
          <w:szCs w:val="16"/>
        </w:rPr>
      </w:pPr>
      <w:r>
        <w:rPr>
          <w:b/>
          <w:color w:val="000000"/>
          <w:sz w:val="18"/>
          <w:szCs w:val="16"/>
        </w:rPr>
      </w:r>
    </w:p>
    <w:p>
      <w:pPr>
        <w:pStyle w:val="Normal"/>
        <w:rPr>
          <w:sz w:val="18"/>
        </w:rPr>
      </w:pPr>
      <w:r>
        <w:rPr>
          <w:sz w:val="18"/>
        </w:rPr>
      </w:r>
    </w:p>
    <w:sectPr>
      <w:type w:val="nextPage"/>
      <w:pgSz w:w="12240" w:h="15840"/>
      <w:pgMar w:left="432" w:right="432"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Tahoma">
    <w:charset w:val="00"/>
    <w:family w:val="swiss"/>
    <w:pitch w:val="variable"/>
  </w:font>
  <w:font w:name="Bookman Old Styl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2880"/>
        </w:tabs>
        <w:ind w:left="2880" w:hanging="360"/>
      </w:pPr>
      <w:rPr>
        <w:rFonts w:ascii="Symbol" w:hAnsi="Symbol" w:cs="Symbol" w:hint="default"/>
        <w:rFonts w:cs="Symbol"/>
      </w:rPr>
    </w:lvl>
  </w:abstractNum>
  <w:abstractNum w:abstractNumId="3">
    <w:lvl w:ilvl="0">
      <w:start w:val="1"/>
      <w:numFmt w:val="bullet"/>
      <w:lvlText w:val=""/>
      <w:lvlJc w:val="left"/>
      <w:pPr>
        <w:tabs>
          <w:tab w:val="num" w:pos="2880"/>
        </w:tabs>
        <w:ind w:left="2880" w:hanging="360"/>
      </w:pPr>
      <w:rPr>
        <w:rFonts w:ascii="Symbol" w:hAnsi="Symbol" w:cs="Symbol" w:hint="default"/>
        <w:rFonts w:cs="Symbol"/>
      </w:rPr>
    </w:lvl>
  </w:abstractNum>
  <w:abstractNum w:abstractNumId="4">
    <w:lvl w:ilvl="0">
      <w:start w:val="1"/>
      <w:numFmt w:val="bullet"/>
      <w:lvlText w:val=""/>
      <w:lvlJc w:val="left"/>
      <w:pPr>
        <w:tabs>
          <w:tab w:val="num" w:pos="2880"/>
        </w:tabs>
        <w:ind w:left="2880" w:hanging="360"/>
      </w:pPr>
      <w:rPr>
        <w:rFonts w:ascii="Symbol" w:hAnsi="Symbol" w:cs="Symbol" w:hint="default"/>
        <w:sz w:val="20"/>
        <w:szCs w:val="20"/>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Regular" w:cs="Noto Sans Devanagari"/>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numPr>
        <w:ilvl w:val="1"/>
        <w:numId w:val="1"/>
      </w:numPr>
      <w:outlineLvl w:val="1"/>
    </w:pPr>
    <w:rPr>
      <w:b/>
      <w:bCs/>
      <w:sz w:val="20"/>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0"/>
      <w:szCs w:val="2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Undefined">
    <w:name w:val="undefined"/>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2019-08-20T17:42:00Z</dcterms:created>
  <dc:creator>smotta</dc:creator>
  <dc:description/>
  <cp:keywords/>
  <dc:language>en-US</dc:language>
  <cp:lastModifiedBy>Beth</cp:lastModifiedBy>
  <cp:lastPrinted>2013-11-21T14:43:00Z</cp:lastPrinted>
  <dcterms:modified xsi:type="dcterms:W3CDTF">2019-08-20T17:45:00Z</dcterms:modified>
  <cp:revision>4</cp:revision>
  <dc:subject/>
  <dc:title>ANTHONY E</dc:title>
</cp:coreProperties>
</file>