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1C" w:rsidRPr="00C16FFF" w:rsidRDefault="0007051C" w:rsidP="0007051C">
      <w:pPr>
        <w:rPr>
          <w:rFonts w:ascii="Times New Roman" w:hAnsi="Times New Roman"/>
          <w:sz w:val="22"/>
          <w:szCs w:val="22"/>
        </w:rPr>
      </w:pPr>
      <w:r w:rsidRPr="00C16FFF">
        <w:rPr>
          <w:rFonts w:ascii="Times New Roman" w:hAnsi="Times New Roman"/>
          <w:sz w:val="22"/>
          <w:szCs w:val="22"/>
        </w:rPr>
        <w:t>August 19, 2019</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 xml:space="preserve">Re: </w:t>
      </w:r>
      <w:r w:rsidRPr="00C16FFF">
        <w:rPr>
          <w:rFonts w:ascii="Times New Roman" w:hAnsi="Times New Roman"/>
          <w:b/>
          <w:sz w:val="22"/>
          <w:szCs w:val="22"/>
          <w:u w:val="single"/>
        </w:rPr>
        <w:t>BFSG Conference Call September 3, 2019 at 6:30 P.M.</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Pr>
          <w:rFonts w:ascii="Times New Roman" w:hAnsi="Times New Roman"/>
          <w:noProof/>
          <w:sz w:val="22"/>
          <w:szCs w:val="22"/>
        </w:rPr>
        <w:t>Dear client,</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The trade war is likely to get worse before it gets better which may cause some heartburn for stocks. Hard to believe with the U.S. economy doing so well that the Fed needs to cut interest rates. Cheap money has become an elixir for the stock market</w:t>
      </w:r>
      <w:r w:rsidRPr="00C16FFF">
        <w:rPr>
          <w:rFonts w:ascii="Times New Roman" w:hAnsi="Times New Roman"/>
          <w:sz w:val="22"/>
          <w:szCs w:val="22"/>
          <w:vertAlign w:val="superscript"/>
        </w:rPr>
        <w:t>1</w:t>
      </w:r>
      <w:r w:rsidRPr="00C16FFF">
        <w:rPr>
          <w:rFonts w:ascii="Times New Roman" w:hAnsi="Times New Roman"/>
          <w:sz w:val="22"/>
          <w:szCs w:val="22"/>
        </w:rPr>
        <w:t>, and it will be cheap money that fuels it. Outside the United States global growth is sluggish at best and that is putting upward pressure on the U.S. Dollar. A rising U.S. dollar is akin to a rise in interest rates.</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Although the Fed is behind the curve and interest rates may be a little tight, a recession is most likely not in the cards in the immediate future, but global growth is weakening at an accelerated pace. However, a recession may arrive if the trade situation doesn’t get any better. China is not the only trade spat with Europe and India being in the President’s line of sight.</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Global equity markets will most likely be stuck in a risky spot until the Fed and China economic policies sufficiently reflate. At a minimum global volatility will persist with the odds rising of more downward action, at least temporarily. We are moving to Stage 2 in our portfolio protector by adding more gold, some silver, and Japanese Yen.</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Some of the problems affecting the stock market are a global manufacturing recession, continued trade wars, ebbing fiscal stimulus, and continued global political turmoil, none of which will be solved overnight.</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 xml:space="preserve">As you may recall I reduced the equity asset allocation of the portfolios in June 2018 when I said that the trade differences between the United States and China wouldn’t be solved soon. This has come to pass, and I still don’t see the U.S. and China fully resolving most of their differences any time soon. </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 xml:space="preserve">I </w:t>
      </w:r>
      <w:proofErr w:type="gramStart"/>
      <w:r w:rsidRPr="00C16FFF">
        <w:rPr>
          <w:rFonts w:ascii="Times New Roman" w:hAnsi="Times New Roman"/>
          <w:sz w:val="22"/>
          <w:szCs w:val="22"/>
        </w:rPr>
        <w:t>am of the opinion that</w:t>
      </w:r>
      <w:proofErr w:type="gramEnd"/>
      <w:r w:rsidRPr="00C16FFF">
        <w:rPr>
          <w:rFonts w:ascii="Times New Roman" w:hAnsi="Times New Roman"/>
          <w:sz w:val="22"/>
          <w:szCs w:val="22"/>
        </w:rPr>
        <w:t xml:space="preserve"> our investments are in good shape to weather the storm. We have a large mix of bonds and defensive stocks that should do well under such a scenario. Although we are buying a few stocks here-and-there, we are exercising near term caution. Capital preservation is key. The end point is bullish, but only after the Fed lowers interest rates, China stimulates their economy, and the trade war ends. The market may need to riot before this happens.</w:t>
      </w:r>
    </w:p>
    <w:p w:rsidR="0007051C" w:rsidRPr="00C16FFF" w:rsidRDefault="0007051C" w:rsidP="0007051C">
      <w:pPr>
        <w:rPr>
          <w:rFonts w:ascii="Times New Roman" w:hAnsi="Times New Roman"/>
          <w:sz w:val="22"/>
          <w:szCs w:val="22"/>
        </w:rPr>
      </w:pPr>
    </w:p>
    <w:p w:rsidR="0007051C" w:rsidRPr="00C16FFF" w:rsidRDefault="0007051C" w:rsidP="0007051C">
      <w:pPr>
        <w:rPr>
          <w:rFonts w:ascii="Times New Roman" w:hAnsi="Times New Roman"/>
          <w:sz w:val="22"/>
          <w:szCs w:val="22"/>
        </w:rPr>
      </w:pPr>
      <w:r w:rsidRPr="00C16FFF">
        <w:rPr>
          <w:rFonts w:ascii="Times New Roman" w:hAnsi="Times New Roman"/>
          <w:sz w:val="22"/>
          <w:szCs w:val="22"/>
        </w:rPr>
        <w:t xml:space="preserve">Technology stocks like PayPal, </w:t>
      </w:r>
      <w:proofErr w:type="spellStart"/>
      <w:r w:rsidRPr="00C16FFF">
        <w:rPr>
          <w:rFonts w:ascii="Times New Roman" w:hAnsi="Times New Roman"/>
          <w:sz w:val="22"/>
          <w:szCs w:val="22"/>
        </w:rPr>
        <w:t>Elbiut</w:t>
      </w:r>
      <w:proofErr w:type="spellEnd"/>
      <w:r w:rsidRPr="00C16FFF">
        <w:rPr>
          <w:rFonts w:ascii="Times New Roman" w:hAnsi="Times New Roman"/>
          <w:sz w:val="22"/>
          <w:szCs w:val="22"/>
        </w:rPr>
        <w:t xml:space="preserve"> Systems, CyberArk and Marvel are far from cheap, but in a growth starved world they should be sought out. Interest rate sensitive and defensive issues like Weyerhaeuser, Potlatch, Rayonier, Dominion and NEE offer a deflation hedge. </w:t>
      </w:r>
    </w:p>
    <w:p w:rsidR="00AC1674" w:rsidRDefault="0007051C"/>
    <w:p w:rsidR="0007051C" w:rsidRPr="0007051C" w:rsidRDefault="0007051C" w:rsidP="0007051C">
      <w:pPr>
        <w:rPr>
          <w:rFonts w:ascii="Times New Roman" w:hAnsi="Times New Roman"/>
          <w:sz w:val="22"/>
          <w:szCs w:val="22"/>
        </w:rPr>
      </w:pPr>
      <w:r w:rsidRPr="0007051C">
        <w:rPr>
          <w:rFonts w:ascii="Times New Roman" w:hAnsi="Times New Roman"/>
          <w:sz w:val="22"/>
          <w:szCs w:val="22"/>
        </w:rPr>
        <w:t>Falling interest rates outside the United States is bullish for gold even if the U.S. dollar goes up. Gold could possibly go vertical when the Fed catches up by slashing interest rates. Therefore, we believe gold is suitable as part of a portfolio protector.</w:t>
      </w:r>
    </w:p>
    <w:p w:rsidR="0007051C" w:rsidRPr="0007051C" w:rsidRDefault="0007051C" w:rsidP="0007051C">
      <w:pPr>
        <w:rPr>
          <w:rFonts w:ascii="Times New Roman" w:hAnsi="Times New Roman"/>
          <w:sz w:val="22"/>
          <w:szCs w:val="22"/>
        </w:rPr>
      </w:pPr>
    </w:p>
    <w:p w:rsidR="0007051C" w:rsidRPr="0007051C" w:rsidRDefault="0007051C" w:rsidP="0007051C">
      <w:pPr>
        <w:rPr>
          <w:rFonts w:ascii="Times New Roman" w:hAnsi="Times New Roman"/>
          <w:sz w:val="22"/>
          <w:szCs w:val="22"/>
        </w:rPr>
      </w:pPr>
      <w:r w:rsidRPr="0007051C">
        <w:rPr>
          <w:rFonts w:ascii="Times New Roman" w:hAnsi="Times New Roman"/>
          <w:sz w:val="22"/>
          <w:szCs w:val="22"/>
        </w:rPr>
        <w:t xml:space="preserve">We invite you to tune into our next conference call on </w:t>
      </w:r>
      <w:r w:rsidRPr="0007051C">
        <w:rPr>
          <w:rFonts w:ascii="Times New Roman" w:hAnsi="Times New Roman"/>
          <w:b/>
          <w:bCs/>
          <w:sz w:val="22"/>
          <w:szCs w:val="22"/>
          <w:u w:val="single"/>
        </w:rPr>
        <w:t>Tuesday, September 3, 2019 at 6:30 p.m</w:t>
      </w:r>
      <w:r w:rsidRPr="0007051C">
        <w:rPr>
          <w:rFonts w:ascii="Times New Roman" w:hAnsi="Times New Roman"/>
          <w:sz w:val="22"/>
          <w:szCs w:val="22"/>
        </w:rPr>
        <w:t>. To join the conference call,</w:t>
      </w:r>
      <w:r w:rsidRPr="0007051C">
        <w:rPr>
          <w:rFonts w:ascii="Times New Roman" w:hAnsi="Times New Roman"/>
          <w:b/>
          <w:bCs/>
          <w:sz w:val="22"/>
          <w:szCs w:val="22"/>
          <w:u w:val="single"/>
        </w:rPr>
        <w:t xml:space="preserve"> please dial the toll-free number: 1-800-914-8405.</w:t>
      </w:r>
      <w:r w:rsidRPr="0007051C">
        <w:rPr>
          <w:rFonts w:ascii="Times New Roman" w:hAnsi="Times New Roman"/>
          <w:b/>
          <w:bCs/>
          <w:sz w:val="22"/>
          <w:szCs w:val="22"/>
        </w:rPr>
        <w:t xml:space="preserve"> </w:t>
      </w:r>
      <w:r w:rsidRPr="0007051C">
        <w:rPr>
          <w:rFonts w:ascii="Times New Roman" w:hAnsi="Times New Roman"/>
          <w:b/>
          <w:bCs/>
          <w:sz w:val="22"/>
          <w:szCs w:val="22"/>
          <w:u w:val="single"/>
        </w:rPr>
        <w:t>Once prompted, enter the access code: 5486434, followed by the # button</w:t>
      </w:r>
      <w:r w:rsidRPr="0007051C">
        <w:rPr>
          <w:rFonts w:ascii="Times New Roman" w:hAnsi="Times New Roman"/>
          <w:sz w:val="22"/>
          <w:szCs w:val="22"/>
        </w:rPr>
        <w:t>.</w:t>
      </w:r>
    </w:p>
    <w:p w:rsidR="0007051C" w:rsidRPr="0007051C" w:rsidRDefault="0007051C" w:rsidP="0007051C">
      <w:pPr>
        <w:rPr>
          <w:rFonts w:ascii="Times New Roman" w:hAnsi="Times New Roman"/>
          <w:sz w:val="22"/>
          <w:szCs w:val="22"/>
        </w:rPr>
      </w:pPr>
    </w:p>
    <w:p w:rsidR="0007051C" w:rsidRPr="0007051C" w:rsidRDefault="0007051C" w:rsidP="0007051C">
      <w:pPr>
        <w:rPr>
          <w:rFonts w:ascii="Times New Roman" w:hAnsi="Times New Roman"/>
          <w:sz w:val="22"/>
          <w:szCs w:val="22"/>
        </w:rPr>
      </w:pPr>
      <w:r w:rsidRPr="0007051C">
        <w:rPr>
          <w:rFonts w:ascii="Times New Roman" w:hAnsi="Times New Roman"/>
          <w:sz w:val="22"/>
          <w:szCs w:val="22"/>
        </w:rPr>
        <w:t>Best regards,</w:t>
      </w:r>
    </w:p>
    <w:p w:rsidR="0007051C" w:rsidRPr="0007051C" w:rsidRDefault="0007051C" w:rsidP="0007051C">
      <w:pPr>
        <w:rPr>
          <w:rFonts w:ascii="Times New Roman" w:hAnsi="Times New Roman"/>
          <w:sz w:val="22"/>
          <w:szCs w:val="22"/>
        </w:rPr>
      </w:pPr>
    </w:p>
    <w:p w:rsidR="0007051C" w:rsidRPr="0007051C" w:rsidRDefault="0007051C" w:rsidP="0007051C">
      <w:pPr>
        <w:rPr>
          <w:rFonts w:ascii="Times New Roman" w:hAnsi="Times New Roman"/>
          <w:sz w:val="22"/>
          <w:szCs w:val="22"/>
        </w:rPr>
      </w:pPr>
      <w:r w:rsidRPr="0007051C">
        <w:rPr>
          <w:rFonts w:ascii="Times New Roman" w:hAnsi="Times New Roman"/>
          <w:sz w:val="22"/>
          <w:szCs w:val="22"/>
        </w:rPr>
        <w:t>Steven Yamshon</w:t>
      </w:r>
    </w:p>
    <w:p w:rsidR="0007051C" w:rsidRPr="0007051C" w:rsidRDefault="0007051C" w:rsidP="0007051C">
      <w:pPr>
        <w:rPr>
          <w:rFonts w:ascii="Times New Roman" w:hAnsi="Times New Roman"/>
          <w:sz w:val="22"/>
          <w:szCs w:val="22"/>
        </w:rPr>
      </w:pPr>
      <w:r w:rsidRPr="0007051C">
        <w:rPr>
          <w:rFonts w:ascii="Times New Roman" w:hAnsi="Times New Roman"/>
          <w:sz w:val="22"/>
          <w:szCs w:val="22"/>
        </w:rPr>
        <w:lastRenderedPageBreak/>
        <w:t>Investment Counsel</w:t>
      </w:r>
    </w:p>
    <w:p w:rsidR="0007051C" w:rsidRPr="0007051C" w:rsidRDefault="0007051C" w:rsidP="0007051C">
      <w:pPr>
        <w:rPr>
          <w:rFonts w:ascii="Times New Roman" w:hAnsi="Times New Roman"/>
        </w:rPr>
      </w:pPr>
    </w:p>
    <w:p w:rsidR="0007051C" w:rsidRPr="0007051C" w:rsidRDefault="0007051C" w:rsidP="0007051C">
      <w:pPr>
        <w:numPr>
          <w:ilvl w:val="0"/>
          <w:numId w:val="1"/>
        </w:numPr>
        <w:spacing w:after="160" w:line="259" w:lineRule="auto"/>
        <w:rPr>
          <w:rFonts w:ascii="Times New Roman" w:hAnsi="Times New Roman"/>
          <w:sz w:val="16"/>
          <w:szCs w:val="16"/>
        </w:rPr>
      </w:pPr>
      <w:r w:rsidRPr="0007051C">
        <w:rPr>
          <w:rFonts w:ascii="Times New Roman" w:hAnsi="Times New Roman"/>
          <w:sz w:val="16"/>
          <w:szCs w:val="16"/>
        </w:rPr>
        <w:t>The S&amp;P 500 is designed to be a leading indicator of US equities and is commonly used as a proxy for the U.S. stock market.</w:t>
      </w:r>
    </w:p>
    <w:p w:rsidR="0007051C" w:rsidRPr="0007051C" w:rsidRDefault="0007051C" w:rsidP="0007051C">
      <w:pPr>
        <w:rPr>
          <w:rFonts w:ascii="Times New Roman" w:hAnsi="Times New Roman"/>
          <w:sz w:val="16"/>
          <w:szCs w:val="16"/>
        </w:rPr>
      </w:pPr>
    </w:p>
    <w:p w:rsidR="0007051C" w:rsidRPr="0007051C" w:rsidRDefault="0007051C" w:rsidP="0007051C">
      <w:pPr>
        <w:rPr>
          <w:rFonts w:ascii="Times New Roman" w:hAnsi="Times New Roman"/>
          <w:b/>
          <w:bCs/>
          <w:sz w:val="16"/>
          <w:szCs w:val="16"/>
        </w:rPr>
      </w:pPr>
      <w:r w:rsidRPr="0007051C">
        <w:rPr>
          <w:rFonts w:ascii="Times New Roman" w:hAnsi="Times New Roman"/>
          <w:b/>
          <w:bCs/>
          <w:sz w:val="16"/>
          <w:szCs w:val="16"/>
        </w:rPr>
        <w:t>Disclosure:</w:t>
      </w:r>
    </w:p>
    <w:p w:rsidR="0007051C" w:rsidRDefault="0007051C" w:rsidP="0007051C">
      <w:r w:rsidRPr="0007051C">
        <w:rPr>
          <w:rFonts w:ascii="Times New Roman" w:hAnsi="Times New Roman"/>
          <w:sz w:val="16"/>
          <w:szCs w:val="16"/>
        </w:rPr>
        <w:t>The foregoing content reflects the opinions of BFSG, LLC and is subject to change at any time without notice. Content provided herein is for informational purposes only and should not be used or construed as investment advice or a recommendation regarding the purchase or sale of any security. There is no guarantee that the statements, opinions or forecasts provided herein will prove to be correct. Past performance may not be indicative of future results. Indices are not available for direct investment. Any investor who attempts to mimic the performance of an index would incur fees and expenses which would reduce returns All investing involves risk, including the potential for loss of principal. There is no guarantee that any investment plan or strategy will be successful.</w:t>
      </w:r>
      <w:bookmarkStart w:id="0" w:name="_GoBack"/>
      <w:bookmarkEnd w:id="0"/>
    </w:p>
    <w:sectPr w:rsidR="0007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B6E"/>
    <w:multiLevelType w:val="hybridMultilevel"/>
    <w:tmpl w:val="3300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1C"/>
    <w:rsid w:val="0007051C"/>
    <w:rsid w:val="00776A2D"/>
    <w:rsid w:val="008B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DAF8"/>
  <w15:chartTrackingRefBased/>
  <w15:docId w15:val="{A6001C1C-FB7C-45C8-9639-35E09D6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51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DeSantis</dc:creator>
  <cp:keywords/>
  <dc:description/>
  <cp:lastModifiedBy>Katie DeSantis</cp:lastModifiedBy>
  <cp:revision>1</cp:revision>
  <dcterms:created xsi:type="dcterms:W3CDTF">2019-09-04T21:30:00Z</dcterms:created>
  <dcterms:modified xsi:type="dcterms:W3CDTF">2019-09-04T21:33:00Z</dcterms:modified>
</cp:coreProperties>
</file>