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9F53" w14:textId="6FD13940" w:rsid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rFonts w:cs="Calibri"/>
          <w:color w:val="000000"/>
          <w:sz w:val="14"/>
          <w:szCs w:val="14"/>
        </w:rPr>
      </w:pPr>
    </w:p>
    <w:tbl>
      <w:tblPr>
        <w:tblpPr w:leftFromText="180" w:rightFromText="180" w:vertAnchor="page" w:horzAnchor="margin" w:tblpXSpec="center" w:tblpY="2167"/>
        <w:tblW w:w="11033" w:type="dxa"/>
        <w:tblLayout w:type="fixed"/>
        <w:tblLook w:val="0420" w:firstRow="1" w:lastRow="0" w:firstColumn="0" w:lastColumn="0" w:noHBand="0" w:noVBand="1"/>
      </w:tblPr>
      <w:tblGrid>
        <w:gridCol w:w="1003"/>
        <w:gridCol w:w="1003"/>
        <w:gridCol w:w="1003"/>
        <w:gridCol w:w="1003"/>
        <w:gridCol w:w="1003"/>
        <w:gridCol w:w="1003"/>
        <w:gridCol w:w="1003"/>
        <w:gridCol w:w="1003"/>
        <w:gridCol w:w="1003"/>
        <w:gridCol w:w="1003"/>
        <w:gridCol w:w="1003"/>
      </w:tblGrid>
      <w:tr w:rsidR="00C63C10" w:rsidRPr="00C63C10" w14:paraId="0D2BA514" w14:textId="77777777" w:rsidTr="00C63C10">
        <w:trPr>
          <w:tblHeader/>
        </w:trPr>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5810B45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Year End</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13E4258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Total Firm Assets (USD) (Millions)</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3280B2C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Total Firm Advisory-Only Assets (USD) (Millions)</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0E56D35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Composite Assets (USD) (Millions)</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33F549D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Number of Portfolios</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641E127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Composite Returns Gross</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70B7783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Composite Returns Net</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498C6C3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Custom Blended Benchmark Returns</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2B1F57EA"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Composite Dispersion</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6C7C63C1"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Composite 3-Yr Std Dev</w:t>
            </w:r>
          </w:p>
        </w:tc>
        <w:tc>
          <w:tcPr>
            <w:tcW w:w="1003"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7B0BC25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Custom Blended Benchmark 3-Yr Std Dev</w:t>
            </w:r>
          </w:p>
        </w:tc>
      </w:tr>
      <w:tr w:rsidR="00C63C10" w:rsidRPr="00C63C10" w14:paraId="541F736A" w14:textId="77777777" w:rsidTr="00C63C10">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8B48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2022</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E264B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76.59 </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3F0A91"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54.00</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50BCF"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13.18</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22C15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16</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6008D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-11.17%</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3FD89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-11.70%</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5644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-8.88%</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C5244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0.16%</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0D96E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7.06%</w:t>
            </w:r>
          </w:p>
        </w:tc>
        <w:tc>
          <w:tcPr>
            <w:tcW w:w="1003"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1FC7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6.63%</w:t>
            </w:r>
          </w:p>
        </w:tc>
      </w:tr>
      <w:tr w:rsidR="00C63C10" w:rsidRPr="00C63C10" w14:paraId="2E502265"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9B91F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2021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B45C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101.45</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10B6F"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98.92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506BE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13.29</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476651"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15</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2CE14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6.80%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C49C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6.06%</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37F67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7.23%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F82262"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0.14%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4BBE9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5.42%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AF75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4.66%</w:t>
            </w:r>
          </w:p>
        </w:tc>
      </w:tr>
      <w:tr w:rsidR="00C63C10" w:rsidRPr="00C63C10" w14:paraId="6FF7EAF7"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44495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2020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BE87D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77.05</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6E18E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23.00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BE08A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12.53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E7AA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945B4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24.84%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E308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23.83%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19337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9.09%</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D8367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0.64%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D8191"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5.71%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05C7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5.05%</w:t>
            </w:r>
          </w:p>
        </w:tc>
      </w:tr>
      <w:tr w:rsidR="00C63C10" w:rsidRPr="00C63C10" w14:paraId="1B102A4A"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DE63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2019</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768A3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45.74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0B0C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N/A¹</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AA8BA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8.12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C327A"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9</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E93D9F"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8.93%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EDEBA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8.01%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65F4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11.99%</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31F91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0.41%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CC59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2.87%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4DF1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3.36%</w:t>
            </w:r>
          </w:p>
        </w:tc>
      </w:tr>
      <w:tr w:rsidR="00C63C10" w:rsidRPr="00C63C10" w14:paraId="0792BFFA"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3308B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2018</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E11D6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35.11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32E87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N/A¹</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CFF7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5.37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B130B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8</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727C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-0.82%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D35A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-1.70%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F07BB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-0.02%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72E3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0.12%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43DA4F"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3.00%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1AA75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2.93%</w:t>
            </w:r>
          </w:p>
        </w:tc>
      </w:tr>
      <w:tr w:rsidR="00C63C10" w:rsidRPr="00C63C10" w14:paraId="62BCD381"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DB95F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2017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15DF4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30.71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2394D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N/A¹</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12B59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3.07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DD48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5FE582"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7.42%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4A69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6.34%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A793C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6.65%</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DDC1A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N/A²</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5A83D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5.20%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8007E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2.70%</w:t>
            </w:r>
          </w:p>
        </w:tc>
      </w:tr>
      <w:tr w:rsidR="00C63C10" w:rsidRPr="00C63C10" w14:paraId="554C8B09"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AF5E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2016</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9347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14.62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AE183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N/A¹</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E2CAC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2.67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8B2F6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6</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A76CB1"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5.43%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1CB6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4.78%</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5B14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4.37%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CF79E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N/A²</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83EC0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7.52%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02BE5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3.01%</w:t>
            </w:r>
          </w:p>
        </w:tc>
      </w:tr>
      <w:tr w:rsidR="00C63C10" w:rsidRPr="00C63C10" w14:paraId="15BE2B9C"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7EAF0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2015</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0DD32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5.87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6A1B6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N/A¹</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A9DB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1.83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70E75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8</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6701F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3.17%</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33E0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2.41%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EFEC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1.30%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05A7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N/A²</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BD9C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N/A³</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E910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N/A³</w:t>
            </w:r>
          </w:p>
        </w:tc>
      </w:tr>
      <w:tr w:rsidR="00C63C10" w:rsidRPr="00C63C10" w14:paraId="4C1194BF"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BBB8A"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2014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67BF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1.74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F977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N/A¹</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2820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1.32</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4140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A1FCB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24.16%</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687842"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23.40%</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DA40F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4.91%</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FBE88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N/A²</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53D5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N/A³</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E0185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N/A³</w:t>
            </w:r>
          </w:p>
        </w:tc>
      </w:tr>
      <w:tr w:rsidR="00C63C10" w:rsidRPr="00C63C10" w14:paraId="52BE2C4E" w14:textId="77777777" w:rsidTr="00C63C10">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43B8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2013*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EB8EB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0.28</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CEEDE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N/A¹</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A8912"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0.06</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B94791"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FB38DA"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11.03%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C0DF5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10.54%</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458FEF"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7.23%</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AF908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N/A²</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94B1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N/A³</w:t>
            </w:r>
          </w:p>
        </w:tc>
        <w:tc>
          <w:tcPr>
            <w:tcW w:w="100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1768F"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N/A³</w:t>
            </w:r>
          </w:p>
        </w:tc>
      </w:tr>
    </w:tbl>
    <w:p w14:paraId="488E3B25" w14:textId="77777777" w:rsid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rFonts w:cs="Calibri"/>
          <w:color w:val="000000"/>
          <w:sz w:val="14"/>
          <w:szCs w:val="14"/>
        </w:rPr>
      </w:pPr>
    </w:p>
    <w:p w14:paraId="0A9EAAB2" w14:textId="77777777" w:rsid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rFonts w:cs="Calibri"/>
          <w:color w:val="000000"/>
          <w:sz w:val="14"/>
          <w:szCs w:val="14"/>
        </w:rPr>
      </w:pPr>
    </w:p>
    <w:p w14:paraId="60683A29" w14:textId="62A2E6BE"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sz w:val="14"/>
        </w:rPr>
      </w:pPr>
      <w:r w:rsidRPr="00C63C10">
        <w:rPr>
          <w:rFonts w:cs="Calibri"/>
          <w:color w:val="000000"/>
          <w:sz w:val="14"/>
          <w:szCs w:val="14"/>
        </w:rPr>
        <w:t xml:space="preserve">* Performance is for a partial period from February 1, </w:t>
      </w:r>
      <w:proofErr w:type="gramStart"/>
      <w:r w:rsidRPr="00C63C10">
        <w:rPr>
          <w:rFonts w:cs="Calibri"/>
          <w:color w:val="000000"/>
          <w:sz w:val="14"/>
          <w:szCs w:val="14"/>
        </w:rPr>
        <w:t>2013</w:t>
      </w:r>
      <w:proofErr w:type="gramEnd"/>
      <w:r w:rsidRPr="00C63C10">
        <w:rPr>
          <w:rFonts w:cs="Calibri"/>
          <w:color w:val="000000"/>
          <w:sz w:val="14"/>
          <w:szCs w:val="14"/>
        </w:rPr>
        <w:t xml:space="preserve"> to December 31, 2013.</w:t>
      </w:r>
    </w:p>
    <w:p w14:paraId="198C24A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sz w:val="14"/>
        </w:rPr>
      </w:pPr>
      <w:r w:rsidRPr="00C63C10">
        <w:rPr>
          <w:rFonts w:cs="Calibri"/>
          <w:color w:val="000000"/>
          <w:sz w:val="14"/>
          <w:szCs w:val="14"/>
        </w:rPr>
        <w:t>NA</w:t>
      </w:r>
      <w:r w:rsidRPr="00C63C10">
        <w:rPr>
          <w:rFonts w:cs="Calibri"/>
          <w:color w:val="000000"/>
          <w:sz w:val="14"/>
          <w:szCs w:val="14"/>
          <w:vertAlign w:val="superscript"/>
        </w:rPr>
        <w:t>1</w:t>
      </w:r>
      <w:r w:rsidRPr="00C63C10">
        <w:rPr>
          <w:rFonts w:cs="Calibri"/>
          <w:color w:val="000000"/>
          <w:sz w:val="14"/>
          <w:szCs w:val="14"/>
        </w:rPr>
        <w:t xml:space="preserve"> - Total Firm Advisory-Only assets is not available.</w:t>
      </w:r>
    </w:p>
    <w:p w14:paraId="30678293" w14:textId="77777777" w:rsidR="00C63C10" w:rsidRPr="00C63C10" w:rsidRDefault="00C63C10" w:rsidP="00C63C10">
      <w:pPr>
        <w:spacing w:after="0" w:line="240" w:lineRule="auto"/>
        <w:rPr>
          <w:sz w:val="14"/>
        </w:rPr>
      </w:pPr>
      <w:r w:rsidRPr="00C63C10">
        <w:rPr>
          <w:rFonts w:cs="Calibri"/>
          <w:color w:val="000000"/>
          <w:sz w:val="14"/>
          <w:szCs w:val="14"/>
        </w:rPr>
        <w:t>NA</w:t>
      </w:r>
      <w:r w:rsidRPr="00C63C10">
        <w:rPr>
          <w:rFonts w:cs="Calibri"/>
          <w:color w:val="000000"/>
          <w:sz w:val="14"/>
          <w:szCs w:val="14"/>
          <w:vertAlign w:val="superscript"/>
        </w:rPr>
        <w:t>2</w:t>
      </w:r>
      <w:r w:rsidRPr="00C63C10">
        <w:rPr>
          <w:rFonts w:cs="Calibri"/>
          <w:color w:val="000000"/>
          <w:sz w:val="14"/>
          <w:szCs w:val="14"/>
        </w:rPr>
        <w:t xml:space="preserve"> - Composite dispersion is not presented for periods with five or fewer portfolios in the composite for the entire year.</w:t>
      </w:r>
    </w:p>
    <w:p w14:paraId="0E08FBB3" w14:textId="77777777" w:rsidR="00C63C10" w:rsidRPr="00C63C10" w:rsidRDefault="00C63C10" w:rsidP="00C63C10">
      <w:pPr>
        <w:spacing w:after="0" w:line="240" w:lineRule="auto"/>
        <w:rPr>
          <w:sz w:val="14"/>
        </w:rPr>
      </w:pPr>
      <w:r w:rsidRPr="00C63C10">
        <w:rPr>
          <w:rFonts w:cs="Calibri"/>
          <w:color w:val="000000"/>
          <w:sz w:val="14"/>
          <w:szCs w:val="14"/>
        </w:rPr>
        <w:t>NA</w:t>
      </w:r>
      <w:r w:rsidRPr="00C63C10">
        <w:rPr>
          <w:rFonts w:cs="Calibri"/>
          <w:color w:val="000000"/>
          <w:sz w:val="14"/>
          <w:szCs w:val="14"/>
          <w:vertAlign w:val="superscript"/>
        </w:rPr>
        <w:t>3</w:t>
      </w:r>
      <w:r w:rsidRPr="00C63C10">
        <w:rPr>
          <w:rFonts w:cs="Calibri"/>
          <w:color w:val="000000"/>
          <w:sz w:val="14"/>
          <w:szCs w:val="14"/>
        </w:rPr>
        <w:t xml:space="preserve"> - The three-year annualized standard deviation is not presented for periods before 36 consecutive months of data is available.</w:t>
      </w:r>
    </w:p>
    <w:p w14:paraId="09ACC1A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sz w:val="14"/>
        </w:rPr>
      </w:pPr>
      <w:r w:rsidRPr="00C63C10">
        <w:rPr>
          <w:rFonts w:cs="Calibri"/>
          <w:color w:val="000000"/>
          <w:sz w:val="14"/>
          <w:szCs w:val="8"/>
        </w:rPr>
        <w:t> </w:t>
      </w:r>
    </w:p>
    <w:tbl>
      <w:tblPr>
        <w:tblW w:w="0" w:type="auto"/>
        <w:jc w:val="center"/>
        <w:tblLayout w:type="fixed"/>
        <w:tblLook w:val="0420" w:firstRow="1" w:lastRow="0" w:firstColumn="0" w:lastColumn="0" w:noHBand="0" w:noVBand="1"/>
      </w:tblPr>
      <w:tblGrid>
        <w:gridCol w:w="1379"/>
        <w:gridCol w:w="1379"/>
        <w:gridCol w:w="1379"/>
        <w:gridCol w:w="1379"/>
      </w:tblGrid>
      <w:tr w:rsidR="00C63C10" w:rsidRPr="00C63C10" w14:paraId="16EF1047" w14:textId="77777777" w:rsidTr="00783B06">
        <w:trPr>
          <w:tblHeader/>
          <w:jc w:val="center"/>
        </w:trPr>
        <w:tc>
          <w:tcPr>
            <w:tcW w:w="1379"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438D929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Period - As of 12/31/2022</w:t>
            </w:r>
          </w:p>
        </w:tc>
        <w:tc>
          <w:tcPr>
            <w:tcW w:w="1379"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293D4E7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Gross Returns</w:t>
            </w:r>
          </w:p>
        </w:tc>
        <w:tc>
          <w:tcPr>
            <w:tcW w:w="1379"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2FF74FF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Net Returns</w:t>
            </w:r>
          </w:p>
        </w:tc>
        <w:tc>
          <w:tcPr>
            <w:tcW w:w="1379" w:type="dxa"/>
            <w:tcBorders>
              <w:top w:val="none" w:sz="0" w:space="0" w:color="000000"/>
              <w:left w:val="none" w:sz="0" w:space="0" w:color="000000"/>
              <w:bottom w:val="single" w:sz="16" w:space="0" w:color="03356A"/>
              <w:right w:val="none" w:sz="0" w:space="0" w:color="000000"/>
            </w:tcBorders>
            <w:shd w:val="clear" w:color="auto" w:fill="FFFFFF"/>
            <w:tcMar>
              <w:top w:w="0" w:type="dxa"/>
              <w:left w:w="0" w:type="dxa"/>
              <w:bottom w:w="0" w:type="dxa"/>
              <w:right w:w="0" w:type="dxa"/>
            </w:tcMar>
            <w:vAlign w:val="center"/>
          </w:tcPr>
          <w:p w14:paraId="3DC3ADCB"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3"/>
              </w:rPr>
              <w:t>Custom Blended Benchmark Returns</w:t>
            </w:r>
          </w:p>
        </w:tc>
      </w:tr>
      <w:tr w:rsidR="00C63C10" w:rsidRPr="00C63C10" w14:paraId="6B665685" w14:textId="77777777" w:rsidTr="00783B06">
        <w:trPr>
          <w:jc w:val="center"/>
        </w:trPr>
        <w:tc>
          <w:tcPr>
            <w:tcW w:w="1379"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502AD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1-Year</w:t>
            </w:r>
          </w:p>
        </w:tc>
        <w:tc>
          <w:tcPr>
            <w:tcW w:w="1379"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94D8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-11.17%</w:t>
            </w:r>
          </w:p>
        </w:tc>
        <w:tc>
          <w:tcPr>
            <w:tcW w:w="1379"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02DF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-11.70%</w:t>
            </w:r>
          </w:p>
        </w:tc>
        <w:tc>
          <w:tcPr>
            <w:tcW w:w="1379" w:type="dxa"/>
            <w:tcBorders>
              <w:top w:val="single" w:sz="16" w:space="0" w:color="03356A"/>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9FB16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-8.88%</w:t>
            </w:r>
          </w:p>
        </w:tc>
      </w:tr>
      <w:tr w:rsidR="00C63C10" w:rsidRPr="00C63C10" w14:paraId="789F2A08" w14:textId="77777777" w:rsidTr="00783B06">
        <w:trPr>
          <w:jc w:val="center"/>
        </w:trPr>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227CC"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5-Year</w:t>
            </w:r>
          </w:p>
        </w:tc>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8DA422"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 xml:space="preserve">  5.05%</w:t>
            </w:r>
          </w:p>
        </w:tc>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DEA33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 xml:space="preserve">  4.25%</w:t>
            </w:r>
          </w:p>
        </w:tc>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27456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 xml:space="preserve"> 3.60%</w:t>
            </w:r>
          </w:p>
        </w:tc>
      </w:tr>
      <w:tr w:rsidR="00C63C10" w:rsidRPr="00C63C10" w14:paraId="2C1907DF" w14:textId="77777777" w:rsidTr="00783B06">
        <w:trPr>
          <w:jc w:val="center"/>
        </w:trPr>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C610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Since-Inception</w:t>
            </w:r>
          </w:p>
        </w:tc>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32795"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 xml:space="preserve">  7.57%</w:t>
            </w:r>
          </w:p>
        </w:tc>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D23109"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 xml:space="preserve">  6.78%</w:t>
            </w:r>
          </w:p>
        </w:tc>
        <w:tc>
          <w:tcPr>
            <w:tcW w:w="1379"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FD8B3"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before="20" w:after="20" w:line="240" w:lineRule="auto"/>
              <w:ind w:left="100" w:right="100"/>
              <w:jc w:val="center"/>
              <w:rPr>
                <w:sz w:val="14"/>
              </w:rPr>
            </w:pPr>
            <w:r w:rsidRPr="00C63C10">
              <w:rPr>
                <w:rFonts w:cs="Calibri"/>
                <w:color w:val="000000"/>
                <w:sz w:val="14"/>
                <w:szCs w:val="16"/>
              </w:rPr>
              <w:t xml:space="preserve"> 4.27%</w:t>
            </w:r>
          </w:p>
        </w:tc>
      </w:tr>
    </w:tbl>
    <w:p w14:paraId="574FBC5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sz w:val="14"/>
        </w:rPr>
      </w:pPr>
      <w:r w:rsidRPr="00C63C10">
        <w:rPr>
          <w:rFonts w:cs="Calibri"/>
          <w:color w:val="000000"/>
          <w:sz w:val="14"/>
          <w:szCs w:val="14"/>
        </w:rPr>
        <w:t>*Since-inception performance is calculated for the period beginning February 1, 2013.</w:t>
      </w:r>
    </w:p>
    <w:p w14:paraId="28FA517E"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sz w:val="14"/>
        </w:rPr>
      </w:pPr>
      <w:r w:rsidRPr="00C63C10">
        <w:rPr>
          <w:rFonts w:cs="Calibri"/>
          <w:color w:val="000000"/>
          <w:sz w:val="14"/>
          <w:szCs w:val="14"/>
        </w:rPr>
        <w:t>*Performance is annualized for periods greater than 1 year.</w:t>
      </w:r>
    </w:p>
    <w:p w14:paraId="2615257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rFonts w:cs="Calibri"/>
          <w:b/>
          <w:color w:val="000000"/>
          <w:sz w:val="14"/>
          <w:szCs w:val="10"/>
        </w:rPr>
      </w:pPr>
    </w:p>
    <w:p w14:paraId="144B262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jc w:val="both"/>
        <w:rPr>
          <w:sz w:val="14"/>
        </w:rPr>
      </w:pPr>
      <w:r w:rsidRPr="00C63C10">
        <w:rPr>
          <w:rFonts w:cs="Calibri"/>
          <w:b/>
          <w:i/>
          <w:color w:val="000000"/>
          <w:sz w:val="14"/>
          <w:szCs w:val="18"/>
          <w:u w:val="single"/>
        </w:rPr>
        <w:t>Conservative Composite</w:t>
      </w:r>
      <w:r w:rsidRPr="00C63C10">
        <w:rPr>
          <w:rFonts w:cs="Calibri"/>
          <w:i/>
          <w:color w:val="000000"/>
          <w:sz w:val="14"/>
          <w:szCs w:val="18"/>
        </w:rPr>
        <w:t xml:space="preserve">: Chapoquoit’s conservative tactical asset allocation is driven by market &amp; macroeconomic factors over repeating market cycles in order to achieve a consistent satisfactory return associated with a client’s risk tolerance. Risk is expressed over repeating market cycles by measuring performance against an index comprised of 30% S&amp;P </w:t>
      </w:r>
      <w:proofErr w:type="gramStart"/>
      <w:r w:rsidRPr="00C63C10">
        <w:rPr>
          <w:rFonts w:cs="Calibri"/>
          <w:i/>
          <w:color w:val="000000"/>
          <w:sz w:val="14"/>
          <w:szCs w:val="18"/>
        </w:rPr>
        <w:t>500 &amp; 70% ML</w:t>
      </w:r>
      <w:proofErr w:type="gramEnd"/>
      <w:r w:rsidRPr="00C63C10">
        <w:rPr>
          <w:rFonts w:cs="Calibri"/>
          <w:i/>
          <w:color w:val="000000"/>
          <w:sz w:val="14"/>
          <w:szCs w:val="18"/>
        </w:rPr>
        <w:t xml:space="preserve"> US Govt 1-5 yr. The Conservative composite is compared against a custom blended benchmark comprised of 30% S&amp;P 500 TR Index and 70% US Govt 1-5yr Index. The custom benchmark is calculated by weighting the respective index returns on a monthly basis. The Conservative composite has a minimum of $50,000, with a tolerance of 10% for falling below the minimum. The Conservative composite was created in January 2013 and incepted on February 1, 2013.</w:t>
      </w:r>
    </w:p>
    <w:p w14:paraId="2202F9BD"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sz w:val="14"/>
        </w:rPr>
      </w:pPr>
      <w:r w:rsidRPr="00C63C10">
        <w:rPr>
          <w:rFonts w:cs="Calibri"/>
          <w:color w:val="000000"/>
          <w:sz w:val="14"/>
          <w:szCs w:val="8"/>
        </w:rPr>
        <w:t> </w:t>
      </w:r>
      <w:r w:rsidRPr="00C63C10">
        <w:rPr>
          <w:rFonts w:cs="Calibri"/>
          <w:color w:val="000000"/>
          <w:sz w:val="14"/>
          <w:szCs w:val="18"/>
        </w:rPr>
        <w:t>Chapoquoit Dynamic Portfolios ("Chapoquoit" or “the firm”) is a division of First National Corporation that offers a rules-based investment methodology for creating dynamic portfolios with defined risk targets. First National Corporation is a registered investment adviser with the United States Securities and Exchange Commission in accordance with the Investment Advisers Act of 1940. First National Corporation also manages customized portfolios for wealth management clients; however, this is separate from Chapoquoit and is not a part of the GIPS compliant firm. The firm's full list of composite descriptions is available upon request.</w:t>
      </w:r>
    </w:p>
    <w:p w14:paraId="67338626"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sz w:val="14"/>
        </w:rPr>
      </w:pPr>
      <w:r w:rsidRPr="00C63C10">
        <w:rPr>
          <w:rFonts w:cs="Calibri"/>
          <w:color w:val="000000"/>
          <w:sz w:val="14"/>
          <w:szCs w:val="8"/>
        </w:rPr>
        <w:t> </w:t>
      </w:r>
      <w:r w:rsidRPr="00C63C10">
        <w:rPr>
          <w:rFonts w:cs="Calibri"/>
          <w:color w:val="000000"/>
          <w:sz w:val="14"/>
          <w:szCs w:val="18"/>
        </w:rPr>
        <w:t>Chapoquoit claims compliance with the Global Investment Performance Standards (GIPS</w:t>
      </w:r>
      <w:r w:rsidRPr="00C63C10">
        <w:rPr>
          <w:rFonts w:ascii="Arial" w:eastAsia="Arial" w:hAnsi="Arial" w:cs="Arial"/>
          <w:color w:val="000000"/>
          <w:sz w:val="14"/>
          <w:szCs w:val="20"/>
          <w:vertAlign w:val="superscript"/>
        </w:rPr>
        <w:t>®</w:t>
      </w:r>
      <w:r w:rsidRPr="00C63C10">
        <w:rPr>
          <w:rFonts w:cs="Calibri"/>
          <w:color w:val="000000"/>
          <w:sz w:val="14"/>
          <w:szCs w:val="18"/>
        </w:rPr>
        <w:t xml:space="preserve">) and has prepared and presented this report in compliance with the GIPS standards. Chapoquoit has been independently verified for the periods November 1, </w:t>
      </w:r>
      <w:proofErr w:type="gramStart"/>
      <w:r w:rsidRPr="00C63C10">
        <w:rPr>
          <w:rFonts w:cs="Calibri"/>
          <w:color w:val="000000"/>
          <w:sz w:val="14"/>
          <w:szCs w:val="18"/>
        </w:rPr>
        <w:t>2012</w:t>
      </w:r>
      <w:proofErr w:type="gramEnd"/>
      <w:r w:rsidRPr="00C63C10">
        <w:rPr>
          <w:rFonts w:cs="Calibri"/>
          <w:color w:val="000000"/>
          <w:sz w:val="14"/>
          <w:szCs w:val="18"/>
        </w:rPr>
        <w:t xml:space="preserve"> through December 31, 2021. The verification report is available upon request.</w:t>
      </w:r>
    </w:p>
    <w:p w14:paraId="3EAE4C60"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sz w:val="14"/>
        </w:rPr>
      </w:pPr>
      <w:r w:rsidRPr="00C63C10">
        <w:rPr>
          <w:rFonts w:cs="Calibri"/>
          <w:color w:val="000000"/>
          <w:sz w:val="14"/>
          <w:szCs w:val="8"/>
        </w:rPr>
        <w:t> </w:t>
      </w:r>
      <w:r w:rsidRPr="00C63C10">
        <w:rPr>
          <w:rFonts w:cs="Calibri"/>
          <w:color w:val="000000"/>
          <w:sz w:val="14"/>
          <w:szCs w:val="18"/>
        </w:rPr>
        <w:t>A firm that claims compliance with the GIPS standards must establish policies and procedures for complying with all the applicable requirements of the GIPS standards. Verification provides assurance on whether the firm's policies and procedures related to composite and pooled fund maintenance, as well as the calculation, presentation, and distribution of performance, have been designed in compliance with the GIPS standards and have been implemented on a firm-wide basis. Verification does not provide assurance on the accuracy of any specific performance report.</w:t>
      </w:r>
    </w:p>
    <w:p w14:paraId="3FB4E04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sz w:val="14"/>
        </w:rPr>
      </w:pPr>
      <w:r w:rsidRPr="00C63C10">
        <w:rPr>
          <w:rFonts w:cs="Calibri"/>
          <w:color w:val="000000"/>
          <w:sz w:val="14"/>
          <w:szCs w:val="8"/>
        </w:rPr>
        <w:t> </w:t>
      </w:r>
      <w:r w:rsidRPr="00C63C10">
        <w:rPr>
          <w:rFonts w:cs="Calibri"/>
          <w:color w:val="000000"/>
          <w:sz w:val="14"/>
          <w:szCs w:val="18"/>
        </w:rPr>
        <w:t xml:space="preserve">Results are based on fully discretionary accounts under management, including those accounts no longer with the firm. Composite and benchmark performance is presented net of foreign withholding taxes on dividends, interest income, and capital gains. Past performance is not indicative of future results. Returns include the reinvestment of all income. </w:t>
      </w:r>
    </w:p>
    <w:p w14:paraId="190D091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sz w:val="14"/>
        </w:rPr>
      </w:pPr>
      <w:r w:rsidRPr="00C63C10">
        <w:rPr>
          <w:rFonts w:cs="Calibri"/>
          <w:color w:val="000000"/>
          <w:sz w:val="8"/>
          <w:szCs w:val="8"/>
        </w:rPr>
        <w:t> </w:t>
      </w:r>
      <w:r w:rsidRPr="00C63C10">
        <w:rPr>
          <w:rFonts w:cs="Calibri"/>
          <w:color w:val="000000"/>
          <w:sz w:val="14"/>
          <w:szCs w:val="18"/>
        </w:rPr>
        <w:t xml:space="preserve">The currency used to express performance is USD. Gross-of-fee returns are reduced by trading costs. Net-of-fee returns are reduced by trading costs and each portfolio's actual investment management fee. Composite dispersion is measured by the asset-weighted standard deviation of annual gross returns of those portfolios included in the composite for the full year. The 3-year annualized standard deviation measures the variability of the composite gross returns and benchmark returns over the preceding 36-month period. Policies for valuing investments, calculating performance, and preparing GIPS Reports are available upon request. </w:t>
      </w:r>
    </w:p>
    <w:p w14:paraId="24229684"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sz w:val="14"/>
        </w:rPr>
      </w:pPr>
      <w:r w:rsidRPr="00C63C10">
        <w:rPr>
          <w:rFonts w:cs="Calibri"/>
          <w:color w:val="000000"/>
          <w:sz w:val="14"/>
          <w:szCs w:val="8"/>
        </w:rPr>
        <w:t> </w:t>
      </w:r>
      <w:r w:rsidRPr="00C63C10">
        <w:rPr>
          <w:rFonts w:cs="Calibri"/>
          <w:color w:val="000000"/>
          <w:sz w:val="14"/>
          <w:szCs w:val="18"/>
        </w:rPr>
        <w:t>The investment management fee schedule is tiered at: $100-$500k 0.90%, $500k-$1mil 0.85%, $1mil-$5mil 0.75%, $5mil-$25mil 0.65%, and over $25mil 0.60%. Actual investment advisory fees incurred by clients are negotiable and may vary. For accounts managed as part of a sub-advisory relationship, the net-of-fee returns have been reduced by both Chapoquoit's management fee and the fee charged by the primary advisor.</w:t>
      </w:r>
    </w:p>
    <w:p w14:paraId="5DF513A7"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rFonts w:cs="Calibri"/>
          <w:color w:val="000000"/>
          <w:sz w:val="14"/>
          <w:szCs w:val="18"/>
        </w:rPr>
      </w:pPr>
      <w:r w:rsidRPr="00C63C10">
        <w:rPr>
          <w:rFonts w:cs="Calibri"/>
          <w:color w:val="000000"/>
          <w:sz w:val="14"/>
          <w:szCs w:val="8"/>
        </w:rPr>
        <w:t> </w:t>
      </w:r>
      <w:r w:rsidRPr="00C63C10">
        <w:rPr>
          <w:rFonts w:cs="Calibri"/>
          <w:color w:val="000000"/>
          <w:sz w:val="14"/>
          <w:szCs w:val="18"/>
        </w:rPr>
        <w:t>The composite may include accounts that pay zero commissions.</w:t>
      </w:r>
    </w:p>
    <w:p w14:paraId="1DFFD55F"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b/>
          <w:bCs/>
          <w:color w:val="000000"/>
          <w:sz w:val="14"/>
          <w:szCs w:val="27"/>
        </w:rPr>
      </w:pPr>
    </w:p>
    <w:p w14:paraId="7AA95FF8" w14:textId="77777777" w:rsidR="00C63C10" w:rsidRPr="00C63C10" w:rsidRDefault="00C63C10" w:rsidP="00C63C10">
      <w:pPr>
        <w:pBdr>
          <w:top w:val="none" w:sz="0" w:space="0" w:color="000000"/>
          <w:left w:val="none" w:sz="0" w:space="0" w:color="000000"/>
          <w:bottom w:val="none" w:sz="0" w:space="0" w:color="000000"/>
          <w:right w:val="none" w:sz="0" w:space="0" w:color="000000"/>
        </w:pBdr>
        <w:spacing w:after="0" w:line="240" w:lineRule="auto"/>
        <w:rPr>
          <w:b/>
          <w:bCs/>
          <w:sz w:val="14"/>
        </w:rPr>
      </w:pPr>
      <w:r w:rsidRPr="00C63C10">
        <w:rPr>
          <w:b/>
          <w:bCs/>
          <w:color w:val="000000"/>
          <w:sz w:val="14"/>
          <w:szCs w:val="27"/>
        </w:rPr>
        <w:t>GIPS® is a registered trademark of CFA Institute. CFA Institute does not endorse or promote this organization, nor does it warrant the accuracy or quality of the content contained herein. Custom Blended Benchmark Components: S&amp;P 500 TR Index - The S&amp;P 500 Index is a market-capitalization-weighted index of the 500 largest U.S. publicly traded companies.</w:t>
      </w:r>
    </w:p>
    <w:p w14:paraId="32499BDB" w14:textId="0A644819" w:rsidR="00C63C10" w:rsidRPr="00C63C10" w:rsidRDefault="00C63C10" w:rsidP="00C63C10">
      <w:pPr>
        <w:spacing w:before="100" w:beforeAutospacing="1" w:after="100" w:afterAutospacing="1" w:line="240" w:lineRule="auto"/>
        <w:rPr>
          <w:rFonts w:ascii="Times New Roman" w:eastAsia="Times New Roman" w:hAnsi="Times New Roman"/>
          <w:color w:val="000000"/>
          <w:sz w:val="14"/>
          <w:szCs w:val="27"/>
        </w:rPr>
      </w:pPr>
      <w:r w:rsidRPr="00C63C10">
        <w:rPr>
          <w:rFonts w:ascii="Times New Roman" w:eastAsia="Times New Roman" w:hAnsi="Times New Roman"/>
          <w:b/>
          <w:bCs/>
          <w:color w:val="000000"/>
          <w:sz w:val="14"/>
          <w:szCs w:val="27"/>
        </w:rPr>
        <w:t>US Govt 1-5yr Index</w:t>
      </w:r>
      <w:r w:rsidRPr="00C63C10">
        <w:rPr>
          <w:rFonts w:ascii="Times New Roman" w:eastAsia="Times New Roman" w:hAnsi="Times New Roman"/>
          <w:color w:val="000000"/>
          <w:sz w:val="14"/>
          <w:szCs w:val="27"/>
        </w:rPr>
        <w:t xml:space="preserve"> - This index measures the performance of U.S. Treasury bonds and government related bonds that have a remaining maturity of greater than or equal to one year and less than five years.</w:t>
      </w:r>
    </w:p>
    <w:sectPr w:rsidR="00C63C10" w:rsidRPr="00C63C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B944" w14:textId="77777777" w:rsidR="00DC2326" w:rsidRDefault="00DC2326" w:rsidP="00C63C10">
      <w:pPr>
        <w:spacing w:after="0" w:line="240" w:lineRule="auto"/>
      </w:pPr>
      <w:r>
        <w:separator/>
      </w:r>
    </w:p>
  </w:endnote>
  <w:endnote w:type="continuationSeparator" w:id="0">
    <w:p w14:paraId="445A5D9A" w14:textId="77777777" w:rsidR="00DC2326" w:rsidRDefault="00DC2326" w:rsidP="00C6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F389" w14:textId="77777777" w:rsidR="00DC2326" w:rsidRDefault="00DC2326" w:rsidP="00C63C10">
      <w:pPr>
        <w:spacing w:after="0" w:line="240" w:lineRule="auto"/>
      </w:pPr>
      <w:r>
        <w:separator/>
      </w:r>
    </w:p>
  </w:footnote>
  <w:footnote w:type="continuationSeparator" w:id="0">
    <w:p w14:paraId="526882E1" w14:textId="77777777" w:rsidR="00DC2326" w:rsidRDefault="00DC2326" w:rsidP="00C6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A85A" w14:textId="77777777" w:rsidR="00C63C10" w:rsidRDefault="00C63C10" w:rsidP="00C63C10">
    <w:pPr>
      <w:tabs>
        <w:tab w:val="left" w:pos="7380"/>
      </w:tabs>
      <w:spacing w:after="0"/>
      <w:ind w:left="7740" w:hanging="1710"/>
      <w:rPr>
        <w:sz w:val="20"/>
      </w:rPr>
    </w:pPr>
    <w:r w:rsidRPr="002C4F87">
      <w:rPr>
        <w:rFonts w:cs="Calibri"/>
        <w:b/>
        <w:color w:val="03356A"/>
        <w:sz w:val="20"/>
        <w:szCs w:val="28"/>
      </w:rPr>
      <w:t>CHAPOQUOIT DYNAMIC</w:t>
    </w:r>
    <w:r>
      <w:rPr>
        <w:rFonts w:cs="Calibri"/>
        <w:b/>
        <w:color w:val="03356A"/>
        <w:sz w:val="20"/>
        <w:szCs w:val="28"/>
      </w:rPr>
      <w:t xml:space="preserve"> </w:t>
    </w:r>
    <w:r w:rsidRPr="002C4F87">
      <w:rPr>
        <w:rFonts w:cs="Calibri"/>
        <w:b/>
        <w:color w:val="03356A"/>
        <w:sz w:val="20"/>
        <w:szCs w:val="28"/>
      </w:rPr>
      <w:t>PORTFOLIOS    </w:t>
    </w:r>
  </w:p>
  <w:p w14:paraId="22A85C10" w14:textId="5462CE98" w:rsidR="00C63C10" w:rsidRDefault="00C63C10" w:rsidP="00C63C10">
    <w:pPr>
      <w:tabs>
        <w:tab w:val="left" w:pos="7380"/>
      </w:tabs>
      <w:spacing w:after="0"/>
      <w:ind w:left="7740" w:hanging="1710"/>
      <w:rPr>
        <w:sz w:val="20"/>
      </w:rPr>
    </w:pPr>
    <w:r>
      <w:rPr>
        <w:rFonts w:cs="Calibri"/>
        <w:b/>
        <w:color w:val="03356A"/>
        <w:sz w:val="20"/>
        <w:szCs w:val="28"/>
      </w:rPr>
      <w:t xml:space="preserve">                 </w:t>
    </w:r>
    <w:r>
      <w:rPr>
        <w:rFonts w:cs="Calibri"/>
        <w:b/>
        <w:color w:val="03356A"/>
        <w:sz w:val="20"/>
        <w:szCs w:val="28"/>
      </w:rPr>
      <w:t>CONSERVATIVE</w:t>
    </w:r>
    <w:r w:rsidRPr="002C4F87">
      <w:rPr>
        <w:rFonts w:cs="Calibri"/>
        <w:b/>
        <w:color w:val="03356A"/>
        <w:sz w:val="20"/>
        <w:szCs w:val="28"/>
      </w:rPr>
      <w:t xml:space="preserve"> COMPOSITE    </w:t>
    </w:r>
  </w:p>
  <w:p w14:paraId="2FE0A3B6" w14:textId="0BF3BEF7" w:rsidR="00C63C10" w:rsidRPr="002973C6" w:rsidRDefault="00C63C10" w:rsidP="00C63C10">
    <w:pPr>
      <w:tabs>
        <w:tab w:val="left" w:pos="7380"/>
      </w:tabs>
      <w:spacing w:after="0"/>
      <w:ind w:left="7740" w:hanging="1710"/>
      <w:rPr>
        <w:rFonts w:cs="Calibri"/>
        <w:b/>
        <w:color w:val="03356A"/>
        <w:sz w:val="20"/>
      </w:rPr>
    </w:pPr>
    <w:r>
      <w:rPr>
        <w:rFonts w:cs="Calibri"/>
        <w:b/>
        <w:color w:val="03356A"/>
        <w:sz w:val="20"/>
      </w:rPr>
      <w:t xml:space="preserve">                          </w:t>
    </w:r>
    <w:r w:rsidRPr="002C4F87">
      <w:rPr>
        <w:rFonts w:cs="Calibri"/>
        <w:b/>
        <w:color w:val="03356A"/>
        <w:sz w:val="20"/>
      </w:rPr>
      <w:t>GIPS COMPOSITE REPOR</w:t>
    </w:r>
    <w:r>
      <w:rPr>
        <w:rFonts w:cs="Calibri"/>
        <w:b/>
        <w:color w:val="03356A"/>
        <w:sz w:val="20"/>
      </w:rPr>
      <w:t>T</w:t>
    </w:r>
  </w:p>
  <w:p w14:paraId="374319F2" w14:textId="77777777" w:rsidR="00C63C10" w:rsidRDefault="00C6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10"/>
    <w:rsid w:val="00C63C10"/>
    <w:rsid w:val="00DC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B3A8"/>
  <w15:chartTrackingRefBased/>
  <w15:docId w15:val="{C03F487B-FD7B-497B-83BA-1AA048E0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C10"/>
    <w:pPr>
      <w:tabs>
        <w:tab w:val="center" w:pos="4680"/>
        <w:tab w:val="right" w:pos="9360"/>
      </w:tabs>
    </w:pPr>
  </w:style>
  <w:style w:type="character" w:customStyle="1" w:styleId="HeaderChar">
    <w:name w:val="Header Char"/>
    <w:basedOn w:val="DefaultParagraphFont"/>
    <w:link w:val="Header"/>
    <w:uiPriority w:val="99"/>
    <w:rsid w:val="00C63C10"/>
    <w:rPr>
      <w:sz w:val="22"/>
      <w:szCs w:val="22"/>
    </w:rPr>
  </w:style>
  <w:style w:type="paragraph" w:styleId="Footer">
    <w:name w:val="footer"/>
    <w:basedOn w:val="Normal"/>
    <w:link w:val="FooterChar"/>
    <w:uiPriority w:val="99"/>
    <w:unhideWhenUsed/>
    <w:rsid w:val="00C63C10"/>
    <w:pPr>
      <w:tabs>
        <w:tab w:val="center" w:pos="4680"/>
        <w:tab w:val="right" w:pos="9360"/>
      </w:tabs>
    </w:pPr>
  </w:style>
  <w:style w:type="character" w:customStyle="1" w:styleId="FooterChar">
    <w:name w:val="Footer Char"/>
    <w:basedOn w:val="DefaultParagraphFont"/>
    <w:link w:val="Footer"/>
    <w:uiPriority w:val="99"/>
    <w:rsid w:val="00C63C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Nehro</dc:creator>
  <cp:keywords/>
  <dc:description/>
  <cp:lastModifiedBy>Philip Nehro</cp:lastModifiedBy>
  <cp:revision>1</cp:revision>
  <dcterms:created xsi:type="dcterms:W3CDTF">2023-03-05T19:28:00Z</dcterms:created>
  <dcterms:modified xsi:type="dcterms:W3CDTF">2023-03-05T19:32:00Z</dcterms:modified>
</cp:coreProperties>
</file>