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227" w:rsidRDefault="004F0227" w:rsidP="004F0227">
      <w:pPr>
        <w:jc w:val="both"/>
      </w:pPr>
      <w:r>
        <w:t>Good morning!</w:t>
      </w:r>
    </w:p>
    <w:p w:rsidR="004F0227" w:rsidRDefault="004F0227" w:rsidP="004F0227">
      <w:pPr>
        <w:jc w:val="both"/>
      </w:pPr>
    </w:p>
    <w:p w:rsidR="004F0227" w:rsidRDefault="004F0227" w:rsidP="004F0227">
      <w:pPr>
        <w:jc w:val="both"/>
      </w:pPr>
      <w:r>
        <w:t xml:space="preserve">The history of American financial markets is filled with “gloom and doom” forecasts of “bubbles” that were ready to burst.  One can make a persuasive argument today (as you could have done during each of the last 5 years) that any number of markets – stocks, bonds, real estate – have all been doing so well for so long that something negative is bound to happen sooner than later.  But since no prognosticator has any access today to “next week’s news,” here’s the best advice available: if your age/time horizon/objectives make it difficult (if not impossible) to recover from a tumble that could happen, then find a way to lighten your exposure.  If your age/time horizon/objectives provide you with the freedom to hold steady, then consider doing just that (source: BTN Research).   </w:t>
      </w:r>
    </w:p>
    <w:p w:rsidR="004F0227" w:rsidRDefault="004F0227" w:rsidP="004F0227">
      <w:pPr>
        <w:jc w:val="both"/>
      </w:pPr>
    </w:p>
    <w:p w:rsidR="004F0227" w:rsidRDefault="004F0227" w:rsidP="004F0227">
      <w:pPr>
        <w:jc w:val="both"/>
      </w:pPr>
      <w:r>
        <w:t xml:space="preserve">Long-time domestic bond market watchers have been surprised at the ongoing appeal of the US Treasury market given the historically low level of interest rates that exist today.  One possible answer – life insurance companies and pension funds that are mandated to hold long-dated government paper that matches up to the future liabilities of their policyholders and pensioners (source: BTN Research).   </w:t>
      </w:r>
    </w:p>
    <w:p w:rsidR="004F0227" w:rsidRDefault="004F0227" w:rsidP="004F0227">
      <w:pPr>
        <w:jc w:val="both"/>
      </w:pPr>
    </w:p>
    <w:p w:rsidR="004F0227" w:rsidRPr="00EA0863" w:rsidRDefault="004F0227" w:rsidP="004F0227">
      <w:pPr>
        <w:jc w:val="both"/>
      </w:pPr>
      <w:r w:rsidRPr="00EA0863">
        <w:rPr>
          <w:snapToGrid w:val="0"/>
          <w:color w:val="000000"/>
        </w:rPr>
        <w:t xml:space="preserve">The </w:t>
      </w:r>
      <w:r w:rsidRPr="00EA0863">
        <w:rPr>
          <w:snapToGrid w:val="0"/>
        </w:rPr>
        <w:t xml:space="preserve">Pension Benefit Guaranty Corporation (PBGC) was forced to take over </w:t>
      </w:r>
      <w:r>
        <w:rPr>
          <w:snapToGrid w:val="0"/>
        </w:rPr>
        <w:t xml:space="preserve">51 failed private pension plans during fiscal year 2019, bringing the total of failed plans to 332 over the </w:t>
      </w:r>
      <w:r w:rsidRPr="00EA0863">
        <w:rPr>
          <w:snapToGrid w:val="0"/>
        </w:rPr>
        <w:t>last 5 fiscal years, i.e., 2015-2019</w:t>
      </w:r>
      <w:r>
        <w:rPr>
          <w:snapToGrid w:val="0"/>
        </w:rPr>
        <w:t>, an average of 5 ½ a month</w:t>
      </w:r>
      <w:r w:rsidRPr="00EA0863">
        <w:rPr>
          <w:snapToGrid w:val="0"/>
        </w:rPr>
        <w:t xml:space="preserve"> (source: PBGC).</w:t>
      </w:r>
      <w:r w:rsidRPr="00EA0863">
        <w:rPr>
          <w:snapToGrid w:val="0"/>
          <w:color w:val="000000"/>
        </w:rPr>
        <w:t xml:space="preserve">    </w:t>
      </w:r>
      <w:r w:rsidRPr="00EA0863">
        <w:t xml:space="preserve">                   </w:t>
      </w:r>
    </w:p>
    <w:p w:rsidR="004F0227" w:rsidRDefault="004F0227" w:rsidP="004F0227">
      <w:pPr>
        <w:jc w:val="both"/>
      </w:pPr>
    </w:p>
    <w:p w:rsidR="004F0227" w:rsidRPr="004F0227" w:rsidRDefault="004F0227" w:rsidP="004F0227">
      <w:pPr>
        <w:jc w:val="both"/>
        <w:rPr>
          <w:b/>
          <w:color w:val="1F4E79" w:themeColor="accent1" w:themeShade="80"/>
        </w:rPr>
      </w:pPr>
      <w:r w:rsidRPr="004F0227">
        <w:rPr>
          <w:b/>
          <w:color w:val="1F4E79" w:themeColor="accent1" w:themeShade="80"/>
        </w:rPr>
        <w:t>Notable Numbers for the Week:</w:t>
      </w:r>
    </w:p>
    <w:p w:rsidR="004F0227" w:rsidRPr="004F0227" w:rsidRDefault="004F0227" w:rsidP="004F0227">
      <w:pPr>
        <w:pStyle w:val="ListParagraph"/>
        <w:ind w:left="0"/>
        <w:jc w:val="both"/>
        <w:rPr>
          <w:rFonts w:ascii="Arial" w:hAnsi="Arial" w:cs="Arial"/>
          <w:b/>
          <w:snapToGrid w:val="0"/>
          <w:color w:val="1F4E79" w:themeColor="accent1" w:themeShade="80"/>
          <w:sz w:val="14"/>
          <w:szCs w:val="14"/>
        </w:rPr>
      </w:pPr>
    </w:p>
    <w:p w:rsidR="004F0227" w:rsidRPr="004F0227" w:rsidRDefault="004F0227" w:rsidP="004F0227">
      <w:pPr>
        <w:numPr>
          <w:ilvl w:val="0"/>
          <w:numId w:val="1"/>
        </w:numPr>
        <w:jc w:val="both"/>
        <w:rPr>
          <w:rFonts w:ascii="Arial" w:hAnsi="Arial" w:cs="Arial"/>
          <w:b/>
          <w:snapToGrid w:val="0"/>
          <w:color w:val="1F4E79" w:themeColor="accent1" w:themeShade="80"/>
          <w:sz w:val="17"/>
          <w:szCs w:val="17"/>
        </w:rPr>
      </w:pPr>
      <w:r w:rsidRPr="004F0227">
        <w:rPr>
          <w:rFonts w:ascii="Arial" w:hAnsi="Arial" w:cs="Arial"/>
          <w:b/>
          <w:bCs/>
          <w:i/>
          <w:iCs/>
          <w:snapToGrid w:val="0"/>
          <w:color w:val="1F4E79" w:themeColor="accent1" w:themeShade="80"/>
          <w:sz w:val="17"/>
          <w:szCs w:val="17"/>
          <w:u w:val="single"/>
        </w:rPr>
        <w:t>TOO MUCH PARTYING</w:t>
      </w:r>
      <w:r w:rsidRPr="004F0227">
        <w:rPr>
          <w:rFonts w:ascii="Arial" w:hAnsi="Arial" w:cs="Arial"/>
          <w:b/>
          <w:snapToGrid w:val="0"/>
          <w:color w:val="1F4E79" w:themeColor="accent1" w:themeShade="80"/>
          <w:sz w:val="17"/>
          <w:szCs w:val="17"/>
        </w:rPr>
        <w:t xml:space="preserve"> - Just 2 of every 5 students (41%) that </w:t>
      </w:r>
      <w:r w:rsidRPr="004F0227">
        <w:rPr>
          <w:rFonts w:ascii="Arial" w:hAnsi="Arial" w:cs="Arial"/>
          <w:b/>
          <w:bCs/>
          <w:snapToGrid w:val="0"/>
          <w:color w:val="1F4E79" w:themeColor="accent1" w:themeShade="80"/>
          <w:sz w:val="17"/>
          <w:szCs w:val="17"/>
        </w:rPr>
        <w:t>began college</w:t>
      </w:r>
      <w:r w:rsidRPr="004F0227">
        <w:rPr>
          <w:rFonts w:ascii="Arial" w:hAnsi="Arial" w:cs="Arial"/>
          <w:b/>
          <w:snapToGrid w:val="0"/>
          <w:color w:val="1F4E79" w:themeColor="accent1" w:themeShade="80"/>
          <w:sz w:val="17"/>
          <w:szCs w:val="17"/>
        </w:rPr>
        <w:t xml:space="preserve"> in the fall of 2015 completed their college studies and received at least a bachelor’s degree </w:t>
      </w:r>
      <w:r w:rsidRPr="004F0227">
        <w:rPr>
          <w:rFonts w:ascii="Arial" w:hAnsi="Arial" w:cs="Arial"/>
          <w:b/>
          <w:bCs/>
          <w:snapToGrid w:val="0"/>
          <w:color w:val="1F4E79" w:themeColor="accent1" w:themeShade="80"/>
          <w:sz w:val="17"/>
          <w:szCs w:val="17"/>
        </w:rPr>
        <w:t>within 4 years</w:t>
      </w:r>
      <w:r w:rsidRPr="004F0227">
        <w:rPr>
          <w:rFonts w:ascii="Arial" w:hAnsi="Arial" w:cs="Arial"/>
          <w:b/>
          <w:snapToGrid w:val="0"/>
          <w:color w:val="1F4E79" w:themeColor="accent1" w:themeShade="80"/>
          <w:sz w:val="17"/>
          <w:szCs w:val="17"/>
        </w:rPr>
        <w:t xml:space="preserve"> of first enrolling (source: College Board). </w:t>
      </w:r>
    </w:p>
    <w:p w:rsidR="004F0227" w:rsidRPr="004F0227" w:rsidRDefault="004F0227" w:rsidP="004F0227">
      <w:pPr>
        <w:pStyle w:val="ListParagraph"/>
        <w:jc w:val="both"/>
        <w:rPr>
          <w:rFonts w:ascii="Arial" w:hAnsi="Arial" w:cs="Arial"/>
          <w:b/>
          <w:snapToGrid w:val="0"/>
          <w:color w:val="1F4E79" w:themeColor="accent1" w:themeShade="80"/>
          <w:sz w:val="14"/>
          <w:szCs w:val="14"/>
        </w:rPr>
      </w:pPr>
    </w:p>
    <w:p w:rsidR="004F0227" w:rsidRPr="004F0227" w:rsidRDefault="004F0227" w:rsidP="004F0227">
      <w:pPr>
        <w:numPr>
          <w:ilvl w:val="0"/>
          <w:numId w:val="1"/>
        </w:numPr>
        <w:jc w:val="both"/>
        <w:rPr>
          <w:rFonts w:ascii="Arial" w:hAnsi="Arial" w:cs="Arial"/>
          <w:b/>
          <w:snapToGrid w:val="0"/>
          <w:color w:val="1F4E79" w:themeColor="accent1" w:themeShade="80"/>
          <w:sz w:val="17"/>
          <w:szCs w:val="17"/>
        </w:rPr>
      </w:pPr>
      <w:r w:rsidRPr="004F0227">
        <w:rPr>
          <w:rFonts w:ascii="Arial" w:hAnsi="Arial" w:cs="Arial"/>
          <w:b/>
          <w:bCs/>
          <w:i/>
          <w:iCs/>
          <w:snapToGrid w:val="0"/>
          <w:color w:val="1F4E79" w:themeColor="accent1" w:themeShade="80"/>
          <w:sz w:val="17"/>
          <w:szCs w:val="17"/>
          <w:u w:val="single"/>
        </w:rPr>
        <w:t>HOW DO YOU PLAN FOR THIS?</w:t>
      </w:r>
      <w:r w:rsidRPr="004F0227">
        <w:rPr>
          <w:rFonts w:ascii="Arial" w:hAnsi="Arial" w:cs="Arial"/>
          <w:b/>
          <w:snapToGrid w:val="0"/>
          <w:color w:val="1F4E79" w:themeColor="accent1" w:themeShade="80"/>
          <w:sz w:val="17"/>
          <w:szCs w:val="17"/>
        </w:rPr>
        <w:t xml:space="preserve"> - 31% of </w:t>
      </w:r>
      <w:r w:rsidRPr="004F0227">
        <w:rPr>
          <w:rFonts w:ascii="Arial" w:hAnsi="Arial" w:cs="Arial"/>
          <w:b/>
          <w:bCs/>
          <w:snapToGrid w:val="0"/>
          <w:color w:val="1F4E79" w:themeColor="accent1" w:themeShade="80"/>
          <w:sz w:val="17"/>
          <w:szCs w:val="17"/>
        </w:rPr>
        <w:t>3,064 working women</w:t>
      </w:r>
      <w:r w:rsidRPr="004F0227">
        <w:rPr>
          <w:rFonts w:ascii="Arial" w:hAnsi="Arial" w:cs="Arial"/>
          <w:b/>
          <w:snapToGrid w:val="0"/>
          <w:color w:val="1F4E79" w:themeColor="accent1" w:themeShade="80"/>
          <w:sz w:val="17"/>
          <w:szCs w:val="17"/>
        </w:rPr>
        <w:t xml:space="preserve"> surveyed in the 4th quarter 2018 indicated that they </w:t>
      </w:r>
      <w:r w:rsidRPr="004F0227">
        <w:rPr>
          <w:rFonts w:ascii="Arial" w:hAnsi="Arial" w:cs="Arial"/>
          <w:b/>
          <w:bCs/>
          <w:snapToGrid w:val="0"/>
          <w:color w:val="1F4E79" w:themeColor="accent1" w:themeShade="80"/>
          <w:sz w:val="17"/>
          <w:szCs w:val="17"/>
        </w:rPr>
        <w:t>have been or are currently serving as a caregiver</w:t>
      </w:r>
      <w:r w:rsidRPr="004F0227">
        <w:rPr>
          <w:rFonts w:ascii="Arial" w:hAnsi="Arial" w:cs="Arial"/>
          <w:b/>
          <w:snapToGrid w:val="0"/>
          <w:color w:val="1F4E79" w:themeColor="accent1" w:themeShade="80"/>
          <w:sz w:val="17"/>
          <w:szCs w:val="17"/>
        </w:rPr>
        <w:t xml:space="preserve"> to a friend or family member during their working careers, forcing them to use </w:t>
      </w:r>
      <w:r w:rsidRPr="004F0227">
        <w:rPr>
          <w:rFonts w:ascii="Arial" w:hAnsi="Arial" w:cs="Arial"/>
          <w:b/>
          <w:bCs/>
          <w:snapToGrid w:val="0"/>
          <w:color w:val="1F4E79" w:themeColor="accent1" w:themeShade="80"/>
          <w:sz w:val="17"/>
          <w:szCs w:val="17"/>
        </w:rPr>
        <w:t>sick days, vacation days or time-off</w:t>
      </w:r>
      <w:r w:rsidRPr="004F0227">
        <w:rPr>
          <w:rFonts w:ascii="Arial" w:hAnsi="Arial" w:cs="Arial"/>
          <w:b/>
          <w:snapToGrid w:val="0"/>
          <w:color w:val="1F4E79" w:themeColor="accent1" w:themeShade="80"/>
          <w:sz w:val="17"/>
          <w:szCs w:val="17"/>
        </w:rPr>
        <w:t xml:space="preserve"> from work to assist a loved one (source: Transamerica Center for Retirement Studies).  </w:t>
      </w:r>
    </w:p>
    <w:p w:rsidR="004F0227" w:rsidRPr="004F0227" w:rsidRDefault="004F0227" w:rsidP="004F0227">
      <w:pPr>
        <w:pStyle w:val="ListParagraph"/>
        <w:jc w:val="both"/>
        <w:rPr>
          <w:rFonts w:ascii="Arial" w:hAnsi="Arial" w:cs="Courier New"/>
          <w:b/>
          <w:color w:val="1F4E79" w:themeColor="accent1" w:themeShade="80"/>
          <w:sz w:val="14"/>
          <w:szCs w:val="14"/>
        </w:rPr>
      </w:pPr>
    </w:p>
    <w:p w:rsidR="004F0227" w:rsidRPr="004F0227" w:rsidRDefault="004F0227" w:rsidP="004F0227">
      <w:pPr>
        <w:numPr>
          <w:ilvl w:val="0"/>
          <w:numId w:val="1"/>
        </w:numPr>
        <w:jc w:val="both"/>
        <w:rPr>
          <w:rFonts w:ascii="Arial" w:hAnsi="Arial" w:cs="Arial"/>
          <w:b/>
          <w:snapToGrid w:val="0"/>
          <w:color w:val="1F4E79" w:themeColor="accent1" w:themeShade="80"/>
          <w:sz w:val="17"/>
          <w:szCs w:val="17"/>
        </w:rPr>
      </w:pPr>
      <w:r w:rsidRPr="004F0227">
        <w:rPr>
          <w:rFonts w:ascii="Arial" w:hAnsi="Arial" w:cs="Courier New"/>
          <w:b/>
          <w:bCs/>
          <w:i/>
          <w:iCs/>
          <w:color w:val="1F4E79" w:themeColor="accent1" w:themeShade="80"/>
          <w:sz w:val="17"/>
          <w:szCs w:val="17"/>
          <w:u w:val="single"/>
        </w:rPr>
        <w:t>RECORD AMOUNT</w:t>
      </w:r>
      <w:r w:rsidRPr="004F0227">
        <w:rPr>
          <w:rFonts w:ascii="Arial" w:hAnsi="Arial" w:cs="Courier New"/>
          <w:b/>
          <w:color w:val="1F4E79" w:themeColor="accent1" w:themeShade="80"/>
          <w:sz w:val="17"/>
          <w:szCs w:val="17"/>
        </w:rPr>
        <w:t xml:space="preserve"> - In July 2019, a Maryland jury </w:t>
      </w:r>
      <w:r w:rsidRPr="004F0227">
        <w:rPr>
          <w:rFonts w:ascii="Arial" w:hAnsi="Arial" w:cs="Courier New"/>
          <w:b/>
          <w:bCs/>
          <w:color w:val="1F4E79" w:themeColor="accent1" w:themeShade="80"/>
          <w:sz w:val="17"/>
          <w:szCs w:val="17"/>
        </w:rPr>
        <w:t>awarded the family</w:t>
      </w:r>
      <w:r w:rsidRPr="004F0227">
        <w:rPr>
          <w:rFonts w:ascii="Arial" w:hAnsi="Arial" w:cs="Courier New"/>
          <w:b/>
          <w:color w:val="1F4E79" w:themeColor="accent1" w:themeShade="80"/>
          <w:sz w:val="17"/>
          <w:szCs w:val="17"/>
        </w:rPr>
        <w:t xml:space="preserve"> of a baby born with brain damage in October 2014 a </w:t>
      </w:r>
      <w:r w:rsidRPr="004F0227">
        <w:rPr>
          <w:rFonts w:ascii="Arial" w:hAnsi="Arial" w:cs="Courier New"/>
          <w:b/>
          <w:bCs/>
          <w:color w:val="1F4E79" w:themeColor="accent1" w:themeShade="80"/>
          <w:sz w:val="17"/>
          <w:szCs w:val="17"/>
        </w:rPr>
        <w:t>settlement of $229.6 million</w:t>
      </w:r>
      <w:r w:rsidRPr="004F0227">
        <w:rPr>
          <w:rFonts w:ascii="Arial" w:hAnsi="Arial" w:cs="Courier New"/>
          <w:b/>
          <w:color w:val="1F4E79" w:themeColor="accent1" w:themeShade="80"/>
          <w:sz w:val="17"/>
          <w:szCs w:val="17"/>
        </w:rPr>
        <w:t xml:space="preserve">, the largest </w:t>
      </w:r>
      <w:r w:rsidRPr="004F0227">
        <w:rPr>
          <w:rFonts w:ascii="Arial" w:hAnsi="Arial" w:cs="Courier New"/>
          <w:b/>
          <w:bCs/>
          <w:color w:val="1F4E79" w:themeColor="accent1" w:themeShade="80"/>
          <w:sz w:val="17"/>
          <w:szCs w:val="17"/>
        </w:rPr>
        <w:t>medical malpractice verdict</w:t>
      </w:r>
      <w:r w:rsidRPr="004F0227">
        <w:rPr>
          <w:rFonts w:ascii="Arial" w:hAnsi="Arial" w:cs="Courier New"/>
          <w:b/>
          <w:color w:val="1F4E79" w:themeColor="accent1" w:themeShade="80"/>
          <w:sz w:val="17"/>
          <w:szCs w:val="17"/>
        </w:rPr>
        <w:t xml:space="preserve"> in our nation’s history.  34% of US physicians have had a </w:t>
      </w:r>
      <w:r w:rsidRPr="004F0227">
        <w:rPr>
          <w:rFonts w:ascii="Arial" w:hAnsi="Arial" w:cs="Courier New"/>
          <w:b/>
          <w:bCs/>
          <w:color w:val="1F4E79" w:themeColor="accent1" w:themeShade="80"/>
          <w:sz w:val="17"/>
          <w:szCs w:val="17"/>
        </w:rPr>
        <w:t>medical liability lawsuit</w:t>
      </w:r>
      <w:r w:rsidRPr="004F0227">
        <w:rPr>
          <w:rFonts w:ascii="Arial" w:hAnsi="Arial" w:cs="Courier New"/>
          <w:b/>
          <w:color w:val="1F4E79" w:themeColor="accent1" w:themeShade="80"/>
          <w:sz w:val="17"/>
          <w:szCs w:val="17"/>
        </w:rPr>
        <w:t xml:space="preserve"> filed against them during their careers (source: AMA).     </w:t>
      </w:r>
      <w:r w:rsidRPr="004F0227">
        <w:rPr>
          <w:rFonts w:ascii="Arial" w:hAnsi="Arial" w:cs="Arial"/>
          <w:b/>
          <w:snapToGrid w:val="0"/>
          <w:color w:val="1F4E79" w:themeColor="accent1" w:themeShade="80"/>
          <w:sz w:val="17"/>
          <w:szCs w:val="17"/>
        </w:rPr>
        <w:t xml:space="preserve">  </w:t>
      </w:r>
    </w:p>
    <w:p w:rsidR="004F0227" w:rsidRPr="004F0227" w:rsidRDefault="004F0227" w:rsidP="004F0227">
      <w:pPr>
        <w:pStyle w:val="ListParagraph"/>
        <w:jc w:val="both"/>
        <w:rPr>
          <w:rFonts w:ascii="Arial" w:hAnsi="Arial" w:cs="Arial"/>
          <w:b/>
          <w:snapToGrid w:val="0"/>
          <w:color w:val="1F4E79" w:themeColor="accent1" w:themeShade="80"/>
          <w:sz w:val="14"/>
          <w:szCs w:val="14"/>
        </w:rPr>
      </w:pPr>
    </w:p>
    <w:p w:rsidR="004F0227" w:rsidRPr="004F0227" w:rsidRDefault="004F0227" w:rsidP="004F0227">
      <w:pPr>
        <w:numPr>
          <w:ilvl w:val="0"/>
          <w:numId w:val="1"/>
        </w:numPr>
        <w:jc w:val="both"/>
        <w:rPr>
          <w:rFonts w:ascii="Arial" w:hAnsi="Arial" w:cs="Arial"/>
          <w:b/>
          <w:snapToGrid w:val="0"/>
          <w:color w:val="1F4E79" w:themeColor="accent1" w:themeShade="80"/>
          <w:sz w:val="17"/>
          <w:szCs w:val="17"/>
        </w:rPr>
      </w:pPr>
      <w:r w:rsidRPr="004F0227">
        <w:rPr>
          <w:rFonts w:ascii="Arial" w:hAnsi="Arial" w:cs="Arial"/>
          <w:b/>
          <w:bCs/>
          <w:i/>
          <w:iCs/>
          <w:snapToGrid w:val="0"/>
          <w:color w:val="1F4E79" w:themeColor="accent1" w:themeShade="80"/>
          <w:sz w:val="17"/>
          <w:szCs w:val="17"/>
          <w:u w:val="single"/>
        </w:rPr>
        <w:t>CITIES</w:t>
      </w:r>
      <w:r w:rsidRPr="004F0227">
        <w:rPr>
          <w:rFonts w:ascii="Arial" w:hAnsi="Arial" w:cs="Arial"/>
          <w:b/>
          <w:snapToGrid w:val="0"/>
          <w:color w:val="1F4E79" w:themeColor="accent1" w:themeShade="80"/>
          <w:sz w:val="17"/>
          <w:szCs w:val="17"/>
        </w:rPr>
        <w:t xml:space="preserve"> - California and Texas each have </w:t>
      </w:r>
      <w:r w:rsidRPr="004F0227">
        <w:rPr>
          <w:rFonts w:ascii="Arial" w:hAnsi="Arial" w:cs="Arial"/>
          <w:b/>
          <w:bCs/>
          <w:snapToGrid w:val="0"/>
          <w:color w:val="1F4E79" w:themeColor="accent1" w:themeShade="80"/>
          <w:sz w:val="17"/>
          <w:szCs w:val="17"/>
        </w:rPr>
        <w:t>3 of the 10 largest cities</w:t>
      </w:r>
      <w:r w:rsidRPr="004F0227">
        <w:rPr>
          <w:rFonts w:ascii="Arial" w:hAnsi="Arial" w:cs="Arial"/>
          <w:b/>
          <w:snapToGrid w:val="0"/>
          <w:color w:val="1F4E79" w:themeColor="accent1" w:themeShade="80"/>
          <w:sz w:val="17"/>
          <w:szCs w:val="17"/>
        </w:rPr>
        <w:t xml:space="preserve"> in the USA, including Los Angeles, San Diego and San Jose in </w:t>
      </w:r>
      <w:r w:rsidRPr="004F0227">
        <w:rPr>
          <w:rFonts w:ascii="Arial" w:hAnsi="Arial" w:cs="Arial"/>
          <w:b/>
          <w:bCs/>
          <w:snapToGrid w:val="0"/>
          <w:color w:val="1F4E79" w:themeColor="accent1" w:themeShade="80"/>
          <w:sz w:val="17"/>
          <w:szCs w:val="17"/>
        </w:rPr>
        <w:t>CA</w:t>
      </w:r>
      <w:r w:rsidRPr="004F0227">
        <w:rPr>
          <w:rFonts w:ascii="Arial" w:hAnsi="Arial" w:cs="Arial"/>
          <w:b/>
          <w:snapToGrid w:val="0"/>
          <w:color w:val="1F4E79" w:themeColor="accent1" w:themeShade="80"/>
          <w:sz w:val="17"/>
          <w:szCs w:val="17"/>
        </w:rPr>
        <w:t xml:space="preserve"> and Houston, San Antonio and Dallas in </w:t>
      </w:r>
      <w:r w:rsidRPr="004F0227">
        <w:rPr>
          <w:rFonts w:ascii="Arial" w:hAnsi="Arial" w:cs="Arial"/>
          <w:b/>
          <w:bCs/>
          <w:snapToGrid w:val="0"/>
          <w:color w:val="1F4E79" w:themeColor="accent1" w:themeShade="80"/>
          <w:sz w:val="17"/>
          <w:szCs w:val="17"/>
        </w:rPr>
        <w:t>TX</w:t>
      </w:r>
      <w:r w:rsidRPr="004F0227">
        <w:rPr>
          <w:rFonts w:ascii="Arial" w:hAnsi="Arial" w:cs="Arial"/>
          <w:b/>
          <w:snapToGrid w:val="0"/>
          <w:color w:val="1F4E79" w:themeColor="accent1" w:themeShade="80"/>
          <w:sz w:val="17"/>
          <w:szCs w:val="17"/>
        </w:rPr>
        <w:t xml:space="preserve"> (source: World Population Review).  </w:t>
      </w:r>
      <w:bookmarkStart w:id="0" w:name="_GoBack"/>
      <w:bookmarkEnd w:id="0"/>
    </w:p>
    <w:p w:rsidR="004F0227" w:rsidRPr="004E6A85" w:rsidRDefault="004F0227" w:rsidP="004F0227">
      <w:pPr>
        <w:jc w:val="both"/>
        <w:rPr>
          <w:sz w:val="17"/>
          <w:szCs w:val="17"/>
        </w:rPr>
      </w:pPr>
    </w:p>
    <w:p w:rsidR="004F0227" w:rsidRDefault="004F0227" w:rsidP="004F0227">
      <w:pPr>
        <w:pStyle w:val="BodyText"/>
        <w:jc w:val="both"/>
        <w:rPr>
          <w:sz w:val="16"/>
          <w:szCs w:val="16"/>
        </w:rPr>
      </w:pPr>
      <w:r>
        <w:rPr>
          <w:sz w:val="16"/>
          <w:szCs w:val="16"/>
        </w:rPr>
        <w:t>Securities offered through Kestra Investment Services, LLC (Kestra IS), a member FINRA/SIPC.  Investment advisory services offered through Kestra Advisory Services, LLC (Kestra AS), an affiliate of Kestra IS.  Levine Group, LLC is not affiliated with Kestra IS or Kestra AS.</w:t>
      </w:r>
    </w:p>
    <w:p w:rsidR="004F0227" w:rsidRDefault="004F0227" w:rsidP="004F0227">
      <w:pPr>
        <w:shd w:val="clear" w:color="auto" w:fill="FFFFFF"/>
        <w:spacing w:before="20"/>
        <w:jc w:val="both"/>
        <w:rPr>
          <w:b/>
          <w:bCs/>
          <w:sz w:val="16"/>
          <w:szCs w:val="16"/>
        </w:rPr>
      </w:pPr>
    </w:p>
    <w:p w:rsidR="004F0227" w:rsidRDefault="004F0227" w:rsidP="004F0227">
      <w:pPr>
        <w:jc w:val="both"/>
        <w:rPr>
          <w:sz w:val="16"/>
          <w:szCs w:val="16"/>
        </w:rPr>
      </w:pPr>
      <w:r>
        <w:rPr>
          <w:sz w:val="16"/>
          <w:szCs w:val="16"/>
        </w:rPr>
        <w:t xml:space="preserve">This material represents an assessment of the market and economic environment at a specific point in time and is not intended to be a forecast of future events, or a guarantee of future results. Forward-looking statements are subject to certain risks and uncertainties.  Actual results, performance, or achievements may differ materially from those expressed or implied. Information is based on data gathered from what we believe are reliable sources. It is not guaranteed by Kestra IS or Kestra AS, as to accuracy does not purport to be complete and is not intended to be used as a primary basis for investment decisions. It should also not be construed as advice meeting the particular investment needs of any investor. The indices mentioned are unmanaged and cannot be directly invested into. Past performance does not guarantee future results.  </w:t>
      </w:r>
      <w:r>
        <w:rPr>
          <w:snapToGrid w:val="0"/>
          <w:sz w:val="16"/>
          <w:szCs w:val="16"/>
        </w:rPr>
        <w:t xml:space="preserve">The S&amp;P 500 is an unmanaged index of 500 widely held stocks that is generally considered representative of the US stock market.  </w:t>
      </w:r>
      <w:r>
        <w:rPr>
          <w:sz w:val="16"/>
          <w:szCs w:val="16"/>
        </w:rPr>
        <w:t xml:space="preserve">Copyright © 2019 Michael A. </w:t>
      </w:r>
      <w:proofErr w:type="spellStart"/>
      <w:r>
        <w:rPr>
          <w:sz w:val="16"/>
          <w:szCs w:val="16"/>
        </w:rPr>
        <w:t>Higley</w:t>
      </w:r>
      <w:proofErr w:type="spellEnd"/>
      <w:r>
        <w:rPr>
          <w:sz w:val="16"/>
          <w:szCs w:val="16"/>
        </w:rPr>
        <w:t>.  All rights reserved.</w:t>
      </w:r>
    </w:p>
    <w:p w:rsidR="004F0227" w:rsidRDefault="004F0227" w:rsidP="004F0227">
      <w:pPr>
        <w:shd w:val="clear" w:color="auto" w:fill="FFFFFF"/>
        <w:spacing w:before="20"/>
        <w:jc w:val="both"/>
        <w:rPr>
          <w:b/>
          <w:bCs/>
          <w:sz w:val="16"/>
          <w:szCs w:val="16"/>
        </w:rPr>
      </w:pPr>
    </w:p>
    <w:p w:rsidR="004F0227" w:rsidRPr="0007050F" w:rsidRDefault="004F0227" w:rsidP="004F0227">
      <w:pPr>
        <w:jc w:val="both"/>
        <w:rPr>
          <w:sz w:val="16"/>
          <w:szCs w:val="16"/>
        </w:rPr>
      </w:pPr>
      <w:r>
        <w:rPr>
          <w:sz w:val="16"/>
          <w:szCs w:val="16"/>
        </w:rPr>
        <w:t>11/25/19 Monday</w:t>
      </w:r>
    </w:p>
    <w:p w:rsidR="004F0227" w:rsidRDefault="004F0227" w:rsidP="004F0227"/>
    <w:p w:rsidR="001D3B90" w:rsidRDefault="004F0227"/>
    <w:sectPr w:rsidR="001D3B90" w:rsidSect="008A4247">
      <w:pgSz w:w="12240" w:h="15840" w:code="1"/>
      <w:pgMar w:top="1008" w:right="1800" w:bottom="576" w:left="1800" w:header="720" w:footer="576"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08150B"/>
    <w:multiLevelType w:val="singleLevel"/>
    <w:tmpl w:val="4E4E7BE6"/>
    <w:lvl w:ilvl="0">
      <w:start w:val="1"/>
      <w:numFmt w:val="decimal"/>
      <w:lvlText w:val="%1."/>
      <w:lvlJc w:val="left"/>
      <w:pPr>
        <w:tabs>
          <w:tab w:val="num" w:pos="360"/>
        </w:tabs>
        <w:ind w:left="360" w:hanging="360"/>
      </w:pPr>
      <w:rPr>
        <w:rFonts w:ascii="Arial" w:hAnsi="Arial" w:cs="Arial"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227"/>
    <w:rsid w:val="004F0227"/>
    <w:rsid w:val="009F6A61"/>
    <w:rsid w:val="00F93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2D6B1"/>
  <w15:chartTrackingRefBased/>
  <w15:docId w15:val="{CEF5B937-9453-474E-949B-46E1F9AD1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2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227"/>
    <w:pPr>
      <w:ind w:left="720"/>
    </w:pPr>
    <w:rPr>
      <w:sz w:val="20"/>
      <w:szCs w:val="20"/>
    </w:rPr>
  </w:style>
  <w:style w:type="paragraph" w:styleId="BodyText">
    <w:name w:val="Body Text"/>
    <w:basedOn w:val="Normal"/>
    <w:link w:val="BodyTextChar"/>
    <w:uiPriority w:val="99"/>
    <w:semiHidden/>
    <w:unhideWhenUsed/>
    <w:rsid w:val="004F0227"/>
    <w:pPr>
      <w:spacing w:after="120"/>
    </w:pPr>
    <w:rPr>
      <w:rFonts w:ascii="Calibri" w:eastAsia="Calibri" w:hAnsi="Calibri"/>
      <w:sz w:val="22"/>
      <w:szCs w:val="22"/>
    </w:rPr>
  </w:style>
  <w:style w:type="character" w:customStyle="1" w:styleId="BodyTextChar">
    <w:name w:val="Body Text Char"/>
    <w:basedOn w:val="DefaultParagraphFont"/>
    <w:link w:val="BodyText"/>
    <w:uiPriority w:val="99"/>
    <w:semiHidden/>
    <w:rsid w:val="004F022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19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Daniell</dc:creator>
  <cp:keywords/>
  <dc:description/>
  <cp:lastModifiedBy>Savannah Daniell</cp:lastModifiedBy>
  <cp:revision>1</cp:revision>
  <dcterms:created xsi:type="dcterms:W3CDTF">2019-11-26T19:18:00Z</dcterms:created>
  <dcterms:modified xsi:type="dcterms:W3CDTF">2019-11-26T19:23:00Z</dcterms:modified>
</cp:coreProperties>
</file>