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3E" w:rsidRPr="00B217FA" w:rsidRDefault="0051673E" w:rsidP="000037E6">
      <w:pPr>
        <w:jc w:val="right"/>
      </w:pPr>
      <w:bookmarkStart w:id="0" w:name="_GoBack"/>
      <w:bookmarkEnd w:id="0"/>
      <w:r>
        <w:t>Octo</w:t>
      </w:r>
      <w:r w:rsidRPr="00B217FA">
        <w:t xml:space="preserve">ber </w:t>
      </w:r>
      <w:r>
        <w:t>14</w:t>
      </w:r>
      <w:r w:rsidRPr="00B217FA">
        <w:t>, 2011</w:t>
      </w:r>
    </w:p>
    <w:p w:rsidR="0051673E" w:rsidRPr="00B217FA" w:rsidRDefault="0051673E" w:rsidP="000037E6"/>
    <w:p w:rsidR="0051673E" w:rsidRPr="00B217FA" w:rsidRDefault="0051673E" w:rsidP="000037E6">
      <w:r w:rsidRPr="00B217FA">
        <w:t>Dear Investors:</w:t>
      </w:r>
    </w:p>
    <w:p w:rsidR="0051673E" w:rsidRPr="00B217FA" w:rsidRDefault="0051673E" w:rsidP="000037E6"/>
    <w:p w:rsidR="0051673E" w:rsidRDefault="0051673E" w:rsidP="005E0CDD">
      <w:r>
        <w:t>Last week, I discussed the fact that the markets had risen to the upper boundaries of a declining trend channel.  This week, the markets broke through their upper resistance level. This means that we may be in the midst of the bear market rally that I have been suggesting would follow the last major wave down.  However, it is important to see where the next leg down bottoms.  If the markets trade down to their October 3</w:t>
      </w:r>
      <w:r w:rsidRPr="001034FD">
        <w:rPr>
          <w:vertAlign w:val="superscript"/>
        </w:rPr>
        <w:t>rd</w:t>
      </w:r>
      <w:r>
        <w:t xml:space="preserve"> Fibonacci phi mate turning point level and then bounce higher, there is an increased probability that the markets are in the midst of the bear market rally that should retrace about 50%-60% of the amount lost from the April high to the October low.  On the other hand, if the markets break below their October 3</w:t>
      </w:r>
      <w:r w:rsidRPr="001034FD">
        <w:rPr>
          <w:vertAlign w:val="superscript"/>
        </w:rPr>
        <w:t>rd</w:t>
      </w:r>
      <w:r>
        <w:t xml:space="preserve"> lows, then we still have further downside to the decline from the April highs.  There is another Fibonacci phi mate date approaching on, or about, November 11</w:t>
      </w:r>
      <w:r w:rsidRPr="001034FD">
        <w:rPr>
          <w:vertAlign w:val="superscript"/>
        </w:rPr>
        <w:t>th</w:t>
      </w:r>
      <w:r>
        <w:t>.  It will be interesting to see if that signals a market high or a low.</w:t>
      </w:r>
    </w:p>
    <w:p w:rsidR="0051673E" w:rsidRDefault="0051673E" w:rsidP="005E0CDD"/>
    <w:p w:rsidR="0051673E" w:rsidRPr="00B217FA" w:rsidRDefault="0051673E" w:rsidP="005E0CDD">
      <w:r>
        <w:t xml:space="preserve">The markets rallied this week for no apparent, or valid, reason other than the fact that technical levels created market demand.  </w:t>
      </w:r>
      <w:r w:rsidRPr="00B217FA">
        <w:t xml:space="preserve">The </w:t>
      </w:r>
      <w:r>
        <w:t xml:space="preserve">Dow Jones </w:t>
      </w:r>
      <w:r w:rsidRPr="00B217FA">
        <w:t>Industrial</w:t>
      </w:r>
      <w:r>
        <w:t xml:space="preserve"> Average jumped</w:t>
      </w:r>
      <w:r w:rsidRPr="00B217FA">
        <w:t xml:space="preserve"> </w:t>
      </w:r>
      <w:r>
        <w:t>541.37</w:t>
      </w:r>
      <w:r w:rsidRPr="00B217FA">
        <w:t xml:space="preserve"> points, or </w:t>
      </w:r>
      <w:r>
        <w:t>4.9</w:t>
      </w:r>
      <w:r w:rsidRPr="00B217FA">
        <w:t>%, to close at 1</w:t>
      </w:r>
      <w:r>
        <w:t>1,644.49</w:t>
      </w:r>
      <w:r w:rsidRPr="00B217FA">
        <w:t xml:space="preserve">, and </w:t>
      </w:r>
      <w:r>
        <w:t>is</w:t>
      </w:r>
      <w:r w:rsidRPr="00B217FA">
        <w:t xml:space="preserve"> now </w:t>
      </w:r>
      <w:r>
        <w:t>up</w:t>
      </w:r>
      <w:r w:rsidRPr="00B217FA">
        <w:t xml:space="preserve"> </w:t>
      </w:r>
      <w:r>
        <w:t>0.6</w:t>
      </w:r>
      <w:r w:rsidRPr="00B217FA">
        <w:t xml:space="preserve">% for the year.  The S&amp;P 500 </w:t>
      </w:r>
      <w:r>
        <w:t>gained 69.12</w:t>
      </w:r>
      <w:r w:rsidRPr="00B217FA">
        <w:t xml:space="preserve"> points, or </w:t>
      </w:r>
      <w:r>
        <w:t>5.9%</w:t>
      </w:r>
      <w:r w:rsidRPr="00B217FA">
        <w:t>, this week to close at 1,</w:t>
      </w:r>
      <w:r>
        <w:t>224.58</w:t>
      </w:r>
      <w:r w:rsidRPr="00B217FA">
        <w:t xml:space="preserve">, and is down </w:t>
      </w:r>
      <w:r>
        <w:t>2.6</w:t>
      </w:r>
      <w:r w:rsidRPr="00B217FA">
        <w:t xml:space="preserve">% year-to-date.  </w:t>
      </w:r>
      <w:r>
        <w:t>T</w:t>
      </w:r>
      <w:r w:rsidRPr="00B217FA">
        <w:t xml:space="preserve">he NASDAQ Composite </w:t>
      </w:r>
      <w:r>
        <w:t xml:space="preserve">added 188.50 </w:t>
      </w:r>
      <w:r w:rsidRPr="00B217FA">
        <w:t>points</w:t>
      </w:r>
      <w:r>
        <w:t>,</w:t>
      </w:r>
      <w:r w:rsidRPr="00B217FA">
        <w:t xml:space="preserve"> </w:t>
      </w:r>
      <w:r>
        <w:t xml:space="preserve">or 7.6%, </w:t>
      </w:r>
      <w:r w:rsidRPr="00B217FA">
        <w:t>this week to close at 2,</w:t>
      </w:r>
      <w:r>
        <w:t xml:space="preserve">667.85, and </w:t>
      </w:r>
      <w:r w:rsidRPr="00B217FA">
        <w:t xml:space="preserve">is </w:t>
      </w:r>
      <w:r>
        <w:t>up</w:t>
      </w:r>
      <w:r w:rsidRPr="00B217FA">
        <w:t xml:space="preserve"> </w:t>
      </w:r>
      <w:r>
        <w:t>0.6</w:t>
      </w:r>
      <w:r w:rsidRPr="00B217FA">
        <w:t>% this year.</w:t>
      </w:r>
    </w:p>
    <w:p w:rsidR="0051673E" w:rsidRPr="00B217FA" w:rsidRDefault="0051673E" w:rsidP="005E0CDD"/>
    <w:p w:rsidR="0051673E" w:rsidRDefault="0051673E" w:rsidP="00873B5B">
      <w:r>
        <w:t xml:space="preserve">The week started with news that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Germany</w:t>
          </w:r>
        </w:smartTag>
      </w:smartTag>
      <w:r>
        <w:t xml:space="preserve"> may agree to recapitalize troubled European banks. This news sent global and </w:t>
      </w:r>
      <w:smartTag w:uri="urn:schemas-microsoft-com:office:smarttags" w:element="country-region">
        <w:smartTag w:uri="urn:schemas-microsoft-com:office:smarttags" w:element="place">
          <w:r>
            <w:t>U.S.</w:t>
          </w:r>
        </w:smartTag>
      </w:smartTag>
      <w:r>
        <w:t xml:space="preserve"> markets over their resistance levels and unleashed the buying frenzy.  Recapitalizing the banks does not solve the European troubles.  In fact, Standard and Poor’s downgraded </w:t>
      </w:r>
      <w:smartTag w:uri="urn:schemas-microsoft-com:office:smarttags" w:element="place">
        <w:smartTag w:uri="urn:schemas-microsoft-com:office:smarttags" w:element="country-region">
          <w:r>
            <w:t>Spain</w:t>
          </w:r>
        </w:smartTag>
      </w:smartTag>
      <w:r>
        <w:t xml:space="preserve">’s sovereign debt this week, but it did not matter because either investors or computer trading were working off the buy signal of breaking through the upper resistance level.  </w:t>
      </w:r>
    </w:p>
    <w:p w:rsidR="0051673E" w:rsidRDefault="0051673E" w:rsidP="00873B5B"/>
    <w:p w:rsidR="0051673E" w:rsidRDefault="0051673E" w:rsidP="00873B5B">
      <w:r>
        <w:t>As the markets rallied, the pundits quickly dismissed the possibility of a double dip recession that had dominated Wall Street for the last two months. Does a technical market rally really signal that we have avoided a double dip recession?  However, economists are raising their expectations for third quarter GDP based on the market rally and a better than expected September Retail Sales estimate.  On Friday, the Commerce Department announced that September retail sales were up 1.1%, which was much better than the 0.6% that economists were expecting and a significant improvement over the August Retail Sales report that showed a zero increase in consumer spending.  Maybe September was much better than expected because economists did not realize that most of the east coast was shut down for a week or more due to Hurricane Irene.  In fact, home foreclosures are increasing again and home sales are sluggish.  Seasonally-adjusted first-time unemployment claims dropped by 1,000 to 404,000 only because last week’s claims were revised higher. More importantly, the non-seasonally adjusted or actual claims jumped up by 66,442.  I do not believe that you can dismiss a double dip recession based on this data.  In fact, I think it provides more support for a second recession.</w:t>
      </w:r>
    </w:p>
    <w:p w:rsidR="0051673E" w:rsidRDefault="0051673E" w:rsidP="00873B5B"/>
    <w:p w:rsidR="0051673E" w:rsidRDefault="0051673E" w:rsidP="00091C2F">
      <w:r>
        <w:t xml:space="preserve">This week investors also overlooked the fact that our national debt is $14.8 trillion. For fiscal year ended September 30, 2011, the federal government spent $1.3 trillion more than it took in from tax revenues. It was the third straight year where spending exceeded revenues by more than a trillion dollars.  It was the second largest fiscal year deficit since 2009 and slightly more than last fiscal year’s $1.29 trillion loss.  In simple terms,  the government borrowed 36 cents of every dollar spent.  The problem is that the interest on the national debt is taking away from other critical government spending such as healthcare and social security.  I encourage you to look at this website and draw your own conclusions about our politicians and government spending, </w:t>
      </w:r>
      <w:hyperlink r:id="rId6" w:history="1">
        <w:r w:rsidRPr="009C6E3B">
          <w:rPr>
            <w:rStyle w:val="Hyperlink"/>
          </w:rPr>
          <w:t>http://home.adelphi.edu/sbloch/deficits.html</w:t>
        </w:r>
      </w:hyperlink>
    </w:p>
    <w:p w:rsidR="0051673E" w:rsidRDefault="0051673E" w:rsidP="00091C2F"/>
    <w:p w:rsidR="0051673E" w:rsidRDefault="0051673E" w:rsidP="00091C2F">
      <w:r>
        <w:t>The Occupy Wall Street protestors have some valid arguments but they are aimed in the wrong direction.  It is not Wall Street squeezing 99% of the population; it is the Federal Reserve and the policies of this Administration.  The Federal Reserve has created hyper-inflation making it more expensive for the average American to buy goods and services.  Excepting celebrities and professional athletes, who make up the majority of the 1% of people who are angering the protestors, everyone is paying more.  Unfortunately, economics can be very difficult for the average person to understand. Blame is being placed on Wall Street when it should be the Federal Reserve and the out of control spending of the government because these two factors have weakened the middle class.</w:t>
      </w:r>
    </w:p>
    <w:p w:rsidR="0051673E" w:rsidRDefault="0051673E" w:rsidP="00091C2F"/>
    <w:p w:rsidR="0051673E" w:rsidRDefault="0051673E" w:rsidP="00091C2F">
      <w:pPr>
        <w:rPr>
          <w:color w:val="000000"/>
        </w:rPr>
      </w:pPr>
      <w:r>
        <w:t xml:space="preserve">The current difficult market is making it critical that you diversify among asset classes and even investments such as mutual funds, annuities and alternative vehicles, such as structured certificates of deposit.  As always, </w:t>
      </w:r>
      <w:r w:rsidRPr="00B217FA">
        <w:rPr>
          <w:color w:val="000000"/>
        </w:rPr>
        <w:t xml:space="preserve">I welcome your comments and </w:t>
      </w:r>
      <w:r>
        <w:rPr>
          <w:color w:val="000000"/>
        </w:rPr>
        <w:t>feedback</w:t>
      </w:r>
      <w:r w:rsidRPr="00B217FA">
        <w:rPr>
          <w:color w:val="000000"/>
        </w:rPr>
        <w:t xml:space="preserve"> regarding my letters. I want to thank you </w:t>
      </w:r>
      <w:r>
        <w:rPr>
          <w:color w:val="000000"/>
        </w:rPr>
        <w:t>again f</w:t>
      </w:r>
      <w:r w:rsidRPr="00B217FA">
        <w:rPr>
          <w:color w:val="000000"/>
        </w:rPr>
        <w:t xml:space="preserve">or your referrals and confidence.  A referral is the greatest validation of our service and commitment.  </w:t>
      </w:r>
    </w:p>
    <w:p w:rsidR="0051673E" w:rsidRDefault="0051673E" w:rsidP="00091C2F">
      <w:pPr>
        <w:rPr>
          <w:color w:val="000000"/>
        </w:rPr>
      </w:pPr>
    </w:p>
    <w:p w:rsidR="0051673E" w:rsidRPr="00B217FA" w:rsidRDefault="0051673E" w:rsidP="00091C2F">
      <w:pPr>
        <w:rPr>
          <w:color w:val="000000"/>
        </w:rPr>
      </w:pPr>
      <w:r w:rsidRPr="00B217FA">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51673E" w:rsidRPr="00B217FA" w:rsidRDefault="0051673E" w:rsidP="00CD5BAF">
      <w:pPr>
        <w:pStyle w:val="NormalWeb"/>
        <w:spacing w:before="0" w:beforeAutospacing="0" w:after="0" w:afterAutospacing="0"/>
        <w:rPr>
          <w:color w:val="000000"/>
        </w:rPr>
      </w:pPr>
      <w:r w:rsidRPr="00B217FA">
        <w:rPr>
          <w:color w:val="000000"/>
        </w:rPr>
        <w:t> </w:t>
      </w:r>
    </w:p>
    <w:p w:rsidR="0051673E" w:rsidRPr="007C7E8F" w:rsidRDefault="0051673E" w:rsidP="00CD5BAF">
      <w:pPr>
        <w:pStyle w:val="NormalWeb"/>
        <w:spacing w:before="0" w:beforeAutospacing="0" w:after="0" w:afterAutospacing="0"/>
        <w:rPr>
          <w:color w:val="000000"/>
        </w:rPr>
      </w:pPr>
      <w:r w:rsidRPr="007C7E8F">
        <w:rPr>
          <w:color w:val="000000"/>
        </w:rPr>
        <w:t>﻿﻿Best Regards,</w:t>
      </w:r>
    </w:p>
    <w:p w:rsidR="0051673E" w:rsidRDefault="0051673E" w:rsidP="00CD5BAF">
      <w:pPr>
        <w:pStyle w:val="NormalWeb"/>
        <w:spacing w:before="0" w:beforeAutospacing="0" w:after="0" w:afterAutospacing="0"/>
        <w:rPr>
          <w:color w:val="000000"/>
        </w:rPr>
      </w:pPr>
      <w:r>
        <w:rPr>
          <w:color w:val="000000"/>
        </w:rPr>
        <w:t> </w:t>
      </w:r>
    </w:p>
    <w:p w:rsidR="0051673E" w:rsidRDefault="0051673E" w:rsidP="00CD5BAF">
      <w:pPr>
        <w:pStyle w:val="NormalWeb"/>
        <w:spacing w:before="0" w:beforeAutospacing="0" w:after="0" w:afterAutospacing="0"/>
        <w:rPr>
          <w:color w:val="000000"/>
        </w:rPr>
      </w:pPr>
      <w:r w:rsidRPr="00B33A8D">
        <w:rPr>
          <w:rStyle w:val="Strong"/>
          <w:color w:val="000000"/>
        </w:rPr>
        <w:t>Vincent</w:t>
      </w:r>
      <w:r>
        <w:rPr>
          <w:rStyle w:val="Strong"/>
          <w:color w:val="000000"/>
        </w:rPr>
        <w:t xml:space="preserve"> Pallitto, CPA, CFP</w:t>
      </w:r>
      <w:r>
        <w:rPr>
          <w:rStyle w:val="Strong"/>
          <w:color w:val="000000"/>
          <w:vertAlign w:val="superscript"/>
        </w:rPr>
        <w:t>®</w:t>
      </w:r>
      <w:r>
        <w:rPr>
          <w:color w:val="000000"/>
          <w:vertAlign w:val="superscript"/>
        </w:rPr>
        <w:t> </w:t>
      </w:r>
      <w:r>
        <w:rPr>
          <w:color w:val="000000"/>
        </w:rPr>
        <w:t>  </w:t>
      </w:r>
    </w:p>
    <w:p w:rsidR="0051673E" w:rsidRDefault="0051673E"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51673E" w:rsidRDefault="0051673E" w:rsidP="00CD5BAF">
      <w:pPr>
        <w:pStyle w:val="NormalWeb"/>
        <w:spacing w:before="0" w:beforeAutospacing="0" w:after="0" w:afterAutospacing="0"/>
        <w:rPr>
          <w:color w:val="000000"/>
        </w:rPr>
      </w:pPr>
      <w:r>
        <w:rPr>
          <w:color w:val="000000"/>
          <w:sz w:val="22"/>
          <w:szCs w:val="22"/>
        </w:rPr>
        <w:t>Summit Asset Management, Inc.</w:t>
      </w:r>
    </w:p>
    <w:p w:rsidR="0051673E" w:rsidRDefault="00D95776" w:rsidP="00CD5BAF">
      <w:pPr>
        <w:pStyle w:val="NormalWeb"/>
        <w:spacing w:before="0" w:beforeAutospacing="0" w:after="0" w:afterAutospacing="0"/>
        <w:rPr>
          <w:color w:val="000000"/>
        </w:rPr>
      </w:pPr>
      <w:hyperlink r:id="rId7" w:tgtFrame="_blank" w:history="1">
        <w:r w:rsidR="0051673E">
          <w:rPr>
            <w:rStyle w:val="Hyperlink"/>
            <w:sz w:val="22"/>
            <w:szCs w:val="22"/>
          </w:rPr>
          <w:t>www.summitasset.com</w:t>
        </w:r>
      </w:hyperlink>
    </w:p>
    <w:p w:rsidR="0051673E" w:rsidRDefault="0051673E" w:rsidP="00CD5BAF">
      <w:pPr>
        <w:pStyle w:val="NormalWeb"/>
        <w:spacing w:before="0" w:beforeAutospacing="0" w:after="0" w:afterAutospacing="0"/>
        <w:rPr>
          <w:color w:val="000000"/>
        </w:rPr>
      </w:pPr>
      <w:r>
        <w:rPr>
          <w:color w:val="000000"/>
          <w:sz w:val="22"/>
          <w:szCs w:val="22"/>
        </w:rPr>
        <w:t>973-301-2360</w:t>
      </w:r>
    </w:p>
    <w:p w:rsidR="0051673E" w:rsidRDefault="0051673E" w:rsidP="00CD5BAF">
      <w:pPr>
        <w:pStyle w:val="NormalWeb"/>
        <w:spacing w:before="0" w:beforeAutospacing="0" w:after="0" w:afterAutospacing="0"/>
        <w:rPr>
          <w:color w:val="000000"/>
        </w:rPr>
      </w:pPr>
      <w:r>
        <w:rPr>
          <w:color w:val="000000"/>
          <w:sz w:val="22"/>
          <w:szCs w:val="22"/>
        </w:rPr>
        <w:t>973-301-2370 Fax</w:t>
      </w:r>
    </w:p>
    <w:p w:rsidR="0051673E" w:rsidRDefault="0051673E" w:rsidP="00CD5BAF">
      <w:pPr>
        <w:pStyle w:val="NormalWeb"/>
        <w:spacing w:before="0" w:beforeAutospacing="0" w:after="0" w:afterAutospacing="0"/>
        <w:rPr>
          <w:color w:val="000000"/>
        </w:rPr>
      </w:pPr>
      <w:r>
        <w:rPr>
          <w:color w:val="000000"/>
          <w:sz w:val="20"/>
          <w:szCs w:val="20"/>
        </w:rPr>
        <w:t>A branch office of, and securities offered through LPL Financial</w:t>
      </w:r>
    </w:p>
    <w:p w:rsidR="0051673E" w:rsidRDefault="0051673E" w:rsidP="00CD5BAF">
      <w:pPr>
        <w:pStyle w:val="NormalWeb"/>
        <w:spacing w:before="0" w:beforeAutospacing="0" w:after="0" w:afterAutospacing="0"/>
        <w:rPr>
          <w:color w:val="000000"/>
        </w:rPr>
      </w:pPr>
      <w:r>
        <w:rPr>
          <w:color w:val="000000"/>
          <w:sz w:val="15"/>
          <w:szCs w:val="15"/>
        </w:rPr>
        <w:t>Member FINRA SIPC</w:t>
      </w:r>
    </w:p>
    <w:p w:rsidR="0051673E" w:rsidRDefault="0051673E" w:rsidP="00CD5BAF">
      <w:pPr>
        <w:pStyle w:val="NormalWeb"/>
        <w:spacing w:before="0" w:beforeAutospacing="0" w:after="0" w:afterAutospacing="0"/>
        <w:rPr>
          <w:color w:val="000000"/>
        </w:rPr>
      </w:pPr>
      <w:r>
        <w:rPr>
          <w:color w:val="000000"/>
        </w:rPr>
        <w:t> </w:t>
      </w:r>
    </w:p>
    <w:p w:rsidR="0051673E" w:rsidRDefault="0051673E"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8"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51673E" w:rsidRDefault="0051673E" w:rsidP="00CD5BAF">
      <w:pPr>
        <w:pStyle w:val="NormalWeb"/>
        <w:spacing w:before="0" w:beforeAutospacing="0" w:after="0" w:afterAutospacing="0"/>
        <w:rPr>
          <w:color w:val="000000"/>
        </w:rPr>
      </w:pPr>
      <w:r>
        <w:rPr>
          <w:b/>
          <w:bCs/>
          <w:color w:val="000000"/>
        </w:rPr>
        <w:t> </w:t>
      </w:r>
    </w:p>
    <w:p w:rsidR="0051673E" w:rsidRDefault="0051673E" w:rsidP="00873B5B"/>
    <w:p w:rsidR="0051673E" w:rsidRDefault="0051673E" w:rsidP="00873B5B"/>
    <w:p w:rsidR="0051673E" w:rsidRDefault="0051673E" w:rsidP="00873B5B"/>
    <w:p w:rsidR="0051673E" w:rsidRPr="00771636" w:rsidRDefault="0051673E" w:rsidP="00873B5B">
      <w:r>
        <w:t xml:space="preserve"> </w:t>
      </w:r>
    </w:p>
    <w:sectPr w:rsidR="0051673E"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1580"/>
    <w:rsid w:val="000037E6"/>
    <w:rsid w:val="00014E0D"/>
    <w:rsid w:val="00023090"/>
    <w:rsid w:val="00030D0E"/>
    <w:rsid w:val="0003196E"/>
    <w:rsid w:val="00037850"/>
    <w:rsid w:val="00047560"/>
    <w:rsid w:val="00056050"/>
    <w:rsid w:val="00060749"/>
    <w:rsid w:val="000645C5"/>
    <w:rsid w:val="0006786E"/>
    <w:rsid w:val="00072749"/>
    <w:rsid w:val="000730C6"/>
    <w:rsid w:val="000828C2"/>
    <w:rsid w:val="00086D7F"/>
    <w:rsid w:val="00087C9F"/>
    <w:rsid w:val="00087ECD"/>
    <w:rsid w:val="000904B7"/>
    <w:rsid w:val="00091C2F"/>
    <w:rsid w:val="000931D0"/>
    <w:rsid w:val="00093801"/>
    <w:rsid w:val="00093BF4"/>
    <w:rsid w:val="000A16FB"/>
    <w:rsid w:val="000A2464"/>
    <w:rsid w:val="000A31DC"/>
    <w:rsid w:val="000A464E"/>
    <w:rsid w:val="000A5206"/>
    <w:rsid w:val="000B1C2E"/>
    <w:rsid w:val="000B23B6"/>
    <w:rsid w:val="000B3B04"/>
    <w:rsid w:val="000B4155"/>
    <w:rsid w:val="000C2BDC"/>
    <w:rsid w:val="000C4CA3"/>
    <w:rsid w:val="000D2EA6"/>
    <w:rsid w:val="000D347D"/>
    <w:rsid w:val="000D6DA4"/>
    <w:rsid w:val="000D6FF7"/>
    <w:rsid w:val="000D73A6"/>
    <w:rsid w:val="000E0681"/>
    <w:rsid w:val="000E5661"/>
    <w:rsid w:val="000E6585"/>
    <w:rsid w:val="000E7B79"/>
    <w:rsid w:val="0010009C"/>
    <w:rsid w:val="001015C3"/>
    <w:rsid w:val="0010212A"/>
    <w:rsid w:val="001021BA"/>
    <w:rsid w:val="001034FD"/>
    <w:rsid w:val="00107559"/>
    <w:rsid w:val="001077AC"/>
    <w:rsid w:val="001103A7"/>
    <w:rsid w:val="00112BCF"/>
    <w:rsid w:val="00113EF7"/>
    <w:rsid w:val="00113FF8"/>
    <w:rsid w:val="0011587A"/>
    <w:rsid w:val="001169B9"/>
    <w:rsid w:val="00116E1B"/>
    <w:rsid w:val="0012240C"/>
    <w:rsid w:val="00123944"/>
    <w:rsid w:val="00130962"/>
    <w:rsid w:val="00136689"/>
    <w:rsid w:val="00137B6B"/>
    <w:rsid w:val="001417AB"/>
    <w:rsid w:val="00141D6C"/>
    <w:rsid w:val="00143733"/>
    <w:rsid w:val="0014749C"/>
    <w:rsid w:val="001565F3"/>
    <w:rsid w:val="00156966"/>
    <w:rsid w:val="00156A2E"/>
    <w:rsid w:val="00164CF9"/>
    <w:rsid w:val="00173B7E"/>
    <w:rsid w:val="001804E3"/>
    <w:rsid w:val="001872B6"/>
    <w:rsid w:val="001962E6"/>
    <w:rsid w:val="001A45ED"/>
    <w:rsid w:val="001A71C5"/>
    <w:rsid w:val="001B5500"/>
    <w:rsid w:val="001D374C"/>
    <w:rsid w:val="001D3B95"/>
    <w:rsid w:val="001D457C"/>
    <w:rsid w:val="001E088B"/>
    <w:rsid w:val="001E381B"/>
    <w:rsid w:val="001F31AB"/>
    <w:rsid w:val="001F617E"/>
    <w:rsid w:val="001F75A1"/>
    <w:rsid w:val="00203616"/>
    <w:rsid w:val="00210C57"/>
    <w:rsid w:val="0021254C"/>
    <w:rsid w:val="002130FC"/>
    <w:rsid w:val="0021315E"/>
    <w:rsid w:val="0021571A"/>
    <w:rsid w:val="00216442"/>
    <w:rsid w:val="002174A4"/>
    <w:rsid w:val="00220F7D"/>
    <w:rsid w:val="00230571"/>
    <w:rsid w:val="0023653B"/>
    <w:rsid w:val="002374BE"/>
    <w:rsid w:val="00240816"/>
    <w:rsid w:val="0024234F"/>
    <w:rsid w:val="00243927"/>
    <w:rsid w:val="0024773C"/>
    <w:rsid w:val="00247CD7"/>
    <w:rsid w:val="00254A23"/>
    <w:rsid w:val="0025566E"/>
    <w:rsid w:val="00270B0D"/>
    <w:rsid w:val="00272BE5"/>
    <w:rsid w:val="00272EA2"/>
    <w:rsid w:val="00273708"/>
    <w:rsid w:val="00291D08"/>
    <w:rsid w:val="002964B2"/>
    <w:rsid w:val="002A4D58"/>
    <w:rsid w:val="002A5EB3"/>
    <w:rsid w:val="002A70C9"/>
    <w:rsid w:val="002B0E04"/>
    <w:rsid w:val="002B0E21"/>
    <w:rsid w:val="002B1183"/>
    <w:rsid w:val="002B2D51"/>
    <w:rsid w:val="002B3579"/>
    <w:rsid w:val="002B4780"/>
    <w:rsid w:val="002B7172"/>
    <w:rsid w:val="002C0402"/>
    <w:rsid w:val="002C2F49"/>
    <w:rsid w:val="002C4D65"/>
    <w:rsid w:val="002D07DF"/>
    <w:rsid w:val="002D6F9C"/>
    <w:rsid w:val="002E1BFC"/>
    <w:rsid w:val="002E545B"/>
    <w:rsid w:val="002E5EC0"/>
    <w:rsid w:val="002E6573"/>
    <w:rsid w:val="002F0167"/>
    <w:rsid w:val="002F3CA8"/>
    <w:rsid w:val="003028EA"/>
    <w:rsid w:val="00302B4A"/>
    <w:rsid w:val="00306CE1"/>
    <w:rsid w:val="0031518A"/>
    <w:rsid w:val="0031659F"/>
    <w:rsid w:val="003171B9"/>
    <w:rsid w:val="00320A64"/>
    <w:rsid w:val="00325FB4"/>
    <w:rsid w:val="00332CF5"/>
    <w:rsid w:val="00333191"/>
    <w:rsid w:val="00346782"/>
    <w:rsid w:val="00351029"/>
    <w:rsid w:val="00351776"/>
    <w:rsid w:val="003527B9"/>
    <w:rsid w:val="00362496"/>
    <w:rsid w:val="003627F7"/>
    <w:rsid w:val="003629AD"/>
    <w:rsid w:val="003639B0"/>
    <w:rsid w:val="00363D61"/>
    <w:rsid w:val="00371617"/>
    <w:rsid w:val="00375DDB"/>
    <w:rsid w:val="00377BCC"/>
    <w:rsid w:val="00383E6A"/>
    <w:rsid w:val="00384377"/>
    <w:rsid w:val="003876C9"/>
    <w:rsid w:val="003922B4"/>
    <w:rsid w:val="00396510"/>
    <w:rsid w:val="003A354B"/>
    <w:rsid w:val="003A6227"/>
    <w:rsid w:val="003B1598"/>
    <w:rsid w:val="003B4190"/>
    <w:rsid w:val="003C0B33"/>
    <w:rsid w:val="003E4A3B"/>
    <w:rsid w:val="003F6EFF"/>
    <w:rsid w:val="00401C9A"/>
    <w:rsid w:val="004034C0"/>
    <w:rsid w:val="004128FD"/>
    <w:rsid w:val="00415CD3"/>
    <w:rsid w:val="00424431"/>
    <w:rsid w:val="00425AF4"/>
    <w:rsid w:val="004262B1"/>
    <w:rsid w:val="004277C3"/>
    <w:rsid w:val="00434D3E"/>
    <w:rsid w:val="004402D6"/>
    <w:rsid w:val="0044674C"/>
    <w:rsid w:val="00447C4E"/>
    <w:rsid w:val="004509B3"/>
    <w:rsid w:val="0045754C"/>
    <w:rsid w:val="00464DFF"/>
    <w:rsid w:val="0047143E"/>
    <w:rsid w:val="00476070"/>
    <w:rsid w:val="00477412"/>
    <w:rsid w:val="00480AFC"/>
    <w:rsid w:val="004817F4"/>
    <w:rsid w:val="004900FD"/>
    <w:rsid w:val="0049190A"/>
    <w:rsid w:val="00493D2C"/>
    <w:rsid w:val="00494534"/>
    <w:rsid w:val="00497816"/>
    <w:rsid w:val="004B0315"/>
    <w:rsid w:val="004B2F32"/>
    <w:rsid w:val="004B4AE7"/>
    <w:rsid w:val="004B7D77"/>
    <w:rsid w:val="004C0867"/>
    <w:rsid w:val="004C0EFE"/>
    <w:rsid w:val="004C557C"/>
    <w:rsid w:val="004D1CF2"/>
    <w:rsid w:val="004D34FA"/>
    <w:rsid w:val="004E29F6"/>
    <w:rsid w:val="004E4347"/>
    <w:rsid w:val="004F0BF0"/>
    <w:rsid w:val="004F1456"/>
    <w:rsid w:val="004F3850"/>
    <w:rsid w:val="004F3A23"/>
    <w:rsid w:val="004F5143"/>
    <w:rsid w:val="004F62F9"/>
    <w:rsid w:val="0051205A"/>
    <w:rsid w:val="005133B0"/>
    <w:rsid w:val="0051673E"/>
    <w:rsid w:val="00522642"/>
    <w:rsid w:val="0052537C"/>
    <w:rsid w:val="0053099E"/>
    <w:rsid w:val="005369FD"/>
    <w:rsid w:val="0054362C"/>
    <w:rsid w:val="0055400B"/>
    <w:rsid w:val="005569A7"/>
    <w:rsid w:val="00563005"/>
    <w:rsid w:val="00581244"/>
    <w:rsid w:val="005845EC"/>
    <w:rsid w:val="005932CA"/>
    <w:rsid w:val="005A7823"/>
    <w:rsid w:val="005B39BD"/>
    <w:rsid w:val="005B7A4E"/>
    <w:rsid w:val="005C18BA"/>
    <w:rsid w:val="005C21EE"/>
    <w:rsid w:val="005C7A71"/>
    <w:rsid w:val="005D2EE4"/>
    <w:rsid w:val="005D2F0F"/>
    <w:rsid w:val="005D543A"/>
    <w:rsid w:val="005D5EC1"/>
    <w:rsid w:val="005E0CDD"/>
    <w:rsid w:val="005E16A6"/>
    <w:rsid w:val="005E177B"/>
    <w:rsid w:val="005E209E"/>
    <w:rsid w:val="005E39DA"/>
    <w:rsid w:val="005F14D2"/>
    <w:rsid w:val="005F1753"/>
    <w:rsid w:val="005F7182"/>
    <w:rsid w:val="005F74FC"/>
    <w:rsid w:val="005F7B51"/>
    <w:rsid w:val="00602715"/>
    <w:rsid w:val="00604CED"/>
    <w:rsid w:val="00604EB2"/>
    <w:rsid w:val="00610B66"/>
    <w:rsid w:val="00615F2E"/>
    <w:rsid w:val="00616368"/>
    <w:rsid w:val="00616D42"/>
    <w:rsid w:val="00630893"/>
    <w:rsid w:val="00632E8F"/>
    <w:rsid w:val="00637416"/>
    <w:rsid w:val="00640653"/>
    <w:rsid w:val="0064189F"/>
    <w:rsid w:val="00642CEE"/>
    <w:rsid w:val="00643553"/>
    <w:rsid w:val="0065067E"/>
    <w:rsid w:val="00661568"/>
    <w:rsid w:val="00661E3E"/>
    <w:rsid w:val="006704E2"/>
    <w:rsid w:val="0068023F"/>
    <w:rsid w:val="0068054F"/>
    <w:rsid w:val="0068589D"/>
    <w:rsid w:val="006876F6"/>
    <w:rsid w:val="00687E66"/>
    <w:rsid w:val="006970D6"/>
    <w:rsid w:val="006A44B0"/>
    <w:rsid w:val="006A7404"/>
    <w:rsid w:val="006B0499"/>
    <w:rsid w:val="006C190E"/>
    <w:rsid w:val="006C2C02"/>
    <w:rsid w:val="006C3446"/>
    <w:rsid w:val="006C5A31"/>
    <w:rsid w:val="006C7400"/>
    <w:rsid w:val="006C79F2"/>
    <w:rsid w:val="006D34F8"/>
    <w:rsid w:val="006E3261"/>
    <w:rsid w:val="006E3A89"/>
    <w:rsid w:val="006E4092"/>
    <w:rsid w:val="006E4AC3"/>
    <w:rsid w:val="006E4CBC"/>
    <w:rsid w:val="006E5941"/>
    <w:rsid w:val="00701D99"/>
    <w:rsid w:val="007027CD"/>
    <w:rsid w:val="007049E5"/>
    <w:rsid w:val="0071097B"/>
    <w:rsid w:val="0071457B"/>
    <w:rsid w:val="0072220B"/>
    <w:rsid w:val="00736FD9"/>
    <w:rsid w:val="007409E2"/>
    <w:rsid w:val="0074141B"/>
    <w:rsid w:val="00742A7C"/>
    <w:rsid w:val="00743637"/>
    <w:rsid w:val="00750EDE"/>
    <w:rsid w:val="00760AED"/>
    <w:rsid w:val="00760B9F"/>
    <w:rsid w:val="007636C5"/>
    <w:rsid w:val="0076381B"/>
    <w:rsid w:val="00765F23"/>
    <w:rsid w:val="00767457"/>
    <w:rsid w:val="0077161E"/>
    <w:rsid w:val="00771636"/>
    <w:rsid w:val="00774A4F"/>
    <w:rsid w:val="007804AE"/>
    <w:rsid w:val="00782772"/>
    <w:rsid w:val="00783A67"/>
    <w:rsid w:val="00783B54"/>
    <w:rsid w:val="00792379"/>
    <w:rsid w:val="00792B6F"/>
    <w:rsid w:val="007946E5"/>
    <w:rsid w:val="007A121E"/>
    <w:rsid w:val="007A163F"/>
    <w:rsid w:val="007A1AB2"/>
    <w:rsid w:val="007A3D86"/>
    <w:rsid w:val="007A4419"/>
    <w:rsid w:val="007B4E0A"/>
    <w:rsid w:val="007B7B7A"/>
    <w:rsid w:val="007C04CE"/>
    <w:rsid w:val="007C3341"/>
    <w:rsid w:val="007C3A91"/>
    <w:rsid w:val="007C4E12"/>
    <w:rsid w:val="007C7E8F"/>
    <w:rsid w:val="007D6798"/>
    <w:rsid w:val="007D7B62"/>
    <w:rsid w:val="007D7D7A"/>
    <w:rsid w:val="007E1B4C"/>
    <w:rsid w:val="007F1400"/>
    <w:rsid w:val="007F1FEF"/>
    <w:rsid w:val="007F23F7"/>
    <w:rsid w:val="007F50AC"/>
    <w:rsid w:val="00802BE8"/>
    <w:rsid w:val="0080305C"/>
    <w:rsid w:val="00812AA4"/>
    <w:rsid w:val="00815368"/>
    <w:rsid w:val="00815C90"/>
    <w:rsid w:val="008350A6"/>
    <w:rsid w:val="00836988"/>
    <w:rsid w:val="00841354"/>
    <w:rsid w:val="00844686"/>
    <w:rsid w:val="00846842"/>
    <w:rsid w:val="0085175D"/>
    <w:rsid w:val="00851DCC"/>
    <w:rsid w:val="00873B5B"/>
    <w:rsid w:val="008756B9"/>
    <w:rsid w:val="00875C90"/>
    <w:rsid w:val="008760B8"/>
    <w:rsid w:val="0087673D"/>
    <w:rsid w:val="008772AB"/>
    <w:rsid w:val="008807A6"/>
    <w:rsid w:val="008852B8"/>
    <w:rsid w:val="00886085"/>
    <w:rsid w:val="00890F17"/>
    <w:rsid w:val="00891675"/>
    <w:rsid w:val="008B2822"/>
    <w:rsid w:val="008D1C95"/>
    <w:rsid w:val="008D29AC"/>
    <w:rsid w:val="008D33D0"/>
    <w:rsid w:val="008D3A1C"/>
    <w:rsid w:val="008D485E"/>
    <w:rsid w:val="008D512A"/>
    <w:rsid w:val="008D5EB2"/>
    <w:rsid w:val="008D6D76"/>
    <w:rsid w:val="008E2524"/>
    <w:rsid w:val="008E3951"/>
    <w:rsid w:val="008F1F45"/>
    <w:rsid w:val="008F390C"/>
    <w:rsid w:val="008F3DBB"/>
    <w:rsid w:val="008F68D7"/>
    <w:rsid w:val="00903F4B"/>
    <w:rsid w:val="0090678E"/>
    <w:rsid w:val="00911249"/>
    <w:rsid w:val="009115EC"/>
    <w:rsid w:val="009145BF"/>
    <w:rsid w:val="009173FF"/>
    <w:rsid w:val="00924B70"/>
    <w:rsid w:val="00925C2F"/>
    <w:rsid w:val="00931380"/>
    <w:rsid w:val="009370B9"/>
    <w:rsid w:val="00945252"/>
    <w:rsid w:val="00950B57"/>
    <w:rsid w:val="00952289"/>
    <w:rsid w:val="00965B77"/>
    <w:rsid w:val="00967FCD"/>
    <w:rsid w:val="009727EF"/>
    <w:rsid w:val="00976E6F"/>
    <w:rsid w:val="009774E9"/>
    <w:rsid w:val="0098238C"/>
    <w:rsid w:val="009863AA"/>
    <w:rsid w:val="00986A40"/>
    <w:rsid w:val="00986AA9"/>
    <w:rsid w:val="009876F6"/>
    <w:rsid w:val="00987EEE"/>
    <w:rsid w:val="0099143A"/>
    <w:rsid w:val="00997E0E"/>
    <w:rsid w:val="009A6633"/>
    <w:rsid w:val="009A7015"/>
    <w:rsid w:val="009B28B5"/>
    <w:rsid w:val="009B4564"/>
    <w:rsid w:val="009B575A"/>
    <w:rsid w:val="009C0D23"/>
    <w:rsid w:val="009C6E3B"/>
    <w:rsid w:val="009D2326"/>
    <w:rsid w:val="009D3A39"/>
    <w:rsid w:val="009E7D8F"/>
    <w:rsid w:val="00A066B0"/>
    <w:rsid w:val="00A07375"/>
    <w:rsid w:val="00A120A5"/>
    <w:rsid w:val="00A16C12"/>
    <w:rsid w:val="00A247A2"/>
    <w:rsid w:val="00A30EAB"/>
    <w:rsid w:val="00A32354"/>
    <w:rsid w:val="00A37C5A"/>
    <w:rsid w:val="00A465A8"/>
    <w:rsid w:val="00A50C33"/>
    <w:rsid w:val="00A5762D"/>
    <w:rsid w:val="00A601E2"/>
    <w:rsid w:val="00A6046B"/>
    <w:rsid w:val="00A61D83"/>
    <w:rsid w:val="00A73959"/>
    <w:rsid w:val="00A76077"/>
    <w:rsid w:val="00A851A3"/>
    <w:rsid w:val="00A918B3"/>
    <w:rsid w:val="00A91966"/>
    <w:rsid w:val="00AB1D89"/>
    <w:rsid w:val="00AB2E62"/>
    <w:rsid w:val="00AC2DBD"/>
    <w:rsid w:val="00AD185C"/>
    <w:rsid w:val="00AD2EC8"/>
    <w:rsid w:val="00AE2959"/>
    <w:rsid w:val="00AE7BE1"/>
    <w:rsid w:val="00AF23AC"/>
    <w:rsid w:val="00AF7078"/>
    <w:rsid w:val="00B04AB8"/>
    <w:rsid w:val="00B10159"/>
    <w:rsid w:val="00B12C0F"/>
    <w:rsid w:val="00B2012D"/>
    <w:rsid w:val="00B20D85"/>
    <w:rsid w:val="00B217FA"/>
    <w:rsid w:val="00B242F5"/>
    <w:rsid w:val="00B27703"/>
    <w:rsid w:val="00B33A8D"/>
    <w:rsid w:val="00B41FE4"/>
    <w:rsid w:val="00B5569A"/>
    <w:rsid w:val="00B5731B"/>
    <w:rsid w:val="00B6397A"/>
    <w:rsid w:val="00B66D78"/>
    <w:rsid w:val="00B71B5C"/>
    <w:rsid w:val="00B730BA"/>
    <w:rsid w:val="00B7349D"/>
    <w:rsid w:val="00B90CD7"/>
    <w:rsid w:val="00B92750"/>
    <w:rsid w:val="00B937D5"/>
    <w:rsid w:val="00B9704A"/>
    <w:rsid w:val="00BA5B0F"/>
    <w:rsid w:val="00BA67B9"/>
    <w:rsid w:val="00BA71A3"/>
    <w:rsid w:val="00BA7BAF"/>
    <w:rsid w:val="00BB0FB8"/>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0E8B"/>
    <w:rsid w:val="00C83757"/>
    <w:rsid w:val="00C866B3"/>
    <w:rsid w:val="00C967EF"/>
    <w:rsid w:val="00CB0CD0"/>
    <w:rsid w:val="00CB315E"/>
    <w:rsid w:val="00CB648A"/>
    <w:rsid w:val="00CB6BEA"/>
    <w:rsid w:val="00CD04D7"/>
    <w:rsid w:val="00CD22B3"/>
    <w:rsid w:val="00CD2DA0"/>
    <w:rsid w:val="00CD5BAF"/>
    <w:rsid w:val="00CE587E"/>
    <w:rsid w:val="00CE5AD3"/>
    <w:rsid w:val="00CF0045"/>
    <w:rsid w:val="00CF4DB9"/>
    <w:rsid w:val="00D008FD"/>
    <w:rsid w:val="00D00E31"/>
    <w:rsid w:val="00D02FD1"/>
    <w:rsid w:val="00D12CAA"/>
    <w:rsid w:val="00D13595"/>
    <w:rsid w:val="00D1405D"/>
    <w:rsid w:val="00D35765"/>
    <w:rsid w:val="00D36B58"/>
    <w:rsid w:val="00D40570"/>
    <w:rsid w:val="00D54F29"/>
    <w:rsid w:val="00D774ED"/>
    <w:rsid w:val="00D81367"/>
    <w:rsid w:val="00D87D14"/>
    <w:rsid w:val="00D907B2"/>
    <w:rsid w:val="00D90E0E"/>
    <w:rsid w:val="00D9505D"/>
    <w:rsid w:val="00D95776"/>
    <w:rsid w:val="00DA377F"/>
    <w:rsid w:val="00DB44AB"/>
    <w:rsid w:val="00DB5205"/>
    <w:rsid w:val="00DC42D2"/>
    <w:rsid w:val="00DC7661"/>
    <w:rsid w:val="00DE0185"/>
    <w:rsid w:val="00DE21B2"/>
    <w:rsid w:val="00DE6DF8"/>
    <w:rsid w:val="00DF05E7"/>
    <w:rsid w:val="00DF087F"/>
    <w:rsid w:val="00DF4716"/>
    <w:rsid w:val="00E0144B"/>
    <w:rsid w:val="00E01478"/>
    <w:rsid w:val="00E05DC3"/>
    <w:rsid w:val="00E06127"/>
    <w:rsid w:val="00E067D3"/>
    <w:rsid w:val="00E11F2C"/>
    <w:rsid w:val="00E17903"/>
    <w:rsid w:val="00E201BC"/>
    <w:rsid w:val="00E23AA3"/>
    <w:rsid w:val="00E253E7"/>
    <w:rsid w:val="00E35DE3"/>
    <w:rsid w:val="00E40FD5"/>
    <w:rsid w:val="00E4243E"/>
    <w:rsid w:val="00E43530"/>
    <w:rsid w:val="00E50FB6"/>
    <w:rsid w:val="00E52DD0"/>
    <w:rsid w:val="00E538D8"/>
    <w:rsid w:val="00E60EAC"/>
    <w:rsid w:val="00E63330"/>
    <w:rsid w:val="00E7104D"/>
    <w:rsid w:val="00E738C6"/>
    <w:rsid w:val="00E768EF"/>
    <w:rsid w:val="00E826A4"/>
    <w:rsid w:val="00E834CB"/>
    <w:rsid w:val="00E85C8C"/>
    <w:rsid w:val="00E87810"/>
    <w:rsid w:val="00E9388E"/>
    <w:rsid w:val="00EA0218"/>
    <w:rsid w:val="00EB293F"/>
    <w:rsid w:val="00EB2BEE"/>
    <w:rsid w:val="00EB57C1"/>
    <w:rsid w:val="00EC1C87"/>
    <w:rsid w:val="00EC20A0"/>
    <w:rsid w:val="00EC36F8"/>
    <w:rsid w:val="00EC66E3"/>
    <w:rsid w:val="00ED08F9"/>
    <w:rsid w:val="00EE3294"/>
    <w:rsid w:val="00EE3415"/>
    <w:rsid w:val="00EE7FD3"/>
    <w:rsid w:val="00EF5116"/>
    <w:rsid w:val="00EF6C37"/>
    <w:rsid w:val="00F0475D"/>
    <w:rsid w:val="00F066FC"/>
    <w:rsid w:val="00F151A1"/>
    <w:rsid w:val="00F16268"/>
    <w:rsid w:val="00F27F12"/>
    <w:rsid w:val="00F322CB"/>
    <w:rsid w:val="00F33FC5"/>
    <w:rsid w:val="00F36DE7"/>
    <w:rsid w:val="00F37088"/>
    <w:rsid w:val="00F41978"/>
    <w:rsid w:val="00F43036"/>
    <w:rsid w:val="00F479E7"/>
    <w:rsid w:val="00F508C6"/>
    <w:rsid w:val="00F513D7"/>
    <w:rsid w:val="00F53E4E"/>
    <w:rsid w:val="00F64470"/>
    <w:rsid w:val="00F724FF"/>
    <w:rsid w:val="00F82467"/>
    <w:rsid w:val="00FA1F4F"/>
    <w:rsid w:val="00FA526D"/>
    <w:rsid w:val="00FA6940"/>
    <w:rsid w:val="00FB72D7"/>
    <w:rsid w:val="00FB7CD0"/>
    <w:rsid w:val="00FC0947"/>
    <w:rsid w:val="00FC0BFD"/>
    <w:rsid w:val="00FD1173"/>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3710">
      <w:marLeft w:val="0"/>
      <w:marRight w:val="0"/>
      <w:marTop w:val="0"/>
      <w:marBottom w:val="0"/>
      <w:divBdr>
        <w:top w:val="none" w:sz="0" w:space="0" w:color="auto"/>
        <w:left w:val="none" w:sz="0" w:space="0" w:color="auto"/>
        <w:bottom w:val="none" w:sz="0" w:space="0" w:color="auto"/>
        <w:right w:val="none" w:sz="0" w:space="0" w:color="auto"/>
      </w:divBdr>
      <w:divsChild>
        <w:div w:id="529683697">
          <w:marLeft w:val="0"/>
          <w:marRight w:val="0"/>
          <w:marTop w:val="0"/>
          <w:marBottom w:val="0"/>
          <w:divBdr>
            <w:top w:val="none" w:sz="0" w:space="0" w:color="auto"/>
            <w:left w:val="none" w:sz="0" w:space="0" w:color="auto"/>
            <w:bottom w:val="none" w:sz="0" w:space="0" w:color="auto"/>
            <w:right w:val="none" w:sz="0" w:space="0" w:color="auto"/>
          </w:divBdr>
          <w:divsChild>
            <w:div w:id="529683708">
              <w:marLeft w:val="0"/>
              <w:marRight w:val="0"/>
              <w:marTop w:val="0"/>
              <w:marBottom w:val="0"/>
              <w:divBdr>
                <w:top w:val="none" w:sz="0" w:space="0" w:color="auto"/>
                <w:left w:val="none" w:sz="0" w:space="0" w:color="auto"/>
                <w:bottom w:val="none" w:sz="0" w:space="0" w:color="auto"/>
                <w:right w:val="none" w:sz="0" w:space="0" w:color="auto"/>
              </w:divBdr>
              <w:divsChild>
                <w:div w:id="529683699">
                  <w:marLeft w:val="0"/>
                  <w:marRight w:val="0"/>
                  <w:marTop w:val="0"/>
                  <w:marBottom w:val="0"/>
                  <w:divBdr>
                    <w:top w:val="none" w:sz="0" w:space="0" w:color="auto"/>
                    <w:left w:val="none" w:sz="0" w:space="0" w:color="auto"/>
                    <w:bottom w:val="none" w:sz="0" w:space="0" w:color="auto"/>
                    <w:right w:val="none" w:sz="0" w:space="0" w:color="auto"/>
                  </w:divBdr>
                  <w:divsChild>
                    <w:div w:id="529683703">
                      <w:marLeft w:val="0"/>
                      <w:marRight w:val="0"/>
                      <w:marTop w:val="0"/>
                      <w:marBottom w:val="0"/>
                      <w:divBdr>
                        <w:top w:val="none" w:sz="0" w:space="0" w:color="auto"/>
                        <w:left w:val="none" w:sz="0" w:space="0" w:color="auto"/>
                        <w:bottom w:val="none" w:sz="0" w:space="0" w:color="auto"/>
                        <w:right w:val="none" w:sz="0" w:space="0" w:color="auto"/>
                      </w:divBdr>
                      <w:divsChild>
                        <w:div w:id="529683704">
                          <w:marLeft w:val="0"/>
                          <w:marRight w:val="0"/>
                          <w:marTop w:val="0"/>
                          <w:marBottom w:val="0"/>
                          <w:divBdr>
                            <w:top w:val="none" w:sz="0" w:space="0" w:color="auto"/>
                            <w:left w:val="none" w:sz="0" w:space="0" w:color="auto"/>
                            <w:bottom w:val="none" w:sz="0" w:space="0" w:color="auto"/>
                            <w:right w:val="none" w:sz="0" w:space="0" w:color="auto"/>
                          </w:divBdr>
                          <w:divsChild>
                            <w:div w:id="529683702">
                              <w:marLeft w:val="0"/>
                              <w:marRight w:val="0"/>
                              <w:marTop w:val="0"/>
                              <w:marBottom w:val="0"/>
                              <w:divBdr>
                                <w:top w:val="none" w:sz="0" w:space="0" w:color="auto"/>
                                <w:left w:val="none" w:sz="0" w:space="0" w:color="auto"/>
                                <w:bottom w:val="none" w:sz="0" w:space="0" w:color="auto"/>
                                <w:right w:val="none" w:sz="0" w:space="0" w:color="auto"/>
                              </w:divBdr>
                              <w:divsChild>
                                <w:div w:id="529683707">
                                  <w:marLeft w:val="0"/>
                                  <w:marRight w:val="0"/>
                                  <w:marTop w:val="0"/>
                                  <w:marBottom w:val="0"/>
                                  <w:divBdr>
                                    <w:top w:val="none" w:sz="0" w:space="0" w:color="auto"/>
                                    <w:left w:val="none" w:sz="0" w:space="0" w:color="auto"/>
                                    <w:bottom w:val="none" w:sz="0" w:space="0" w:color="auto"/>
                                    <w:right w:val="none" w:sz="0" w:space="0" w:color="auto"/>
                                  </w:divBdr>
                                  <w:divsChild>
                                    <w:div w:id="5296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711">
                              <w:marLeft w:val="0"/>
                              <w:marRight w:val="0"/>
                              <w:marTop w:val="0"/>
                              <w:marBottom w:val="0"/>
                              <w:divBdr>
                                <w:top w:val="none" w:sz="0" w:space="0" w:color="auto"/>
                                <w:left w:val="none" w:sz="0" w:space="0" w:color="auto"/>
                                <w:bottom w:val="none" w:sz="0" w:space="0" w:color="auto"/>
                                <w:right w:val="none" w:sz="0" w:space="0" w:color="auto"/>
                              </w:divBdr>
                              <w:divsChild>
                                <w:div w:id="529683691">
                                  <w:marLeft w:val="0"/>
                                  <w:marRight w:val="0"/>
                                  <w:marTop w:val="0"/>
                                  <w:marBottom w:val="0"/>
                                  <w:divBdr>
                                    <w:top w:val="none" w:sz="0" w:space="0" w:color="auto"/>
                                    <w:left w:val="none" w:sz="0" w:space="0" w:color="auto"/>
                                    <w:bottom w:val="none" w:sz="0" w:space="0" w:color="auto"/>
                                    <w:right w:val="none" w:sz="0" w:space="0" w:color="auto"/>
                                  </w:divBdr>
                                </w:div>
                                <w:div w:id="529683692">
                                  <w:marLeft w:val="0"/>
                                  <w:marRight w:val="0"/>
                                  <w:marTop w:val="0"/>
                                  <w:marBottom w:val="0"/>
                                  <w:divBdr>
                                    <w:top w:val="none" w:sz="0" w:space="0" w:color="auto"/>
                                    <w:left w:val="none" w:sz="0" w:space="0" w:color="auto"/>
                                    <w:bottom w:val="none" w:sz="0" w:space="0" w:color="auto"/>
                                    <w:right w:val="none" w:sz="0" w:space="0" w:color="auto"/>
                                  </w:divBdr>
                                  <w:divsChild>
                                    <w:div w:id="529683701">
                                      <w:marLeft w:val="0"/>
                                      <w:marRight w:val="0"/>
                                      <w:marTop w:val="0"/>
                                      <w:marBottom w:val="0"/>
                                      <w:divBdr>
                                        <w:top w:val="none" w:sz="0" w:space="0" w:color="auto"/>
                                        <w:left w:val="none" w:sz="0" w:space="0" w:color="auto"/>
                                        <w:bottom w:val="none" w:sz="0" w:space="0" w:color="auto"/>
                                        <w:right w:val="none" w:sz="0" w:space="0" w:color="auto"/>
                                      </w:divBdr>
                                      <w:divsChild>
                                        <w:div w:id="529683689">
                                          <w:marLeft w:val="0"/>
                                          <w:marRight w:val="0"/>
                                          <w:marTop w:val="0"/>
                                          <w:marBottom w:val="0"/>
                                          <w:divBdr>
                                            <w:top w:val="none" w:sz="0" w:space="0" w:color="auto"/>
                                            <w:left w:val="none" w:sz="0" w:space="0" w:color="auto"/>
                                            <w:bottom w:val="none" w:sz="0" w:space="0" w:color="auto"/>
                                            <w:right w:val="none" w:sz="0" w:space="0" w:color="auto"/>
                                          </w:divBdr>
                                          <w:divsChild>
                                            <w:div w:id="529683694">
                                              <w:marLeft w:val="0"/>
                                              <w:marRight w:val="0"/>
                                              <w:marTop w:val="0"/>
                                              <w:marBottom w:val="0"/>
                                              <w:divBdr>
                                                <w:top w:val="none" w:sz="0" w:space="0" w:color="auto"/>
                                                <w:left w:val="none" w:sz="0" w:space="0" w:color="auto"/>
                                                <w:bottom w:val="none" w:sz="0" w:space="0" w:color="auto"/>
                                                <w:right w:val="none" w:sz="0" w:space="0" w:color="auto"/>
                                              </w:divBdr>
                                            </w:div>
                                            <w:div w:id="529683695">
                                              <w:marLeft w:val="0"/>
                                              <w:marRight w:val="0"/>
                                              <w:marTop w:val="0"/>
                                              <w:marBottom w:val="0"/>
                                              <w:divBdr>
                                                <w:top w:val="none" w:sz="0" w:space="0" w:color="auto"/>
                                                <w:left w:val="none" w:sz="0" w:space="0" w:color="auto"/>
                                                <w:bottom w:val="none" w:sz="0" w:space="0" w:color="auto"/>
                                                <w:right w:val="none" w:sz="0" w:space="0" w:color="auto"/>
                                              </w:divBdr>
                                            </w:div>
                                            <w:div w:id="529683706">
                                              <w:marLeft w:val="0"/>
                                              <w:marRight w:val="0"/>
                                              <w:marTop w:val="0"/>
                                              <w:marBottom w:val="0"/>
                                              <w:divBdr>
                                                <w:top w:val="none" w:sz="0" w:space="0" w:color="auto"/>
                                                <w:left w:val="none" w:sz="0" w:space="0" w:color="auto"/>
                                                <w:bottom w:val="none" w:sz="0" w:space="0" w:color="auto"/>
                                                <w:right w:val="none" w:sz="0" w:space="0" w:color="auto"/>
                                              </w:divBdr>
                                              <w:divsChild>
                                                <w:div w:id="529683690">
                                                  <w:marLeft w:val="0"/>
                                                  <w:marRight w:val="0"/>
                                                  <w:marTop w:val="0"/>
                                                  <w:marBottom w:val="0"/>
                                                  <w:divBdr>
                                                    <w:top w:val="none" w:sz="0" w:space="0" w:color="auto"/>
                                                    <w:left w:val="none" w:sz="0" w:space="0" w:color="auto"/>
                                                    <w:bottom w:val="none" w:sz="0" w:space="0" w:color="auto"/>
                                                    <w:right w:val="none" w:sz="0" w:space="0" w:color="auto"/>
                                                  </w:divBdr>
                                                </w:div>
                                                <w:div w:id="529683696">
                                                  <w:marLeft w:val="0"/>
                                                  <w:marRight w:val="0"/>
                                                  <w:marTop w:val="0"/>
                                                  <w:marBottom w:val="0"/>
                                                  <w:divBdr>
                                                    <w:top w:val="none" w:sz="0" w:space="0" w:color="auto"/>
                                                    <w:left w:val="none" w:sz="0" w:space="0" w:color="auto"/>
                                                    <w:bottom w:val="none" w:sz="0" w:space="0" w:color="auto"/>
                                                    <w:right w:val="none" w:sz="0" w:space="0" w:color="auto"/>
                                                  </w:divBdr>
                                                </w:div>
                                                <w:div w:id="529683698">
                                                  <w:marLeft w:val="0"/>
                                                  <w:marRight w:val="0"/>
                                                  <w:marTop w:val="0"/>
                                                  <w:marBottom w:val="0"/>
                                                  <w:divBdr>
                                                    <w:top w:val="none" w:sz="0" w:space="0" w:color="auto"/>
                                                    <w:left w:val="none" w:sz="0" w:space="0" w:color="auto"/>
                                                    <w:bottom w:val="none" w:sz="0" w:space="0" w:color="auto"/>
                                                    <w:right w:val="none" w:sz="0" w:space="0" w:color="auto"/>
                                                  </w:divBdr>
                                                </w:div>
                                                <w:div w:id="529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700">
                                  <w:marLeft w:val="0"/>
                                  <w:marRight w:val="0"/>
                                  <w:marTop w:val="0"/>
                                  <w:marBottom w:val="0"/>
                                  <w:divBdr>
                                    <w:top w:val="none" w:sz="0" w:space="0" w:color="auto"/>
                                    <w:left w:val="none" w:sz="0" w:space="0" w:color="auto"/>
                                    <w:bottom w:val="none" w:sz="0" w:space="0" w:color="auto"/>
                                    <w:right w:val="none" w:sz="0" w:space="0" w:color="auto"/>
                                  </w:divBdr>
                                  <w:divsChild>
                                    <w:div w:id="5296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3712">
      <w:marLeft w:val="0"/>
      <w:marRight w:val="0"/>
      <w:marTop w:val="0"/>
      <w:marBottom w:val="0"/>
      <w:divBdr>
        <w:top w:val="none" w:sz="0" w:space="0" w:color="auto"/>
        <w:left w:val="none" w:sz="0" w:space="0" w:color="auto"/>
        <w:bottom w:val="none" w:sz="0" w:space="0" w:color="auto"/>
        <w:right w:val="none" w:sz="0" w:space="0" w:color="auto"/>
      </w:divBdr>
    </w:div>
    <w:div w:id="529683717">
      <w:marLeft w:val="0"/>
      <w:marRight w:val="0"/>
      <w:marTop w:val="0"/>
      <w:marBottom w:val="0"/>
      <w:divBdr>
        <w:top w:val="none" w:sz="0" w:space="0" w:color="auto"/>
        <w:left w:val="none" w:sz="0" w:space="0" w:color="auto"/>
        <w:bottom w:val="none" w:sz="0" w:space="0" w:color="auto"/>
        <w:right w:val="none" w:sz="0" w:space="0" w:color="auto"/>
      </w:divBdr>
      <w:divsChild>
        <w:div w:id="529683720">
          <w:marLeft w:val="0"/>
          <w:marRight w:val="0"/>
          <w:marTop w:val="0"/>
          <w:marBottom w:val="0"/>
          <w:divBdr>
            <w:top w:val="none" w:sz="0" w:space="0" w:color="auto"/>
            <w:left w:val="none" w:sz="0" w:space="0" w:color="auto"/>
            <w:bottom w:val="none" w:sz="0" w:space="0" w:color="auto"/>
            <w:right w:val="none" w:sz="0" w:space="0" w:color="auto"/>
          </w:divBdr>
          <w:divsChild>
            <w:div w:id="529683716">
              <w:marLeft w:val="30"/>
              <w:marRight w:val="30"/>
              <w:marTop w:val="0"/>
              <w:marBottom w:val="0"/>
              <w:divBdr>
                <w:top w:val="none" w:sz="0" w:space="0" w:color="auto"/>
                <w:left w:val="none" w:sz="0" w:space="0" w:color="auto"/>
                <w:bottom w:val="none" w:sz="0" w:space="0" w:color="auto"/>
                <w:right w:val="none" w:sz="0" w:space="0" w:color="auto"/>
              </w:divBdr>
              <w:divsChild>
                <w:div w:id="529683721">
                  <w:marLeft w:val="0"/>
                  <w:marRight w:val="0"/>
                  <w:marTop w:val="0"/>
                  <w:marBottom w:val="0"/>
                  <w:divBdr>
                    <w:top w:val="none" w:sz="0" w:space="0" w:color="auto"/>
                    <w:left w:val="none" w:sz="0" w:space="0" w:color="auto"/>
                    <w:bottom w:val="none" w:sz="0" w:space="0" w:color="auto"/>
                    <w:right w:val="none" w:sz="0" w:space="0" w:color="auto"/>
                  </w:divBdr>
                  <w:divsChild>
                    <w:div w:id="529683715">
                      <w:marLeft w:val="0"/>
                      <w:marRight w:val="0"/>
                      <w:marTop w:val="0"/>
                      <w:marBottom w:val="0"/>
                      <w:divBdr>
                        <w:top w:val="none" w:sz="0" w:space="0" w:color="auto"/>
                        <w:left w:val="none" w:sz="0" w:space="0" w:color="auto"/>
                        <w:bottom w:val="none" w:sz="0" w:space="0" w:color="auto"/>
                        <w:right w:val="none" w:sz="0" w:space="0" w:color="auto"/>
                      </w:divBdr>
                      <w:divsChild>
                        <w:div w:id="529683718">
                          <w:marLeft w:val="0"/>
                          <w:marRight w:val="0"/>
                          <w:marTop w:val="0"/>
                          <w:marBottom w:val="0"/>
                          <w:divBdr>
                            <w:top w:val="none" w:sz="0" w:space="0" w:color="auto"/>
                            <w:left w:val="none" w:sz="0" w:space="0" w:color="auto"/>
                            <w:bottom w:val="none" w:sz="0" w:space="0" w:color="auto"/>
                            <w:right w:val="none" w:sz="0" w:space="0" w:color="auto"/>
                          </w:divBdr>
                          <w:divsChild>
                            <w:div w:id="529683719">
                              <w:marLeft w:val="0"/>
                              <w:marRight w:val="0"/>
                              <w:marTop w:val="0"/>
                              <w:marBottom w:val="0"/>
                              <w:divBdr>
                                <w:top w:val="none" w:sz="0" w:space="0" w:color="auto"/>
                                <w:left w:val="none" w:sz="0" w:space="0" w:color="auto"/>
                                <w:bottom w:val="none" w:sz="0" w:space="0" w:color="auto"/>
                                <w:right w:val="none" w:sz="0" w:space="0" w:color="auto"/>
                              </w:divBdr>
                              <w:divsChild>
                                <w:div w:id="529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adelphi.edu/sbloch/deficit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4</DocSecurity>
  <Lines>48</Lines>
  <Paragraphs>13</Paragraphs>
  <ScaleCrop>false</ScaleCrop>
  <Company>Microsoft</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dcterms:created xsi:type="dcterms:W3CDTF">2011-10-17T13:22:00Z</dcterms:created>
  <dcterms:modified xsi:type="dcterms:W3CDTF">2011-10-17T13:22:00Z</dcterms:modified>
</cp:coreProperties>
</file>