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4A9E9" w14:textId="77777777" w:rsidR="007262D8" w:rsidRDefault="00781765" w:rsidP="000E4E31">
      <w:pPr>
        <w:pStyle w:val="BasicParagraph"/>
        <w:suppressAutoHyphens/>
        <w:spacing w:after="360" w:line="240" w:lineRule="auto"/>
        <w:ind w:left="-720" w:right="4500"/>
        <w:rPr>
          <w:rFonts w:ascii="BASKERVILLE SEMIBOLD" w:eastAsia="Libre Baskerville" w:hAnsi="BASKERVILLE SEMIBOLD" w:cs="Libre Baskerville"/>
          <w:b/>
          <w:bCs/>
          <w:color w:val="04486F"/>
          <w:sz w:val="22"/>
          <w:szCs w:val="22"/>
          <w:highlight w:val="white"/>
        </w:rPr>
      </w:pPr>
      <w:r w:rsidRPr="0041241A">
        <w:rPr>
          <w:rFonts w:ascii="BASKERVILLE SEMIBOLD" w:hAnsi="BASKERVILLE SEMIBOLD" w:cs="Baskerville"/>
          <w:b/>
          <w:bCs/>
          <w:noProof/>
          <w:color w:val="04486F"/>
          <w:spacing w:val="-2"/>
          <w:sz w:val="22"/>
          <w:szCs w:val="22"/>
        </w:rPr>
        <mc:AlternateContent>
          <mc:Choice Requires="wps">
            <w:drawing>
              <wp:anchor distT="0" distB="0" distL="114300" distR="114300" simplePos="0" relativeHeight="251659264" behindDoc="1" locked="0" layoutInCell="1" allowOverlap="1" wp14:anchorId="1DDC9B20" wp14:editId="3B2B41D5">
                <wp:simplePos x="0" y="0"/>
                <wp:positionH relativeFrom="column">
                  <wp:posOffset>-447472</wp:posOffset>
                </wp:positionH>
                <wp:positionV relativeFrom="page">
                  <wp:posOffset>340468</wp:posOffset>
                </wp:positionV>
                <wp:extent cx="2781935" cy="83629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2781935" cy="836295"/>
                        </a:xfrm>
                        <a:prstGeom prst="rect">
                          <a:avLst/>
                        </a:prstGeom>
                        <a:solidFill>
                          <a:schemeClr val="lt1"/>
                        </a:solidFill>
                        <a:ln w="12700">
                          <a:noFill/>
                        </a:ln>
                      </wps:spPr>
                      <wps:txbx>
                        <w:txbxContent>
                          <w:p w14:paraId="02740FE3" w14:textId="787088EC" w:rsidR="00781765" w:rsidRPr="00781765" w:rsidRDefault="007B7903" w:rsidP="00781765">
                            <w:pPr>
                              <w:jc w:val="center"/>
                              <w:rPr>
                                <w:color w:val="D8117D"/>
                              </w:rPr>
                            </w:pPr>
                            <w:r>
                              <w:rPr>
                                <w:noProof/>
                                <w:color w:val="D8117D"/>
                              </w:rPr>
                              <w:drawing>
                                <wp:inline distT="0" distB="0" distL="0" distR="0" wp14:anchorId="78C2F6A8" wp14:editId="1D42ED91">
                                  <wp:extent cx="1574165" cy="732155"/>
                                  <wp:effectExtent l="0" t="0" r="698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74165" cy="732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DC9B20" id="_x0000_t202" coordsize="21600,21600" o:spt="202" path="m,l,21600r21600,l21600,xe">
                <v:stroke joinstyle="miter"/>
                <v:path gradientshapeok="t" o:connecttype="rect"/>
              </v:shapetype>
              <v:shape id="Text Box 3" o:spid="_x0000_s1026" type="#_x0000_t202" style="position:absolute;left:0;text-align:left;margin-left:-35.25pt;margin-top:26.8pt;width:219.05pt;height:65.85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" fillcolor="white [3201]" stroked="f" strokeweight="1pt">
                <v:textbox>
                  <w:txbxContent>
                    <w:p w14:paraId="02740FE3" w14:textId="787088EC" w:rsidR="00781765" w:rsidRPr="00781765" w:rsidRDefault="007B7903" w:rsidP="00781765">
                      <w:pPr>
                        <w:jc w:val="center"/>
                        <w:rPr>
                          <w:color w:val="D8117D"/>
                        </w:rPr>
                      </w:pPr>
                      <w:r>
                        <w:rPr>
                          <w:noProof/>
                          <w:color w:val="D8117D"/>
                        </w:rPr>
                        <w:drawing>
                          <wp:inline distT="0" distB="0" distL="0" distR="0" wp14:anchorId="78C2F6A8" wp14:editId="1D42ED91">
                            <wp:extent cx="1574165" cy="732155"/>
                            <wp:effectExtent l="0" t="0" r="698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74165" cy="732155"/>
                                    </a:xfrm>
                                    <a:prstGeom prst="rect">
                                      <a:avLst/>
                                    </a:prstGeom>
                                  </pic:spPr>
                                </pic:pic>
                              </a:graphicData>
                            </a:graphic>
                          </wp:inline>
                        </w:drawing>
                      </w:r>
                    </w:p>
                  </w:txbxContent>
                </v:textbox>
                <w10:wrap anchory="page"/>
              </v:shape>
            </w:pict>
          </mc:Fallback>
        </mc:AlternateContent>
      </w:r>
      <w:r w:rsidR="0041241A" w:rsidRPr="0041241A">
        <w:rPr>
          <w:rFonts w:ascii="BASKERVILLE SEMIBOLD" w:eastAsia="Libre Baskerville" w:hAnsi="BASKERVILLE SEMIBOLD" w:cs="Libre Baskerville"/>
          <w:b/>
          <w:bCs/>
          <w:color w:val="04486F"/>
          <w:sz w:val="22"/>
          <w:szCs w:val="22"/>
          <w:highlight w:val="white"/>
        </w:rPr>
        <w:t xml:space="preserve">Our firm offers annual tax planning as part of our comprehensive financial planning service. </w:t>
      </w:r>
    </w:p>
    <w:p w14:paraId="1C6C7B3F" w14:textId="623A807B" w:rsidR="00E326E7" w:rsidRPr="0041241A" w:rsidRDefault="0041241A" w:rsidP="000E4E31">
      <w:pPr>
        <w:pStyle w:val="BasicParagraph"/>
        <w:suppressAutoHyphens/>
        <w:spacing w:after="360" w:line="240" w:lineRule="auto"/>
        <w:ind w:left="-720" w:right="4500"/>
        <w:rPr>
          <w:rFonts w:ascii="BASKERVILLE SEMIBOLD" w:hAnsi="BASKERVILLE SEMIBOLD" w:cs="Baskerville"/>
          <w:b/>
          <w:bCs/>
          <w:color w:val="04486F"/>
          <w:spacing w:val="-2"/>
          <w:sz w:val="22"/>
          <w:szCs w:val="22"/>
        </w:rPr>
      </w:pPr>
      <w:r w:rsidRPr="0041241A">
        <w:rPr>
          <w:rFonts w:ascii="BASKERVILLE SEMIBOLD" w:eastAsia="Libre Baskerville" w:hAnsi="BASKERVILLE SEMIBOLD" w:cs="Libre Baskerville"/>
          <w:b/>
          <w:bCs/>
          <w:color w:val="04486F"/>
          <w:sz w:val="22"/>
          <w:szCs w:val="22"/>
          <w:highlight w:val="white"/>
        </w:rPr>
        <w:t>While often overlooked, robust tax planning is one of the most valuable pieces of a complete financial plan, and we are excited to offer it to you</w:t>
      </w:r>
      <w:r w:rsidR="007262D8">
        <w:rPr>
          <w:rFonts w:ascii="BASKERVILLE SEMIBOLD" w:eastAsia="Libre Baskerville" w:hAnsi="BASKERVILLE SEMIBOLD" w:cs="Libre Baskerville"/>
          <w:b/>
          <w:bCs/>
          <w:color w:val="04486F"/>
          <w:sz w:val="22"/>
          <w:szCs w:val="22"/>
        </w:rPr>
        <w:t>!</w:t>
      </w:r>
    </w:p>
    <w:p w14:paraId="08C0D504" w14:textId="0047E438" w:rsidR="00E326E7" w:rsidRDefault="00E326E7" w:rsidP="000E4E31">
      <w:pPr>
        <w:pStyle w:val="BasicParagraph"/>
        <w:suppressAutoHyphens/>
        <w:spacing w:after="72" w:line="240" w:lineRule="auto"/>
        <w:ind w:left="-720" w:right="4500"/>
        <w:rPr>
          <w:rFonts w:ascii="Baskerville" w:hAnsi="Baskerville" w:cs="Baskerville"/>
          <w:b/>
          <w:bCs/>
          <w:color w:val="04486F"/>
          <w:spacing w:val="5"/>
          <w:sz w:val="18"/>
          <w:szCs w:val="18"/>
        </w:rPr>
      </w:pPr>
      <w:r>
        <w:rPr>
          <w:rFonts w:ascii="Futura Std Book" w:hAnsi="Futura Std Book" w:cs="Futura Std Book"/>
          <w:b/>
          <w:bCs/>
          <w:caps/>
          <w:color w:val="04486F"/>
          <w:spacing w:val="5"/>
          <w:sz w:val="18"/>
          <w:szCs w:val="18"/>
        </w:rPr>
        <w:t>What is tax planning?</w:t>
      </w:r>
      <w:r>
        <w:rPr>
          <w:rFonts w:ascii="Baskerville" w:hAnsi="Baskerville" w:cs="Baskerville"/>
          <w:b/>
          <w:bCs/>
          <w:color w:val="04486F"/>
          <w:spacing w:val="5"/>
          <w:sz w:val="18"/>
          <w:szCs w:val="18"/>
        </w:rPr>
        <w:t xml:space="preserve"> </w:t>
      </w:r>
    </w:p>
    <w:p w14:paraId="3C13EB5A" w14:textId="18A783D3" w:rsidR="0041241A" w:rsidRPr="00C374AF" w:rsidRDefault="0041241A" w:rsidP="0041241A">
      <w:pPr>
        <w:pBdr>
          <w:top w:val="nil"/>
          <w:left w:val="nil"/>
          <w:bottom w:val="nil"/>
          <w:right w:val="nil"/>
          <w:between w:val="nil"/>
        </w:pBdr>
        <w:spacing w:after="360"/>
        <w:ind w:left="-720" w:right="4500"/>
        <w:rPr>
          <w:rFonts w:ascii="Baskerville" w:eastAsia="Libre Baskerville" w:hAnsi="Baskerville" w:cs="Libre Baskerville"/>
          <w:color w:val="04486F"/>
          <w:sz w:val="20"/>
          <w:szCs w:val="20"/>
        </w:rPr>
      </w:pPr>
      <w:r w:rsidRPr="00C374AF">
        <w:rPr>
          <w:rFonts w:ascii="Baskerville" w:eastAsia="Libre Baskerville" w:hAnsi="Baskerville" w:cs="Libre Baskerville"/>
          <w:color w:val="04486F"/>
          <w:sz w:val="20"/>
          <w:szCs w:val="20"/>
          <w:highlight w:val="white"/>
        </w:rPr>
        <w:t xml:space="preserve">Tax planning refers to our review of your tax return to identify potential planning opportunities - both now and in the future - to keep your lifetime tax liability as low as possible. This is different than tax </w:t>
      </w:r>
      <w:r w:rsidRPr="00C374AF">
        <w:rPr>
          <w:rFonts w:ascii="Baskerville" w:eastAsia="Libre Baskerville" w:hAnsi="Baskerville" w:cs="Libre Baskerville"/>
          <w:color w:val="04486F"/>
          <w:sz w:val="20"/>
          <w:szCs w:val="20"/>
        </w:rPr>
        <w:t>preparation (</w:t>
      </w:r>
      <w:r w:rsidRPr="00C374AF">
        <w:rPr>
          <w:rFonts w:ascii="Baskerville" w:eastAsia="Libre Baskerville" w:hAnsi="Baskerville" w:cs="Libre Baskerville"/>
          <w:color w:val="04486F"/>
          <w:sz w:val="20"/>
          <w:szCs w:val="20"/>
          <w:highlight w:val="white"/>
        </w:rPr>
        <w:t>usually done by your CPA or an online service like TurboTax), which is focused on keeping you compliant with what the government thinks you owe each year.</w:t>
      </w:r>
    </w:p>
    <w:p w14:paraId="0EB6437E" w14:textId="6608B703" w:rsidR="00E326E7" w:rsidRDefault="00E326E7" w:rsidP="000E4E31">
      <w:pPr>
        <w:pStyle w:val="BasicParagraph"/>
        <w:suppressAutoHyphens/>
        <w:spacing w:after="72" w:line="240" w:lineRule="auto"/>
        <w:ind w:left="-720" w:right="4500"/>
        <w:rPr>
          <w:rFonts w:ascii="Futura Std Book" w:hAnsi="Futura Std Book" w:cs="Futura Std Book"/>
          <w:b/>
          <w:bCs/>
          <w:caps/>
          <w:color w:val="04486F"/>
          <w:spacing w:val="5"/>
          <w:sz w:val="18"/>
          <w:szCs w:val="18"/>
        </w:rPr>
      </w:pPr>
      <w:r>
        <w:rPr>
          <w:rFonts w:ascii="Futura Std Book" w:hAnsi="Futura Std Book" w:cs="Futura Std Book"/>
          <w:b/>
          <w:bCs/>
          <w:caps/>
          <w:color w:val="04486F"/>
          <w:spacing w:val="5"/>
          <w:sz w:val="18"/>
          <w:szCs w:val="18"/>
        </w:rPr>
        <w:t xml:space="preserve">Why is tax planning important? </w:t>
      </w:r>
    </w:p>
    <w:p w14:paraId="51F92FA5" w14:textId="77777777" w:rsidR="0041241A" w:rsidRPr="00C374AF" w:rsidRDefault="0041241A" w:rsidP="0041241A">
      <w:pPr>
        <w:pBdr>
          <w:top w:val="nil"/>
          <w:left w:val="nil"/>
          <w:bottom w:val="nil"/>
          <w:right w:val="nil"/>
          <w:between w:val="nil"/>
        </w:pBdr>
        <w:spacing w:after="360"/>
        <w:ind w:left="-720" w:right="4500"/>
        <w:rPr>
          <w:rFonts w:ascii="Baskerville" w:eastAsia="Libre Baskerville" w:hAnsi="Baskerville" w:cs="Libre Baskerville"/>
          <w:color w:val="04486F"/>
          <w:sz w:val="20"/>
          <w:szCs w:val="20"/>
        </w:rPr>
      </w:pPr>
      <w:r w:rsidRPr="00C374AF">
        <w:rPr>
          <w:rFonts w:ascii="Baskerville" w:eastAsia="Libre Baskerville" w:hAnsi="Baskerville" w:cs="Libre Baskerville"/>
          <w:color w:val="04486F"/>
          <w:sz w:val="20"/>
          <w:szCs w:val="20"/>
          <w:highlight w:val="white"/>
        </w:rPr>
        <w:t>Taxes touch every part of your financial life. Your tax return is a financial fingerprint: it's completely unique to you, complete with valuable clues and information, all of which is buried in dozens of pages and hundreds of numbers. Understanding your return equips us to have more valuable and actionable conversations with you. Additionally, we can demystify the world of income taxes and help you understand this important piece of your financial picture.</w:t>
      </w:r>
    </w:p>
    <w:p w14:paraId="3EBDCABE" w14:textId="395407D5" w:rsidR="00E326E7" w:rsidRDefault="00E326E7" w:rsidP="000E4E31">
      <w:pPr>
        <w:pStyle w:val="BasicParagraph"/>
        <w:suppressAutoHyphens/>
        <w:spacing w:after="72" w:line="240" w:lineRule="auto"/>
        <w:ind w:left="-720" w:right="4500"/>
        <w:rPr>
          <w:rFonts w:ascii="Futura Std Book" w:hAnsi="Futura Std Book" w:cs="Futura Std Book"/>
          <w:b/>
          <w:bCs/>
          <w:caps/>
          <w:color w:val="04486F"/>
          <w:sz w:val="18"/>
          <w:szCs w:val="18"/>
        </w:rPr>
      </w:pPr>
      <w:r>
        <w:rPr>
          <w:rFonts w:ascii="Futura Std Book" w:hAnsi="Futura Std Book" w:cs="Futura Std Book"/>
          <w:b/>
          <w:bCs/>
          <w:caps/>
          <w:color w:val="04486F"/>
          <w:spacing w:val="5"/>
          <w:sz w:val="18"/>
          <w:szCs w:val="18"/>
        </w:rPr>
        <w:t xml:space="preserve">Who is tax planning for? </w:t>
      </w:r>
    </w:p>
    <w:p w14:paraId="115BE7B0" w14:textId="1F6ADACB" w:rsidR="0041241A" w:rsidRPr="00C374AF" w:rsidRDefault="0041241A" w:rsidP="0041241A">
      <w:pPr>
        <w:pBdr>
          <w:top w:val="nil"/>
          <w:left w:val="nil"/>
          <w:bottom w:val="nil"/>
          <w:right w:val="nil"/>
          <w:between w:val="nil"/>
        </w:pBdr>
        <w:spacing w:after="360"/>
        <w:ind w:left="-720" w:right="4500"/>
        <w:rPr>
          <w:rFonts w:ascii="Baskerville" w:eastAsia="Libre Baskerville" w:hAnsi="Baskerville" w:cs="Libre Baskerville"/>
          <w:color w:val="04486F"/>
          <w:sz w:val="20"/>
          <w:szCs w:val="20"/>
        </w:rPr>
      </w:pPr>
      <w:r w:rsidRPr="00C374AF">
        <w:rPr>
          <w:rFonts w:ascii="Baskerville" w:eastAsia="Libre Baskerville" w:hAnsi="Baskerville" w:cs="Libre Baskerville"/>
          <w:color w:val="04486F"/>
          <w:sz w:val="20"/>
          <w:szCs w:val="20"/>
          <w:highlight w:val="white"/>
        </w:rPr>
        <w:t>Everyone! Regardless of your income sources or filing status, nearly anyone who pays income taxes can benefit from having a professional review of your tax return to identify relevant planning opportunities. At worst, we'll review your return and conclude you are currently maximizing every available tax saving opportunity. That's great "peace of mind" news. Alternatively - and more frequently - we'll identify a handful of tax saving opportunities, both in the current year and in future years.</w:t>
      </w:r>
    </w:p>
    <w:p w14:paraId="317CCB31" w14:textId="357C2C81" w:rsidR="00E326E7" w:rsidRDefault="00E326E7" w:rsidP="000E4E31">
      <w:pPr>
        <w:pStyle w:val="BasicParagraph"/>
        <w:suppressAutoHyphens/>
        <w:spacing w:after="72" w:line="240" w:lineRule="auto"/>
        <w:ind w:left="-720" w:right="4500"/>
        <w:rPr>
          <w:rFonts w:ascii="Futura Std Book" w:hAnsi="Futura Std Book" w:cs="Futura Std Book"/>
          <w:b/>
          <w:bCs/>
          <w:caps/>
          <w:color w:val="04486F"/>
          <w:sz w:val="18"/>
          <w:szCs w:val="18"/>
        </w:rPr>
      </w:pPr>
      <w:r>
        <w:rPr>
          <w:rFonts w:ascii="Futura Std Book" w:hAnsi="Futura Std Book" w:cs="Futura Std Book"/>
          <w:b/>
          <w:bCs/>
          <w:caps/>
          <w:color w:val="04486F"/>
          <w:spacing w:val="5"/>
          <w:sz w:val="18"/>
          <w:szCs w:val="18"/>
        </w:rPr>
        <w:t>What kind of opportunities might be identified?</w:t>
      </w:r>
    </w:p>
    <w:p w14:paraId="1902777D" w14:textId="77777777" w:rsidR="0041241A" w:rsidRPr="00C374AF" w:rsidRDefault="0041241A" w:rsidP="0041241A">
      <w:pPr>
        <w:pBdr>
          <w:top w:val="nil"/>
          <w:left w:val="nil"/>
          <w:bottom w:val="nil"/>
          <w:right w:val="nil"/>
          <w:between w:val="nil"/>
        </w:pBdr>
        <w:spacing w:after="360"/>
        <w:ind w:left="-720" w:right="4500"/>
        <w:rPr>
          <w:rFonts w:ascii="Baskerville" w:eastAsia="Libre Baskerville" w:hAnsi="Baskerville" w:cs="Libre Baskerville"/>
          <w:color w:val="04486F"/>
          <w:sz w:val="20"/>
          <w:szCs w:val="20"/>
          <w:highlight w:val="white"/>
        </w:rPr>
      </w:pPr>
      <w:r w:rsidRPr="00C374AF">
        <w:rPr>
          <w:rFonts w:ascii="Baskerville" w:eastAsia="Libre Baskerville" w:hAnsi="Baskerville" w:cs="Libre Baskerville"/>
          <w:color w:val="04486F"/>
          <w:sz w:val="20"/>
          <w:szCs w:val="20"/>
          <w:highlight w:val="white"/>
        </w:rPr>
        <w:t xml:space="preserve">We will evaluate </w:t>
      </w:r>
      <w:proofErr w:type="gramStart"/>
      <w:r w:rsidRPr="00C374AF">
        <w:rPr>
          <w:rFonts w:ascii="Baskerville" w:eastAsia="Libre Baskerville" w:hAnsi="Baskerville" w:cs="Libre Baskerville"/>
          <w:color w:val="04486F"/>
          <w:sz w:val="20"/>
          <w:szCs w:val="20"/>
          <w:highlight w:val="white"/>
        </w:rPr>
        <w:t>a number of</w:t>
      </w:r>
      <w:proofErr w:type="gramEnd"/>
      <w:r w:rsidRPr="00C374AF">
        <w:rPr>
          <w:rFonts w:ascii="Baskerville" w:eastAsia="Libre Baskerville" w:hAnsi="Baskerville" w:cs="Libre Baskerville"/>
          <w:color w:val="04486F"/>
          <w:sz w:val="20"/>
          <w:szCs w:val="20"/>
          <w:highlight w:val="white"/>
        </w:rPr>
        <w:t xml:space="preserve"> opportunities during tax planning, including topics like most tax efficient retirement vehicles, charitable giving strategies, realizing capital gains, Roth IRA conversions, tax credit eligibility, and more.  We can run projections to see how potential changes (e.g., filing status, dependents, the sale of a business, stock option exercises, etc.) may impact your upcoming tax liability.</w:t>
      </w:r>
    </w:p>
    <w:p w14:paraId="600C32BC" w14:textId="26842315" w:rsidR="00E326E7" w:rsidRDefault="00E326E7" w:rsidP="000E4E31">
      <w:pPr>
        <w:pStyle w:val="BasicParagraph"/>
        <w:suppressAutoHyphens/>
        <w:spacing w:after="72" w:line="240" w:lineRule="auto"/>
        <w:ind w:left="-720" w:right="4500"/>
        <w:rPr>
          <w:rFonts w:ascii="Futura Std Book" w:hAnsi="Futura Std Book" w:cs="Futura Std Book"/>
          <w:b/>
          <w:bCs/>
          <w:caps/>
          <w:color w:val="04486F"/>
          <w:sz w:val="18"/>
          <w:szCs w:val="18"/>
        </w:rPr>
      </w:pPr>
      <w:r>
        <w:rPr>
          <w:rFonts w:ascii="Futura Std Book" w:hAnsi="Futura Std Book" w:cs="Futura Std Book"/>
          <w:b/>
          <w:bCs/>
          <w:caps/>
          <w:color w:val="04486F"/>
          <w:spacing w:val="5"/>
          <w:sz w:val="18"/>
          <w:szCs w:val="18"/>
        </w:rPr>
        <w:t xml:space="preserve">What do we need from you? </w:t>
      </w:r>
    </w:p>
    <w:p w14:paraId="0BC7B280" w14:textId="41F704D6" w:rsidR="00054307" w:rsidRDefault="0041241A" w:rsidP="000E4E31">
      <w:pPr>
        <w:pStyle w:val="BasicParagraph"/>
        <w:suppressAutoHyphens/>
        <w:spacing w:after="360" w:line="240" w:lineRule="auto"/>
        <w:ind w:left="-720" w:right="4500"/>
        <w:rPr>
          <w:rFonts w:ascii="Baskerville" w:eastAsia="Libre Baskerville" w:hAnsi="Baskerville" w:cs="Libre Baskerville"/>
          <w:color w:val="04486F"/>
          <w:sz w:val="19"/>
          <w:szCs w:val="19"/>
        </w:rPr>
      </w:pPr>
      <w:r w:rsidRPr="00C374AF">
        <w:rPr>
          <w:rFonts w:ascii="Baskerville" w:eastAsia="Libre Baskerville" w:hAnsi="Baskerville" w:cs="Libre Baskerville"/>
          <w:color w:val="04486F"/>
          <w:sz w:val="20"/>
          <w:szCs w:val="20"/>
        </w:rPr>
        <w:t>An electronic PDF copy of your most recent tax return. That</w:t>
      </w:r>
      <w:r w:rsidR="007C4106">
        <w:rPr>
          <w:rFonts w:ascii="Baskerville" w:eastAsia="Libre Baskerville" w:hAnsi="Baskerville" w:cs="Libre Baskerville"/>
          <w:color w:val="04486F"/>
          <w:sz w:val="20"/>
          <w:szCs w:val="20"/>
        </w:rPr>
        <w:t>'</w:t>
      </w:r>
      <w:r w:rsidRPr="00C374AF">
        <w:rPr>
          <w:rFonts w:ascii="Baskerville" w:eastAsia="Libre Baskerville" w:hAnsi="Baskerville" w:cs="Libre Baskerville"/>
          <w:color w:val="04486F"/>
          <w:sz w:val="20"/>
          <w:szCs w:val="20"/>
        </w:rPr>
        <w:t>s it. Get us a copy of that most recent tax return, and we will take it from there</w:t>
      </w:r>
      <w:r w:rsidRPr="0041241A">
        <w:rPr>
          <w:rFonts w:ascii="Baskerville" w:eastAsia="Libre Baskerville" w:hAnsi="Baskerville" w:cs="Libre Baskerville"/>
          <w:color w:val="04486F"/>
          <w:sz w:val="19"/>
          <w:szCs w:val="19"/>
        </w:rPr>
        <w:t>.</w:t>
      </w:r>
    </w:p>
    <w:p w14:paraId="3C815BFC" w14:textId="055EBACC" w:rsidR="00B17701" w:rsidRDefault="00B17701" w:rsidP="000E4E31">
      <w:pPr>
        <w:pStyle w:val="BasicParagraph"/>
        <w:suppressAutoHyphens/>
        <w:spacing w:after="360" w:line="240" w:lineRule="auto"/>
        <w:ind w:left="-720" w:right="4500"/>
        <w:rPr>
          <w:rFonts w:ascii="Baskerville" w:eastAsia="Libre Baskerville" w:hAnsi="Baskerville" w:cs="Libre Baskerville"/>
          <w:color w:val="04486F"/>
          <w:sz w:val="19"/>
          <w:szCs w:val="19"/>
        </w:rPr>
      </w:pPr>
      <w:r>
        <w:rPr>
          <w:rFonts w:ascii="Baskerville" w:eastAsia="Libre Baskerville" w:hAnsi="Baskerville" w:cs="Libre Baskerville"/>
          <w:color w:val="04486F"/>
          <w:sz w:val="19"/>
          <w:szCs w:val="19"/>
        </w:rPr>
        <w:t xml:space="preserve">Thank you for </w:t>
      </w:r>
      <w:proofErr w:type="gramStart"/>
      <w:r>
        <w:rPr>
          <w:rFonts w:ascii="Baskerville" w:eastAsia="Libre Baskerville" w:hAnsi="Baskerville" w:cs="Libre Baskerville"/>
          <w:color w:val="04486F"/>
          <w:sz w:val="19"/>
          <w:szCs w:val="19"/>
        </w:rPr>
        <w:t>taking a look</w:t>
      </w:r>
      <w:proofErr w:type="gramEnd"/>
      <w:r>
        <w:rPr>
          <w:rFonts w:ascii="Baskerville" w:eastAsia="Libre Baskerville" w:hAnsi="Baskerville" w:cs="Libre Baskerville"/>
          <w:color w:val="04486F"/>
          <w:sz w:val="19"/>
          <w:szCs w:val="19"/>
        </w:rPr>
        <w:t>!</w:t>
      </w:r>
    </w:p>
    <w:p w14:paraId="1E30E8F9" w14:textId="77777777" w:rsidR="00B17701" w:rsidRPr="0041241A" w:rsidRDefault="00B17701" w:rsidP="000E4E31">
      <w:pPr>
        <w:pStyle w:val="BasicParagraph"/>
        <w:suppressAutoHyphens/>
        <w:spacing w:after="360" w:line="240" w:lineRule="auto"/>
        <w:ind w:left="-720" w:right="4500"/>
        <w:rPr>
          <w:rFonts w:ascii="Baskerville" w:hAnsi="Baskerville" w:cs="Baskerville"/>
          <w:color w:val="04486F"/>
          <w:spacing w:val="2"/>
          <w:sz w:val="19"/>
          <w:szCs w:val="19"/>
        </w:rPr>
      </w:pPr>
    </w:p>
    <w:sectPr w:rsidR="00B17701" w:rsidRPr="0041241A" w:rsidSect="001E7C14">
      <w:headerReference w:type="default" r:id="rId7"/>
      <w:footerReference w:type="default" r:id="rId8"/>
      <w:pgSz w:w="12240" w:h="15840"/>
      <w:pgMar w:top="2049" w:right="1440" w:bottom="7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DCE2" w14:textId="77777777" w:rsidR="00E210E7" w:rsidRDefault="00E210E7" w:rsidP="00E326E7">
      <w:r>
        <w:separator/>
      </w:r>
    </w:p>
  </w:endnote>
  <w:endnote w:type="continuationSeparator" w:id="0">
    <w:p w14:paraId="5F4F4033" w14:textId="77777777" w:rsidR="00E210E7" w:rsidRDefault="00E210E7" w:rsidP="00E3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ASKERVILLE SEMIBOLD">
    <w:altName w:val="Baskerville Old Face"/>
    <w:charset w:val="00"/>
    <w:family w:val="roman"/>
    <w:pitch w:val="variable"/>
    <w:sig w:usb0="80000067" w:usb1="02000040" w:usb2="00000000" w:usb3="00000000" w:csb0="0000019F" w:csb1="00000000"/>
  </w:font>
  <w:font w:name="Libre Baskerville">
    <w:altName w:val="Calibri"/>
    <w:charset w:val="00"/>
    <w:family w:val="auto"/>
    <w:pitch w:val="default"/>
  </w:font>
  <w:font w:name="Baskerville">
    <w:altName w:val="Baskerville Old Face"/>
    <w:charset w:val="00"/>
    <w:family w:val="roman"/>
    <w:pitch w:val="variable"/>
    <w:sig w:usb0="80000067" w:usb1="02000000" w:usb2="00000000" w:usb3="00000000" w:csb0="0000019F" w:csb1="00000000"/>
  </w:font>
  <w:font w:name="Futura Std Book">
    <w:altName w:val="Century Gothic"/>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F873" w14:textId="69382A9B" w:rsidR="00054307" w:rsidRDefault="00054307">
    <w:pPr>
      <w:pStyle w:val="Footer"/>
    </w:pPr>
    <w:r>
      <w:rPr>
        <w:noProof/>
      </w:rPr>
      <mc:AlternateContent>
        <mc:Choice Requires="wps">
          <w:drawing>
            <wp:anchor distT="0" distB="0" distL="114300" distR="114300" simplePos="0" relativeHeight="251659264" behindDoc="0" locked="0" layoutInCell="1" allowOverlap="1" wp14:anchorId="2AC76C2E" wp14:editId="2F6399CF">
              <wp:simplePos x="0" y="0"/>
              <wp:positionH relativeFrom="column">
                <wp:posOffset>-447040</wp:posOffset>
              </wp:positionH>
              <wp:positionV relativeFrom="paragraph">
                <wp:posOffset>-398577</wp:posOffset>
              </wp:positionV>
              <wp:extent cx="1284051" cy="0"/>
              <wp:effectExtent l="0" t="0" r="11430" b="12700"/>
              <wp:wrapNone/>
              <wp:docPr id="6" name="Straight Connector 6"/>
              <wp:cNvGraphicFramePr/>
              <a:graphic xmlns:a="http://schemas.openxmlformats.org/drawingml/2006/main">
                <a:graphicData uri="http://schemas.microsoft.com/office/word/2010/wordprocessingShape">
                  <wps:wsp>
                    <wps:cNvCnPr/>
                    <wps:spPr>
                      <a:xfrm>
                        <a:off x="0" y="0"/>
                        <a:ext cx="12840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D5A23"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2pt,-31.4pt" to="65.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9B075" w14:textId="77777777" w:rsidR="00E210E7" w:rsidRDefault="00E210E7" w:rsidP="00E326E7">
      <w:r>
        <w:separator/>
      </w:r>
    </w:p>
  </w:footnote>
  <w:footnote w:type="continuationSeparator" w:id="0">
    <w:p w14:paraId="5A38C552" w14:textId="77777777" w:rsidR="00E210E7" w:rsidRDefault="00E210E7" w:rsidP="00E32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50C0" w14:textId="6EA16D8F" w:rsidR="00E326E7" w:rsidRDefault="00E326E7" w:rsidP="00E326E7">
    <w:pPr>
      <w:pStyle w:val="Header"/>
      <w:tabs>
        <w:tab w:val="clear" w:pos="9360"/>
      </w:tabs>
      <w:ind w:left="-720" w:right="-720"/>
    </w:pPr>
    <w:r>
      <w:rPr>
        <w:noProof/>
      </w:rPr>
      <w:drawing>
        <wp:anchor distT="0" distB="0" distL="114300" distR="114300" simplePos="0" relativeHeight="251658240" behindDoc="1" locked="0" layoutInCell="1" allowOverlap="1" wp14:anchorId="41F5068D" wp14:editId="599F6FC5">
          <wp:simplePos x="0" y="0"/>
          <wp:positionH relativeFrom="column">
            <wp:posOffset>-950595</wp:posOffset>
          </wp:positionH>
          <wp:positionV relativeFrom="page">
            <wp:posOffset>-71552</wp:posOffset>
          </wp:positionV>
          <wp:extent cx="7824980" cy="10126494"/>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4980" cy="1012649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wMjAzMzU0tjAzNzBX0lEKTi0uzszPAykwqgUAT53LBSwAAAA="/>
  </w:docVars>
  <w:rsids>
    <w:rsidRoot w:val="00E326E7"/>
    <w:rsid w:val="00054307"/>
    <w:rsid w:val="000E4E31"/>
    <w:rsid w:val="001E7C14"/>
    <w:rsid w:val="00291C0E"/>
    <w:rsid w:val="002F17CB"/>
    <w:rsid w:val="0041241A"/>
    <w:rsid w:val="004E255B"/>
    <w:rsid w:val="0054025B"/>
    <w:rsid w:val="005C41B6"/>
    <w:rsid w:val="005D7656"/>
    <w:rsid w:val="007262D8"/>
    <w:rsid w:val="00781765"/>
    <w:rsid w:val="007B7903"/>
    <w:rsid w:val="007C4106"/>
    <w:rsid w:val="0084535D"/>
    <w:rsid w:val="00AD51FE"/>
    <w:rsid w:val="00B17701"/>
    <w:rsid w:val="00C374AF"/>
    <w:rsid w:val="00CE1E76"/>
    <w:rsid w:val="00D171FE"/>
    <w:rsid w:val="00E210E7"/>
    <w:rsid w:val="00E326E7"/>
    <w:rsid w:val="00EB552A"/>
    <w:rsid w:val="00F137EF"/>
    <w:rsid w:val="00FE226B"/>
    <w:rsid w:val="00FF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35DF5"/>
  <w15:chartTrackingRefBased/>
  <w15:docId w15:val="{70548316-A024-D046-B874-4EB6D057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6E7"/>
    <w:pPr>
      <w:tabs>
        <w:tab w:val="center" w:pos="4680"/>
        <w:tab w:val="right" w:pos="9360"/>
      </w:tabs>
    </w:pPr>
  </w:style>
  <w:style w:type="character" w:customStyle="1" w:styleId="HeaderChar">
    <w:name w:val="Header Char"/>
    <w:basedOn w:val="DefaultParagraphFont"/>
    <w:link w:val="Header"/>
    <w:uiPriority w:val="99"/>
    <w:rsid w:val="00E326E7"/>
  </w:style>
  <w:style w:type="paragraph" w:styleId="Footer">
    <w:name w:val="footer"/>
    <w:basedOn w:val="Normal"/>
    <w:link w:val="FooterChar"/>
    <w:uiPriority w:val="99"/>
    <w:unhideWhenUsed/>
    <w:rsid w:val="00E326E7"/>
    <w:pPr>
      <w:tabs>
        <w:tab w:val="center" w:pos="4680"/>
        <w:tab w:val="right" w:pos="9360"/>
      </w:tabs>
    </w:pPr>
  </w:style>
  <w:style w:type="character" w:customStyle="1" w:styleId="FooterChar">
    <w:name w:val="Footer Char"/>
    <w:basedOn w:val="DefaultParagraphFont"/>
    <w:link w:val="Footer"/>
    <w:uiPriority w:val="99"/>
    <w:rsid w:val="00E326E7"/>
  </w:style>
  <w:style w:type="paragraph" w:customStyle="1" w:styleId="BasicParagraph">
    <w:name w:val="[Basic Paragraph]"/>
    <w:basedOn w:val="Normal"/>
    <w:uiPriority w:val="99"/>
    <w:rsid w:val="00E326E7"/>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Mathis</dc:creator>
  <cp:keywords/>
  <dc:description/>
  <cp:lastModifiedBy>Tom Gartner</cp:lastModifiedBy>
  <cp:revision>2</cp:revision>
  <dcterms:created xsi:type="dcterms:W3CDTF">2021-12-03T16:15:00Z</dcterms:created>
  <dcterms:modified xsi:type="dcterms:W3CDTF">2021-12-03T16:15:00Z</dcterms:modified>
</cp:coreProperties>
</file>