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A8A" w:rsidRPr="00F111A0" w:rsidRDefault="0020095A" w:rsidP="00B76A8A">
      <w:pPr>
        <w:spacing w:before="160" w:line="240" w:lineRule="auto"/>
        <w:jc w:val="center"/>
        <w:rPr>
          <w:rFonts w:asciiTheme="majorHAnsi" w:hAnsiTheme="majorHAnsi" w:cs="Times New Roman"/>
          <w:i/>
          <w:sz w:val="28"/>
          <w:szCs w:val="24"/>
        </w:rPr>
      </w:pPr>
      <w:r w:rsidRPr="00F111A0">
        <w:rPr>
          <w:rFonts w:asciiTheme="majorHAnsi" w:hAnsiTheme="majorHAnsi" w:cs="Times New Roman"/>
          <w:i/>
          <w:sz w:val="28"/>
          <w:szCs w:val="24"/>
        </w:rPr>
        <w:t xml:space="preserve">In this month’s </w:t>
      </w:r>
      <w:r w:rsidRPr="00B46303">
        <w:rPr>
          <w:rFonts w:asciiTheme="majorHAnsi" w:hAnsiTheme="majorHAnsi" w:cs="Times New Roman"/>
          <w:i/>
          <w:sz w:val="28"/>
          <w:szCs w:val="24"/>
        </w:rPr>
        <w:t xml:space="preserve">recap: </w:t>
      </w:r>
      <w:r>
        <w:rPr>
          <w:rFonts w:asciiTheme="majorHAnsi" w:hAnsiTheme="majorHAnsi" w:cs="Times New Roman"/>
          <w:i/>
          <w:sz w:val="28"/>
          <w:szCs w:val="24"/>
        </w:rPr>
        <w:t>the Fed</w:t>
      </w:r>
      <w:r>
        <w:rPr>
          <w:rFonts w:asciiTheme="majorHAnsi" w:hAnsiTheme="majorHAnsi" w:cs="Times New Roman"/>
          <w:i/>
          <w:sz w:val="28"/>
          <w:szCs w:val="24"/>
        </w:rPr>
        <w:t xml:space="preserve">eral Reserve sees no rate hikes </w:t>
      </w:r>
      <w:r>
        <w:rPr>
          <w:rFonts w:asciiTheme="majorHAnsi" w:hAnsiTheme="majorHAnsi" w:cs="Times New Roman"/>
          <w:i/>
          <w:sz w:val="28"/>
          <w:szCs w:val="24"/>
        </w:rPr>
        <w:t>in 2019</w:t>
      </w:r>
      <w:r>
        <w:rPr>
          <w:rFonts w:asciiTheme="majorHAnsi" w:hAnsiTheme="majorHAnsi" w:cs="Times New Roman"/>
          <w:i/>
          <w:sz w:val="28"/>
          <w:szCs w:val="24"/>
        </w:rPr>
        <w:t xml:space="preserve">, </w:t>
      </w:r>
      <w:r>
        <w:rPr>
          <w:rFonts w:asciiTheme="majorHAnsi" w:hAnsiTheme="majorHAnsi" w:cs="Times New Roman"/>
          <w:i/>
          <w:sz w:val="28"/>
          <w:szCs w:val="24"/>
        </w:rPr>
        <w:t xml:space="preserve">investors watch Treasury yields with interest, hiring suddenly </w:t>
      </w:r>
      <w:r>
        <w:rPr>
          <w:rFonts w:asciiTheme="majorHAnsi" w:hAnsiTheme="majorHAnsi" w:cs="Times New Roman"/>
          <w:i/>
          <w:sz w:val="28"/>
          <w:szCs w:val="24"/>
        </w:rPr>
        <w:t>weakens</w:t>
      </w:r>
      <w:r>
        <w:rPr>
          <w:rFonts w:asciiTheme="majorHAnsi" w:hAnsiTheme="majorHAnsi" w:cs="Times New Roman"/>
          <w:i/>
          <w:sz w:val="28"/>
          <w:szCs w:val="24"/>
        </w:rPr>
        <w:t xml:space="preserve">, home sales pick up, and the price of oil tops $60. </w:t>
      </w:r>
      <w:r>
        <w:rPr>
          <w:rFonts w:asciiTheme="majorHAnsi" w:hAnsiTheme="majorHAnsi" w:cs="Times New Roman"/>
          <w:i/>
          <w:sz w:val="28"/>
          <w:szCs w:val="24"/>
        </w:rPr>
        <w:t xml:space="preserve"> </w:t>
      </w:r>
    </w:p>
    <w:p w:rsidR="00F82321" w:rsidRPr="00A56786" w:rsidRDefault="0020095A" w:rsidP="00B76A8A">
      <w:pPr>
        <w:spacing w:before="160" w:line="276" w:lineRule="auto"/>
        <w:jc w:val="center"/>
        <w:rPr>
          <w:rFonts w:asciiTheme="majorHAnsi" w:hAnsiTheme="majorHAnsi" w:cs="Times New Roman"/>
          <w:b/>
          <w:color w:val="000000" w:themeColor="text1"/>
          <w:sz w:val="72"/>
          <w:szCs w:val="24"/>
        </w:rPr>
      </w:pPr>
      <w:r>
        <w:rPr>
          <w:rFonts w:asciiTheme="majorHAnsi" w:hAnsiTheme="majorHAnsi"/>
          <w:b/>
          <w:noProof/>
          <w:sz w:val="72"/>
        </w:rPr>
        <w:t>Monthly</w:t>
      </w:r>
      <w:r w:rsidRPr="00A56786">
        <w:rPr>
          <w:rFonts w:asciiTheme="majorHAnsi" w:hAnsiTheme="majorHAnsi"/>
          <w:b/>
          <w:noProof/>
          <w:sz w:val="72"/>
        </w:rPr>
        <w:t xml:space="preserve"> Economic Update</w:t>
      </w:r>
    </w:p>
    <w:p w:rsidR="00B2579B" w:rsidRDefault="0020095A" w:rsidP="00EE6BF2">
      <w:pPr>
        <w:spacing w:before="160" w:line="276" w:lineRule="auto"/>
        <w:jc w:val="center"/>
        <w:rPr>
          <w:rFonts w:asciiTheme="majorHAnsi" w:hAnsiTheme="majorHAnsi" w:cs="Times New Roman"/>
          <w:i/>
          <w:color w:val="376B8D"/>
          <w:sz w:val="28"/>
          <w:szCs w:val="24"/>
        </w:rPr>
      </w:pPr>
      <w:r w:rsidRPr="004A2938">
        <w:rPr>
          <w:rFonts w:asciiTheme="majorHAnsi" w:hAnsiTheme="majorHAnsi"/>
          <w:noProof/>
          <w:sz w:val="10"/>
        </w:rPr>
        <w:drawing>
          <wp:inline distT="0" distB="0" distL="0" distR="0">
            <wp:extent cx="5825083" cy="26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A56786" w:rsidRPr="00DD38C0" w:rsidRDefault="0020095A" w:rsidP="00EE6BF2">
      <w:pPr>
        <w:spacing w:before="160" w:line="276" w:lineRule="auto"/>
        <w:jc w:val="center"/>
        <w:rPr>
          <w:rFonts w:asciiTheme="majorHAnsi" w:hAnsiTheme="majorHAnsi" w:cs="Times New Roman"/>
          <w:color w:val="808080" w:themeColor="background1" w:themeShade="80"/>
          <w:sz w:val="2"/>
          <w:szCs w:val="24"/>
        </w:rPr>
      </w:pPr>
    </w:p>
    <w:p w:rsidR="00F82321" w:rsidRPr="00DD38C0" w:rsidRDefault="0020095A" w:rsidP="00EE6BF2">
      <w:pPr>
        <w:spacing w:before="160" w:line="276" w:lineRule="auto"/>
        <w:jc w:val="center"/>
        <w:rPr>
          <w:rFonts w:asciiTheme="majorHAnsi" w:hAnsiTheme="majorHAnsi" w:cs="Times New Roman"/>
          <w:i/>
          <w:color w:val="646464"/>
          <w:sz w:val="24"/>
          <w:szCs w:val="24"/>
        </w:rPr>
      </w:pPr>
      <w:r w:rsidRPr="00DD38C0">
        <w:rPr>
          <w:rFonts w:asciiTheme="majorHAnsi" w:hAnsiTheme="majorHAnsi" w:cs="Times New Roman"/>
          <w:i/>
          <w:color w:val="646464"/>
          <w:sz w:val="24"/>
          <w:szCs w:val="24"/>
        </w:rPr>
        <w:t xml:space="preserve">Presented by </w:t>
      </w:r>
      <w:r w:rsidRPr="00DD38C0">
        <w:rPr>
          <w:rFonts w:asciiTheme="majorHAnsi" w:hAnsiTheme="majorHAnsi" w:cs="Times New Roman"/>
          <w:i/>
          <w:color w:val="646464"/>
          <w:sz w:val="24"/>
          <w:szCs w:val="24"/>
        </w:rPr>
        <w:fldChar w:fldCharType="begin"/>
      </w:r>
      <w:r w:rsidRPr="00DD38C0">
        <w:rPr>
          <w:rFonts w:asciiTheme="majorHAnsi" w:hAnsiTheme="majorHAnsi" w:cs="Times New Roman"/>
          <w:i/>
          <w:color w:val="646464"/>
          <w:sz w:val="24"/>
          <w:szCs w:val="24"/>
        </w:rPr>
        <w:instrText xml:space="preserve"> MERGEFIELD  representativename  \* MERGEFORMAT </w:instrText>
      </w:r>
      <w:r w:rsidRPr="00DD38C0">
        <w:rPr>
          <w:rFonts w:asciiTheme="majorHAnsi" w:hAnsiTheme="majorHAnsi" w:cs="Times New Roman"/>
          <w:i/>
          <w:color w:val="646464"/>
          <w:sz w:val="24"/>
          <w:szCs w:val="24"/>
        </w:rPr>
        <w:fldChar w:fldCharType="separate"/>
      </w:r>
      <w:r w:rsidRPr="00DD38C0">
        <w:rPr>
          <w:rFonts w:asciiTheme="majorHAnsi" w:hAnsiTheme="majorHAnsi" w:cs="Times New Roman"/>
          <w:i/>
          <w:noProof/>
          <w:color w:val="646464"/>
          <w:sz w:val="24"/>
          <w:szCs w:val="24"/>
        </w:rPr>
        <w:t>«RepresentativeName»</w:t>
      </w:r>
      <w:r w:rsidRPr="00DD38C0">
        <w:rPr>
          <w:rFonts w:asciiTheme="majorHAnsi" w:hAnsiTheme="majorHAnsi" w:cs="Times New Roman"/>
          <w:i/>
          <w:color w:val="646464"/>
          <w:sz w:val="24"/>
          <w:szCs w:val="24"/>
        </w:rPr>
        <w:fldChar w:fldCharType="end"/>
      </w:r>
      <w:r w:rsidRPr="00DD38C0">
        <w:rPr>
          <w:rFonts w:asciiTheme="majorHAnsi" w:hAnsiTheme="majorHAnsi" w:cs="Times New Roman"/>
          <w:i/>
          <w:color w:val="646464"/>
          <w:sz w:val="24"/>
          <w:szCs w:val="24"/>
        </w:rPr>
        <w:t xml:space="preserve">, </w:t>
      </w:r>
      <w:r>
        <w:rPr>
          <w:rFonts w:asciiTheme="majorHAnsi" w:hAnsiTheme="majorHAnsi" w:cs="Times New Roman"/>
          <w:i/>
          <w:color w:val="646464"/>
          <w:sz w:val="24"/>
          <w:szCs w:val="24"/>
        </w:rPr>
        <w:t>April</w:t>
      </w:r>
      <w:r w:rsidRPr="00DD38C0">
        <w:rPr>
          <w:rFonts w:asciiTheme="majorHAnsi" w:hAnsiTheme="majorHAnsi" w:cs="Times New Roman"/>
          <w:i/>
          <w:color w:val="646464"/>
          <w:sz w:val="24"/>
          <w:szCs w:val="24"/>
        </w:rPr>
        <w:t xml:space="preserve"> 201</w:t>
      </w:r>
      <w:r>
        <w:rPr>
          <w:rFonts w:asciiTheme="majorHAnsi" w:hAnsiTheme="majorHAnsi" w:cs="Times New Roman"/>
          <w:i/>
          <w:color w:val="646464"/>
          <w:sz w:val="24"/>
          <w:szCs w:val="24"/>
        </w:rPr>
        <w:t>9</w:t>
      </w:r>
    </w:p>
    <w:p w:rsidR="002544C5" w:rsidRPr="00DD38C0" w:rsidRDefault="0020095A" w:rsidP="00EE6BF2">
      <w:pPr>
        <w:spacing w:before="160" w:line="276" w:lineRule="auto"/>
        <w:jc w:val="center"/>
        <w:rPr>
          <w:rFonts w:asciiTheme="majorHAnsi" w:hAnsiTheme="majorHAnsi" w:cs="Times New Roman"/>
          <w:color w:val="000000" w:themeColor="text1"/>
          <w:sz w:val="4"/>
          <w:szCs w:val="24"/>
        </w:rPr>
      </w:pPr>
    </w:p>
    <w:p w:rsidR="00775662" w:rsidRDefault="0020095A" w:rsidP="00EE6BF2">
      <w:pPr>
        <w:spacing w:line="276" w:lineRule="auto"/>
        <w:rPr>
          <w:rFonts w:asciiTheme="majorHAnsi" w:hAnsiTheme="majorHAnsi"/>
          <w:b/>
          <w:color w:val="3E7BB6"/>
          <w:sz w:val="28"/>
          <w:szCs w:val="24"/>
        </w:rPr>
      </w:pPr>
      <w:r w:rsidRPr="00775662">
        <w:rPr>
          <w:rFonts w:asciiTheme="majorHAnsi" w:hAnsiTheme="majorHAnsi"/>
          <w:b/>
          <w:color w:val="3E7BB6"/>
          <w:sz w:val="28"/>
          <w:szCs w:val="24"/>
        </w:rPr>
        <w:t>THE MONTH IN BRIEF</w:t>
      </w:r>
    </w:p>
    <w:p w:rsidR="00775662" w:rsidRPr="00AF732F" w:rsidRDefault="0020095A" w:rsidP="00EE6BF2">
      <w:pPr>
        <w:spacing w:line="276" w:lineRule="auto"/>
        <w:jc w:val="both"/>
        <w:rPr>
          <w:rFonts w:asciiTheme="majorHAnsi" w:hAnsiTheme="majorHAnsi"/>
          <w:sz w:val="24"/>
          <w:szCs w:val="24"/>
        </w:rPr>
      </w:pPr>
      <w:r w:rsidRPr="0019125E">
        <w:rPr>
          <w:rFonts w:asciiTheme="majorHAnsi" w:hAnsiTheme="majorHAnsi" w:cstheme="majorHAnsi"/>
          <w:sz w:val="24"/>
          <w:szCs w:val="24"/>
        </w:rPr>
        <w:t>The</w:t>
      </w:r>
      <w:r w:rsidRPr="0019125E">
        <w:rPr>
          <w:rFonts w:asciiTheme="majorHAnsi" w:hAnsiTheme="majorHAnsi" w:cstheme="majorHAnsi"/>
          <w:sz w:val="24"/>
          <w:szCs w:val="24"/>
        </w:rPr>
        <w:t xml:space="preserve"> Federal </w:t>
      </w:r>
      <w:r w:rsidRPr="00AF732F">
        <w:rPr>
          <w:rFonts w:asciiTheme="majorHAnsi" w:hAnsiTheme="majorHAnsi" w:cstheme="majorHAnsi"/>
          <w:sz w:val="24"/>
          <w:szCs w:val="24"/>
        </w:rPr>
        <w:t>Reserve</w:t>
      </w:r>
      <w:r w:rsidRPr="00AF732F">
        <w:rPr>
          <w:rFonts w:asciiTheme="majorHAnsi" w:hAnsiTheme="majorHAnsi" w:cstheme="majorHAnsi"/>
          <w:sz w:val="24"/>
          <w:szCs w:val="24"/>
        </w:rPr>
        <w:t xml:space="preserve"> </w:t>
      </w:r>
      <w:r w:rsidRPr="00AF732F">
        <w:rPr>
          <w:rStyle w:val="st"/>
          <w:rFonts w:asciiTheme="majorHAnsi" w:hAnsiTheme="majorHAnsi" w:cstheme="majorHAnsi"/>
          <w:sz w:val="24"/>
          <w:szCs w:val="24"/>
        </w:rPr>
        <w:t>altered its outlook on interest rates</w:t>
      </w:r>
      <w:r w:rsidRPr="00AF732F">
        <w:rPr>
          <w:rFonts w:asciiTheme="majorHAnsi" w:hAnsiTheme="majorHAnsi" w:cstheme="majorHAnsi"/>
          <w:sz w:val="24"/>
          <w:szCs w:val="24"/>
        </w:rPr>
        <w:t xml:space="preserve"> </w:t>
      </w:r>
      <w:r w:rsidRPr="00AF732F">
        <w:rPr>
          <w:rFonts w:asciiTheme="majorHAnsi" w:hAnsiTheme="majorHAnsi" w:cstheme="majorHAnsi"/>
          <w:sz w:val="24"/>
          <w:szCs w:val="24"/>
        </w:rPr>
        <w:t xml:space="preserve">in March, and </w:t>
      </w:r>
      <w:r w:rsidRPr="00AF732F">
        <w:rPr>
          <w:rFonts w:asciiTheme="majorHAnsi" w:hAnsiTheme="majorHAnsi" w:cstheme="majorHAnsi"/>
          <w:sz w:val="24"/>
          <w:szCs w:val="24"/>
        </w:rPr>
        <w:t>the stock and bond markets certainly took not</w:t>
      </w:r>
      <w:r>
        <w:rPr>
          <w:rFonts w:asciiTheme="majorHAnsi" w:hAnsiTheme="majorHAnsi" w:cstheme="majorHAnsi"/>
          <w:sz w:val="24"/>
          <w:szCs w:val="24"/>
        </w:rPr>
        <w:t>ic</w:t>
      </w:r>
      <w:r w:rsidRPr="00AF732F">
        <w:rPr>
          <w:rFonts w:asciiTheme="majorHAnsi" w:hAnsiTheme="majorHAnsi" w:cstheme="majorHAnsi"/>
          <w:sz w:val="24"/>
          <w:szCs w:val="24"/>
        </w:rPr>
        <w:t>e.</w:t>
      </w:r>
      <w:r w:rsidRPr="00AF732F">
        <w:rPr>
          <w:rFonts w:asciiTheme="majorHAnsi" w:hAnsiTheme="majorHAnsi"/>
          <w:sz w:val="24"/>
          <w:szCs w:val="24"/>
        </w:rPr>
        <w:t xml:space="preserve"> </w:t>
      </w:r>
      <w:r>
        <w:rPr>
          <w:rFonts w:asciiTheme="majorHAnsi" w:hAnsiTheme="majorHAnsi"/>
          <w:sz w:val="24"/>
          <w:szCs w:val="24"/>
        </w:rPr>
        <w:t xml:space="preserve">Both the </w:t>
      </w:r>
      <w:r w:rsidRPr="00FC51E8">
        <w:rPr>
          <w:rFonts w:asciiTheme="majorHAnsi" w:hAnsiTheme="majorHAnsi"/>
          <w:sz w:val="24"/>
          <w:szCs w:val="24"/>
        </w:rPr>
        <w:t xml:space="preserve">Fed and the European Central Bank </w:t>
      </w:r>
      <w:r>
        <w:rPr>
          <w:rFonts w:asciiTheme="majorHAnsi" w:hAnsiTheme="majorHAnsi"/>
          <w:sz w:val="24"/>
          <w:szCs w:val="24"/>
        </w:rPr>
        <w:t>communicated that they saw economic growth moderating</w:t>
      </w:r>
      <w:r w:rsidRPr="00FC51E8">
        <w:rPr>
          <w:rFonts w:asciiTheme="majorHAnsi" w:hAnsiTheme="majorHAnsi"/>
          <w:sz w:val="24"/>
          <w:szCs w:val="24"/>
        </w:rPr>
        <w:t>.</w:t>
      </w:r>
      <w:r w:rsidRPr="00FC51E8">
        <w:rPr>
          <w:rFonts w:asciiTheme="majorHAnsi" w:hAnsiTheme="majorHAnsi"/>
          <w:sz w:val="24"/>
          <w:szCs w:val="24"/>
        </w:rPr>
        <w:t xml:space="preserve"> </w:t>
      </w:r>
      <w:r w:rsidRPr="00FC51E8">
        <w:rPr>
          <w:rFonts w:asciiTheme="majorHAnsi" w:hAnsiTheme="majorHAnsi"/>
          <w:sz w:val="24"/>
          <w:szCs w:val="24"/>
        </w:rPr>
        <w:t xml:space="preserve">Even </w:t>
      </w:r>
      <w:r>
        <w:rPr>
          <w:rFonts w:asciiTheme="majorHAnsi" w:hAnsiTheme="majorHAnsi"/>
          <w:sz w:val="24"/>
          <w:szCs w:val="24"/>
        </w:rPr>
        <w:t>so</w:t>
      </w:r>
      <w:r w:rsidRPr="00FC51E8">
        <w:rPr>
          <w:rFonts w:asciiTheme="majorHAnsi" w:hAnsiTheme="majorHAnsi"/>
          <w:sz w:val="24"/>
          <w:szCs w:val="24"/>
        </w:rPr>
        <w:t xml:space="preserve">, </w:t>
      </w:r>
      <w:r w:rsidRPr="00FC51E8">
        <w:rPr>
          <w:rFonts w:asciiTheme="majorHAnsi" w:hAnsiTheme="majorHAnsi"/>
          <w:sz w:val="24"/>
          <w:szCs w:val="24"/>
        </w:rPr>
        <w:t xml:space="preserve">the S&amp;P 500 managed to advance </w:t>
      </w:r>
      <w:r w:rsidRPr="00FC51E8">
        <w:rPr>
          <w:rFonts w:asciiTheme="majorHAnsi" w:hAnsiTheme="majorHAnsi"/>
          <w:sz w:val="24"/>
          <w:szCs w:val="24"/>
        </w:rPr>
        <w:t>1</w:t>
      </w:r>
      <w:r w:rsidRPr="00FC51E8">
        <w:rPr>
          <w:rFonts w:asciiTheme="majorHAnsi" w:hAnsiTheme="majorHAnsi"/>
          <w:sz w:val="24"/>
          <w:szCs w:val="24"/>
        </w:rPr>
        <w:t>.</w:t>
      </w:r>
      <w:r w:rsidRPr="00FC51E8">
        <w:rPr>
          <w:rFonts w:asciiTheme="majorHAnsi" w:hAnsiTheme="majorHAnsi"/>
          <w:sz w:val="24"/>
          <w:szCs w:val="24"/>
        </w:rPr>
        <w:t>79</w:t>
      </w:r>
      <w:r w:rsidRPr="00FC51E8">
        <w:rPr>
          <w:rFonts w:asciiTheme="majorHAnsi" w:hAnsiTheme="majorHAnsi"/>
          <w:sz w:val="24"/>
          <w:szCs w:val="24"/>
        </w:rPr>
        <w:t>% for the month.</w:t>
      </w:r>
      <w:r w:rsidRPr="00FC51E8">
        <w:rPr>
          <w:rFonts w:asciiTheme="majorHAnsi" w:hAnsiTheme="majorHAnsi"/>
          <w:sz w:val="24"/>
          <w:szCs w:val="24"/>
        </w:rPr>
        <w:t xml:space="preserve"> </w:t>
      </w:r>
      <w:r w:rsidRPr="00AF732F">
        <w:rPr>
          <w:rFonts w:asciiTheme="majorHAnsi" w:hAnsiTheme="majorHAnsi"/>
          <w:sz w:val="24"/>
          <w:szCs w:val="24"/>
        </w:rPr>
        <w:t xml:space="preserve">Trade talks continued between the U.S. and China, but without much in the way of real developments. New reports </w:t>
      </w:r>
      <w:r>
        <w:rPr>
          <w:rFonts w:asciiTheme="majorHAnsi" w:hAnsiTheme="majorHAnsi"/>
          <w:sz w:val="24"/>
          <w:szCs w:val="24"/>
        </w:rPr>
        <w:t xml:space="preserve">revealed </w:t>
      </w:r>
      <w:r w:rsidRPr="00AF732F">
        <w:rPr>
          <w:rFonts w:asciiTheme="majorHAnsi" w:hAnsiTheme="majorHAnsi"/>
          <w:sz w:val="24"/>
          <w:szCs w:val="24"/>
        </w:rPr>
        <w:t xml:space="preserve">a </w:t>
      </w:r>
      <w:r>
        <w:rPr>
          <w:rFonts w:asciiTheme="majorHAnsi" w:hAnsiTheme="majorHAnsi"/>
          <w:sz w:val="24"/>
          <w:szCs w:val="24"/>
        </w:rPr>
        <w:t>sudden</w:t>
      </w:r>
      <w:r w:rsidRPr="00AF732F">
        <w:rPr>
          <w:rFonts w:asciiTheme="majorHAnsi" w:hAnsiTheme="majorHAnsi"/>
          <w:sz w:val="24"/>
          <w:szCs w:val="24"/>
        </w:rPr>
        <w:t xml:space="preserve"> slowdown in hiring</w:t>
      </w:r>
      <w:r>
        <w:rPr>
          <w:rFonts w:asciiTheme="majorHAnsi" w:hAnsiTheme="majorHAnsi"/>
          <w:sz w:val="24"/>
          <w:szCs w:val="24"/>
        </w:rPr>
        <w:t xml:space="preserve"> and only mild inflation. E</w:t>
      </w:r>
      <w:r w:rsidRPr="00AF732F">
        <w:rPr>
          <w:rFonts w:asciiTheme="majorHAnsi" w:hAnsiTheme="majorHAnsi"/>
          <w:sz w:val="24"/>
          <w:szCs w:val="24"/>
        </w:rPr>
        <w:t>xisting h</w:t>
      </w:r>
      <w:r w:rsidRPr="00AF732F">
        <w:rPr>
          <w:rFonts w:asciiTheme="majorHAnsi" w:hAnsiTheme="majorHAnsi"/>
          <w:sz w:val="24"/>
          <w:szCs w:val="24"/>
        </w:rPr>
        <w:t>ome sales accelerat</w:t>
      </w:r>
      <w:r>
        <w:rPr>
          <w:rFonts w:asciiTheme="majorHAnsi" w:hAnsiTheme="majorHAnsi"/>
          <w:sz w:val="24"/>
          <w:szCs w:val="24"/>
        </w:rPr>
        <w:t>ed, c</w:t>
      </w:r>
      <w:r w:rsidRPr="00AF732F">
        <w:rPr>
          <w:rFonts w:asciiTheme="majorHAnsi" w:hAnsiTheme="majorHAnsi"/>
          <w:sz w:val="24"/>
          <w:szCs w:val="24"/>
        </w:rPr>
        <w:t>rude oil</w:t>
      </w:r>
      <w:r w:rsidRPr="00AF732F">
        <w:rPr>
          <w:rFonts w:asciiTheme="majorHAnsi" w:hAnsiTheme="majorHAnsi"/>
          <w:sz w:val="24"/>
          <w:szCs w:val="24"/>
        </w:rPr>
        <w:t xml:space="preserve"> </w:t>
      </w:r>
      <w:r w:rsidRPr="00AF732F">
        <w:rPr>
          <w:rFonts w:asciiTheme="majorHAnsi" w:hAnsiTheme="majorHAnsi"/>
          <w:sz w:val="24"/>
          <w:szCs w:val="24"/>
        </w:rPr>
        <w:t>gained value</w:t>
      </w:r>
      <w:r>
        <w:rPr>
          <w:rFonts w:asciiTheme="majorHAnsi" w:hAnsiTheme="majorHAnsi"/>
          <w:sz w:val="24"/>
          <w:szCs w:val="24"/>
        </w:rPr>
        <w:t xml:space="preserve">, and the Brexit </w:t>
      </w:r>
      <w:r>
        <w:rPr>
          <w:rFonts w:asciiTheme="majorHAnsi" w:hAnsiTheme="majorHAnsi"/>
          <w:sz w:val="24"/>
          <w:szCs w:val="24"/>
        </w:rPr>
        <w:t>saga</w:t>
      </w:r>
      <w:r>
        <w:rPr>
          <w:rFonts w:asciiTheme="majorHAnsi" w:hAnsiTheme="majorHAnsi"/>
          <w:sz w:val="24"/>
          <w:szCs w:val="24"/>
        </w:rPr>
        <w:t xml:space="preserve"> </w:t>
      </w:r>
      <w:r>
        <w:rPr>
          <w:rFonts w:asciiTheme="majorHAnsi" w:hAnsiTheme="majorHAnsi"/>
          <w:sz w:val="24"/>
          <w:szCs w:val="24"/>
        </w:rPr>
        <w:t xml:space="preserve">took </w:t>
      </w:r>
      <w:r>
        <w:rPr>
          <w:rFonts w:asciiTheme="majorHAnsi" w:hAnsiTheme="majorHAnsi"/>
          <w:sz w:val="24"/>
          <w:szCs w:val="24"/>
        </w:rPr>
        <w:t>yet another turn</w:t>
      </w:r>
      <w:r w:rsidRPr="00AF732F">
        <w:rPr>
          <w:rFonts w:asciiTheme="majorHAnsi" w:hAnsiTheme="majorHAnsi"/>
          <w:sz w:val="24"/>
          <w:szCs w:val="24"/>
        </w:rPr>
        <w:t>.</w:t>
      </w:r>
      <w:r w:rsidRPr="00AF732F">
        <w:rPr>
          <w:rFonts w:asciiTheme="majorHAnsi" w:hAnsiTheme="majorHAnsi"/>
          <w:sz w:val="24"/>
          <w:szCs w:val="24"/>
          <w:vertAlign w:val="superscript"/>
        </w:rPr>
        <w:t>1</w:t>
      </w:r>
    </w:p>
    <w:p w:rsidR="00775662" w:rsidRPr="00DD38C0" w:rsidRDefault="0020095A" w:rsidP="00EE6BF2">
      <w:pPr>
        <w:spacing w:line="276" w:lineRule="auto"/>
        <w:rPr>
          <w:rFonts w:asciiTheme="majorHAnsi" w:hAnsiTheme="majorHAnsi"/>
          <w:sz w:val="6"/>
          <w:szCs w:val="24"/>
        </w:rPr>
      </w:pPr>
    </w:p>
    <w:p w:rsidR="00775662" w:rsidRDefault="0020095A" w:rsidP="00DD05FD">
      <w:pPr>
        <w:spacing w:line="276" w:lineRule="auto"/>
        <w:jc w:val="center"/>
        <w:rPr>
          <w:rFonts w:asciiTheme="majorHAnsi" w:hAnsiTheme="majorHAnsi"/>
          <w:sz w:val="24"/>
          <w:szCs w:val="24"/>
        </w:rPr>
      </w:pPr>
      <w:r w:rsidRPr="004A2938">
        <w:rPr>
          <w:rFonts w:asciiTheme="majorHAnsi" w:hAnsiTheme="majorHAnsi"/>
          <w:noProof/>
          <w:sz w:val="10"/>
        </w:rPr>
        <w:drawing>
          <wp:inline distT="0" distB="0" distL="0" distR="0">
            <wp:extent cx="5825083" cy="268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775662" w:rsidRPr="00DD38C0" w:rsidRDefault="0020095A" w:rsidP="00EE6BF2">
      <w:pPr>
        <w:spacing w:line="276" w:lineRule="auto"/>
        <w:rPr>
          <w:rFonts w:asciiTheme="majorHAnsi" w:hAnsiTheme="majorHAnsi"/>
          <w:sz w:val="6"/>
          <w:szCs w:val="24"/>
        </w:rPr>
      </w:pPr>
    </w:p>
    <w:p w:rsidR="00775662" w:rsidRDefault="0020095A" w:rsidP="00EE6BF2">
      <w:pPr>
        <w:spacing w:line="276" w:lineRule="auto"/>
        <w:rPr>
          <w:rFonts w:asciiTheme="majorHAnsi" w:hAnsiTheme="majorHAnsi"/>
          <w:b/>
          <w:color w:val="3E7BB6"/>
          <w:sz w:val="28"/>
          <w:szCs w:val="24"/>
        </w:rPr>
      </w:pPr>
      <w:r w:rsidRPr="00775662">
        <w:rPr>
          <w:rFonts w:asciiTheme="majorHAnsi" w:hAnsiTheme="majorHAnsi"/>
          <w:b/>
          <w:color w:val="3E7BB6"/>
          <w:sz w:val="28"/>
          <w:szCs w:val="24"/>
        </w:rPr>
        <w:t xml:space="preserve">DOMESTIC ECONOMIC HEALTH </w:t>
      </w:r>
    </w:p>
    <w:p w:rsidR="00CC7047" w:rsidRPr="005E5B56" w:rsidRDefault="0020095A" w:rsidP="00946B0D">
      <w:pPr>
        <w:spacing w:line="276" w:lineRule="auto"/>
        <w:jc w:val="both"/>
        <w:rPr>
          <w:rStyle w:val="st"/>
          <w:rFonts w:asciiTheme="majorHAnsi" w:hAnsiTheme="majorHAnsi" w:cstheme="majorHAnsi"/>
          <w:sz w:val="24"/>
          <w:szCs w:val="24"/>
        </w:rPr>
      </w:pPr>
      <w:r w:rsidRPr="006F25BF">
        <w:rPr>
          <w:rStyle w:val="st"/>
          <w:rFonts w:asciiTheme="majorHAnsi" w:hAnsiTheme="majorHAnsi" w:cstheme="majorHAnsi"/>
          <w:sz w:val="24"/>
          <w:szCs w:val="24"/>
        </w:rPr>
        <w:t>Without a doubt, the major story of the month was the Federal Reserve</w:t>
      </w:r>
      <w:r w:rsidRPr="006F25BF">
        <w:rPr>
          <w:rStyle w:val="st"/>
          <w:rFonts w:asciiTheme="majorHAnsi" w:hAnsiTheme="majorHAnsi" w:cstheme="majorHAnsi"/>
          <w:sz w:val="24"/>
          <w:szCs w:val="24"/>
        </w:rPr>
        <w:t xml:space="preserve">’s newly dovish </w:t>
      </w:r>
      <w:r w:rsidRPr="006F25BF">
        <w:rPr>
          <w:rStyle w:val="st"/>
          <w:rFonts w:asciiTheme="majorHAnsi" w:hAnsiTheme="majorHAnsi" w:cstheme="majorHAnsi"/>
          <w:sz w:val="24"/>
          <w:szCs w:val="24"/>
        </w:rPr>
        <w:t>stance</w:t>
      </w:r>
      <w:r w:rsidRPr="006F25BF">
        <w:rPr>
          <w:rStyle w:val="st"/>
          <w:rFonts w:asciiTheme="majorHAnsi" w:hAnsiTheme="majorHAnsi" w:cstheme="majorHAnsi"/>
          <w:sz w:val="24"/>
          <w:szCs w:val="24"/>
        </w:rPr>
        <w:t xml:space="preserve"> on monetary policy.</w:t>
      </w:r>
      <w:r w:rsidRPr="006F25BF">
        <w:rPr>
          <w:rStyle w:val="st"/>
          <w:rFonts w:asciiTheme="majorHAnsi" w:hAnsiTheme="majorHAnsi" w:cstheme="majorHAnsi"/>
          <w:sz w:val="24"/>
          <w:szCs w:val="24"/>
        </w:rPr>
        <w:t xml:space="preserve"> </w:t>
      </w:r>
      <w:r w:rsidRPr="006F25BF">
        <w:rPr>
          <w:rStyle w:val="st"/>
          <w:rFonts w:asciiTheme="majorHAnsi" w:hAnsiTheme="majorHAnsi" w:cstheme="majorHAnsi"/>
          <w:sz w:val="24"/>
          <w:szCs w:val="24"/>
        </w:rPr>
        <w:t>The central bank had forecast two quarter-point rate hikes for 2019 in late</w:t>
      </w:r>
      <w:r>
        <w:rPr>
          <w:rStyle w:val="st"/>
          <w:rFonts w:asciiTheme="majorHAnsi" w:hAnsiTheme="majorHAnsi" w:cstheme="majorHAnsi"/>
          <w:sz w:val="24"/>
          <w:szCs w:val="24"/>
        </w:rPr>
        <w:t xml:space="preserve"> </w:t>
      </w:r>
      <w:r w:rsidRPr="006F25BF">
        <w:rPr>
          <w:rStyle w:val="st"/>
          <w:rFonts w:asciiTheme="majorHAnsi" w:hAnsiTheme="majorHAnsi" w:cstheme="majorHAnsi"/>
          <w:sz w:val="24"/>
          <w:szCs w:val="24"/>
        </w:rPr>
        <w:t xml:space="preserve">2018. On March 20, </w:t>
      </w:r>
      <w:r w:rsidRPr="006F25BF">
        <w:rPr>
          <w:rStyle w:val="st"/>
          <w:rFonts w:asciiTheme="majorHAnsi" w:hAnsiTheme="majorHAnsi" w:cstheme="majorHAnsi"/>
          <w:sz w:val="24"/>
          <w:szCs w:val="24"/>
        </w:rPr>
        <w:t>it held rates steady while projecting only one quarter-point hike through 2021</w:t>
      </w:r>
      <w:r w:rsidRPr="006F25BF">
        <w:rPr>
          <w:rStyle w:val="st"/>
          <w:rFonts w:asciiTheme="majorHAnsi" w:hAnsiTheme="majorHAnsi" w:cstheme="majorHAnsi"/>
          <w:sz w:val="24"/>
          <w:szCs w:val="24"/>
        </w:rPr>
        <w:t xml:space="preserve">. </w:t>
      </w:r>
      <w:r>
        <w:rPr>
          <w:rStyle w:val="st"/>
          <w:rFonts w:asciiTheme="majorHAnsi" w:hAnsiTheme="majorHAnsi" w:cstheme="majorHAnsi"/>
          <w:sz w:val="24"/>
          <w:szCs w:val="24"/>
        </w:rPr>
        <w:t>In announcing this dramatic pivot</w:t>
      </w:r>
      <w:r>
        <w:rPr>
          <w:rStyle w:val="st"/>
          <w:rFonts w:asciiTheme="majorHAnsi" w:hAnsiTheme="majorHAnsi" w:cstheme="majorHAnsi"/>
          <w:sz w:val="24"/>
          <w:szCs w:val="24"/>
        </w:rPr>
        <w:t>, t</w:t>
      </w:r>
      <w:r w:rsidRPr="005E5B56">
        <w:rPr>
          <w:rStyle w:val="st"/>
          <w:rFonts w:asciiTheme="majorHAnsi" w:hAnsiTheme="majorHAnsi" w:cstheme="majorHAnsi"/>
          <w:sz w:val="24"/>
          <w:szCs w:val="24"/>
        </w:rPr>
        <w:t>he Fed also lowered its estimate of 2019 U.S. economic expansion to 2.1% from the prior 2.3%</w:t>
      </w:r>
      <w:r>
        <w:rPr>
          <w:rStyle w:val="st"/>
          <w:rFonts w:asciiTheme="majorHAnsi" w:hAnsiTheme="majorHAnsi" w:cstheme="majorHAnsi"/>
          <w:sz w:val="24"/>
          <w:szCs w:val="24"/>
        </w:rPr>
        <w:t xml:space="preserve">. </w:t>
      </w:r>
      <w:r>
        <w:rPr>
          <w:rStyle w:val="st"/>
          <w:rFonts w:asciiTheme="majorHAnsi" w:hAnsiTheme="majorHAnsi" w:cstheme="majorHAnsi"/>
          <w:sz w:val="24"/>
          <w:szCs w:val="24"/>
        </w:rPr>
        <w:t>Talking to</w:t>
      </w:r>
      <w:r w:rsidRPr="006F25BF">
        <w:rPr>
          <w:rStyle w:val="st"/>
          <w:rFonts w:asciiTheme="majorHAnsi" w:hAnsiTheme="majorHAnsi" w:cstheme="majorHAnsi"/>
          <w:sz w:val="24"/>
          <w:szCs w:val="24"/>
        </w:rPr>
        <w:t xml:space="preserve"> </w:t>
      </w:r>
      <w:r w:rsidRPr="005E5B56">
        <w:rPr>
          <w:rStyle w:val="st"/>
          <w:rFonts w:asciiTheme="majorHAnsi" w:hAnsiTheme="majorHAnsi" w:cstheme="majorHAnsi"/>
          <w:sz w:val="24"/>
          <w:szCs w:val="24"/>
        </w:rPr>
        <w:t>the media</w:t>
      </w:r>
      <w:r>
        <w:rPr>
          <w:rStyle w:val="st"/>
          <w:rFonts w:asciiTheme="majorHAnsi" w:hAnsiTheme="majorHAnsi" w:cstheme="majorHAnsi"/>
          <w:sz w:val="24"/>
          <w:szCs w:val="24"/>
        </w:rPr>
        <w:t xml:space="preserve"> after the release of the March 20 policy statement</w:t>
      </w:r>
      <w:r w:rsidRPr="005E5B56">
        <w:rPr>
          <w:rStyle w:val="st"/>
          <w:rFonts w:asciiTheme="majorHAnsi" w:hAnsiTheme="majorHAnsi" w:cstheme="majorHAnsi"/>
          <w:sz w:val="24"/>
          <w:szCs w:val="24"/>
        </w:rPr>
        <w:t>, Fed</w:t>
      </w:r>
      <w:r>
        <w:rPr>
          <w:rStyle w:val="st"/>
          <w:rFonts w:asciiTheme="majorHAnsi" w:hAnsiTheme="majorHAnsi" w:cstheme="majorHAnsi"/>
          <w:sz w:val="24"/>
          <w:szCs w:val="24"/>
        </w:rPr>
        <w:t xml:space="preserve"> </w:t>
      </w:r>
      <w:r>
        <w:rPr>
          <w:rStyle w:val="st"/>
          <w:rFonts w:asciiTheme="majorHAnsi" w:hAnsiTheme="majorHAnsi" w:cstheme="majorHAnsi"/>
          <w:sz w:val="24"/>
          <w:szCs w:val="24"/>
        </w:rPr>
        <w:t>Chairman</w:t>
      </w:r>
      <w:r w:rsidRPr="005E5B56">
        <w:rPr>
          <w:rStyle w:val="st"/>
          <w:rFonts w:asciiTheme="majorHAnsi" w:hAnsiTheme="majorHAnsi" w:cstheme="majorHAnsi"/>
          <w:sz w:val="24"/>
          <w:szCs w:val="24"/>
        </w:rPr>
        <w:t xml:space="preserve"> Jerome Powell </w:t>
      </w:r>
      <w:r>
        <w:rPr>
          <w:rStyle w:val="st"/>
          <w:rFonts w:asciiTheme="majorHAnsi" w:hAnsiTheme="majorHAnsi" w:cstheme="majorHAnsi"/>
          <w:sz w:val="24"/>
          <w:szCs w:val="24"/>
        </w:rPr>
        <w:t>remarked</w:t>
      </w:r>
      <w:r w:rsidRPr="005E5B56">
        <w:rPr>
          <w:rStyle w:val="st"/>
          <w:rFonts w:asciiTheme="majorHAnsi" w:hAnsiTheme="majorHAnsi" w:cstheme="majorHAnsi"/>
          <w:sz w:val="24"/>
          <w:szCs w:val="24"/>
        </w:rPr>
        <w:t xml:space="preserve"> that</w:t>
      </w:r>
      <w:r>
        <w:rPr>
          <w:rStyle w:val="st"/>
          <w:rFonts w:asciiTheme="majorHAnsi" w:hAnsiTheme="majorHAnsi" w:cstheme="majorHAnsi"/>
          <w:sz w:val="24"/>
          <w:szCs w:val="24"/>
        </w:rPr>
        <w:t xml:space="preserve"> the</w:t>
      </w:r>
      <w:r w:rsidRPr="005E5B56">
        <w:rPr>
          <w:rStyle w:val="st"/>
          <w:rFonts w:asciiTheme="majorHAnsi" w:hAnsiTheme="majorHAnsi" w:cstheme="majorHAnsi"/>
          <w:sz w:val="24"/>
          <w:szCs w:val="24"/>
        </w:rPr>
        <w:t xml:space="preserve"> “growth of economic activity has slowed,” adding that Fed policymakers saw “some weakening” in the economy</w:t>
      </w:r>
      <w:r>
        <w:rPr>
          <w:rStyle w:val="st"/>
          <w:rFonts w:asciiTheme="majorHAnsi" w:hAnsiTheme="majorHAnsi" w:cstheme="majorHAnsi"/>
          <w:sz w:val="24"/>
          <w:szCs w:val="24"/>
        </w:rPr>
        <w:t>,</w:t>
      </w:r>
      <w:r w:rsidRPr="005E5B56">
        <w:rPr>
          <w:rStyle w:val="st"/>
          <w:rFonts w:asciiTheme="majorHAnsi" w:hAnsiTheme="majorHAnsi" w:cstheme="majorHAnsi"/>
          <w:sz w:val="24"/>
          <w:szCs w:val="24"/>
        </w:rPr>
        <w:t xml:space="preserve"> but no signs of a recession.</w:t>
      </w:r>
      <w:r w:rsidRPr="005E5B56">
        <w:rPr>
          <w:rStyle w:val="st"/>
          <w:rFonts w:asciiTheme="majorHAnsi" w:hAnsiTheme="majorHAnsi" w:cstheme="majorHAnsi"/>
          <w:sz w:val="24"/>
          <w:szCs w:val="24"/>
          <w:vertAlign w:val="superscript"/>
        </w:rPr>
        <w:t>2</w:t>
      </w:r>
    </w:p>
    <w:p w:rsidR="00920AB1" w:rsidRPr="00F50307" w:rsidRDefault="0020095A" w:rsidP="00946B0D">
      <w:pPr>
        <w:spacing w:line="276" w:lineRule="auto"/>
        <w:jc w:val="both"/>
        <w:rPr>
          <w:rStyle w:val="st"/>
          <w:rFonts w:asciiTheme="majorHAnsi" w:hAnsiTheme="majorHAnsi"/>
          <w:sz w:val="24"/>
          <w:szCs w:val="24"/>
        </w:rPr>
      </w:pPr>
      <w:r w:rsidRPr="005E5B56">
        <w:rPr>
          <w:rStyle w:val="st"/>
          <w:rFonts w:asciiTheme="majorHAnsi" w:hAnsiTheme="majorHAnsi"/>
          <w:sz w:val="24"/>
          <w:szCs w:val="24"/>
        </w:rPr>
        <w:t>More than a few i</w:t>
      </w:r>
      <w:r w:rsidRPr="005E5B56">
        <w:rPr>
          <w:rStyle w:val="st"/>
          <w:rFonts w:asciiTheme="majorHAnsi" w:hAnsiTheme="majorHAnsi"/>
          <w:sz w:val="24"/>
          <w:szCs w:val="24"/>
        </w:rPr>
        <w:t xml:space="preserve">nvestors </w:t>
      </w:r>
      <w:r w:rsidRPr="005E5B56">
        <w:rPr>
          <w:rStyle w:val="st"/>
          <w:rFonts w:asciiTheme="majorHAnsi" w:hAnsiTheme="majorHAnsi"/>
          <w:sz w:val="24"/>
          <w:szCs w:val="24"/>
        </w:rPr>
        <w:t xml:space="preserve">interpreted the Fed’s revised outlook </w:t>
      </w:r>
      <w:r w:rsidRPr="005E5B56">
        <w:rPr>
          <w:rStyle w:val="st"/>
          <w:rFonts w:asciiTheme="majorHAnsi" w:hAnsiTheme="majorHAnsi"/>
          <w:sz w:val="24"/>
          <w:szCs w:val="24"/>
        </w:rPr>
        <w:t xml:space="preserve">as a commentary on the near </w:t>
      </w:r>
      <w:r w:rsidRPr="005E5B56">
        <w:rPr>
          <w:rStyle w:val="st"/>
          <w:rFonts w:asciiTheme="majorHAnsi" w:hAnsiTheme="majorHAnsi"/>
          <w:sz w:val="24"/>
          <w:szCs w:val="24"/>
        </w:rPr>
        <w:t>future</w:t>
      </w:r>
      <w:r w:rsidRPr="005E5B56">
        <w:rPr>
          <w:rStyle w:val="st"/>
          <w:rFonts w:asciiTheme="majorHAnsi" w:hAnsiTheme="majorHAnsi"/>
          <w:sz w:val="24"/>
          <w:szCs w:val="24"/>
        </w:rPr>
        <w:t xml:space="preserve">. </w:t>
      </w:r>
      <w:r w:rsidRPr="005E5B56">
        <w:rPr>
          <w:rStyle w:val="st"/>
          <w:rFonts w:asciiTheme="majorHAnsi" w:hAnsiTheme="majorHAnsi"/>
          <w:sz w:val="24"/>
          <w:szCs w:val="24"/>
        </w:rPr>
        <w:t>D</w:t>
      </w:r>
      <w:r w:rsidRPr="005E5B56">
        <w:rPr>
          <w:rStyle w:val="st"/>
          <w:rFonts w:asciiTheme="majorHAnsi" w:hAnsiTheme="majorHAnsi"/>
          <w:sz w:val="24"/>
          <w:szCs w:val="24"/>
        </w:rPr>
        <w:t xml:space="preserve">emand for longer-term Treasury </w:t>
      </w:r>
      <w:r w:rsidRPr="005E5B56">
        <w:rPr>
          <w:rStyle w:val="st"/>
          <w:rFonts w:asciiTheme="majorHAnsi" w:hAnsiTheme="majorHAnsi"/>
          <w:sz w:val="24"/>
          <w:szCs w:val="24"/>
        </w:rPr>
        <w:t>bonds</w:t>
      </w:r>
      <w:r w:rsidRPr="005E5B56">
        <w:rPr>
          <w:rStyle w:val="st"/>
          <w:rFonts w:asciiTheme="majorHAnsi" w:hAnsiTheme="majorHAnsi"/>
          <w:sz w:val="24"/>
          <w:szCs w:val="24"/>
        </w:rPr>
        <w:t xml:space="preserve"> </w:t>
      </w:r>
      <w:r w:rsidRPr="005E5B56">
        <w:rPr>
          <w:rStyle w:val="st"/>
          <w:rFonts w:asciiTheme="majorHAnsi" w:hAnsiTheme="majorHAnsi"/>
          <w:sz w:val="24"/>
          <w:szCs w:val="24"/>
        </w:rPr>
        <w:t xml:space="preserve">increased, </w:t>
      </w:r>
      <w:r w:rsidRPr="005E5B56">
        <w:rPr>
          <w:rStyle w:val="st"/>
          <w:rFonts w:asciiTheme="majorHAnsi" w:hAnsiTheme="majorHAnsi"/>
          <w:sz w:val="24"/>
          <w:szCs w:val="24"/>
        </w:rPr>
        <w:t>sen</w:t>
      </w:r>
      <w:r w:rsidRPr="005E5B56">
        <w:rPr>
          <w:rStyle w:val="st"/>
          <w:rFonts w:asciiTheme="majorHAnsi" w:hAnsiTheme="majorHAnsi"/>
          <w:sz w:val="24"/>
          <w:szCs w:val="24"/>
        </w:rPr>
        <w:t>ding</w:t>
      </w:r>
      <w:r w:rsidRPr="005E5B56">
        <w:rPr>
          <w:rStyle w:val="st"/>
          <w:rFonts w:asciiTheme="majorHAnsi" w:hAnsiTheme="majorHAnsi"/>
          <w:sz w:val="24"/>
          <w:szCs w:val="24"/>
        </w:rPr>
        <w:t xml:space="preserve"> their prices higher and their yields lower (bond yields fall when bond prices rise and vice versa)</w:t>
      </w:r>
      <w:r w:rsidRPr="005E5B56">
        <w:rPr>
          <w:rStyle w:val="st"/>
          <w:rFonts w:asciiTheme="majorHAnsi" w:hAnsiTheme="majorHAnsi"/>
          <w:sz w:val="24"/>
          <w:szCs w:val="24"/>
        </w:rPr>
        <w:t>.</w:t>
      </w:r>
      <w:r w:rsidRPr="005E5B56">
        <w:rPr>
          <w:rStyle w:val="st"/>
          <w:rFonts w:asciiTheme="majorHAnsi" w:hAnsiTheme="majorHAnsi"/>
          <w:sz w:val="24"/>
          <w:szCs w:val="24"/>
        </w:rPr>
        <w:t xml:space="preserve"> </w:t>
      </w:r>
      <w:r w:rsidRPr="005E5B56">
        <w:rPr>
          <w:rStyle w:val="st"/>
          <w:rFonts w:asciiTheme="majorHAnsi" w:hAnsiTheme="majorHAnsi"/>
          <w:sz w:val="24"/>
          <w:szCs w:val="24"/>
        </w:rPr>
        <w:t>On</w:t>
      </w:r>
      <w:r w:rsidRPr="005E5B56">
        <w:rPr>
          <w:rStyle w:val="st"/>
          <w:rFonts w:asciiTheme="majorHAnsi" w:hAnsiTheme="majorHAnsi"/>
          <w:sz w:val="24"/>
          <w:szCs w:val="24"/>
        </w:rPr>
        <w:t xml:space="preserve"> March 22, the</w:t>
      </w:r>
      <w:r w:rsidRPr="005E5B56">
        <w:rPr>
          <w:rStyle w:val="st"/>
          <w:rFonts w:asciiTheme="majorHAnsi" w:hAnsiTheme="majorHAnsi"/>
          <w:sz w:val="24"/>
          <w:szCs w:val="24"/>
        </w:rPr>
        <w:t xml:space="preserve"> yield on the 2-year Treasury exceeded the yield on </w:t>
      </w:r>
      <w:r w:rsidRPr="00F50307">
        <w:rPr>
          <w:rStyle w:val="st"/>
          <w:rFonts w:asciiTheme="majorHAnsi" w:hAnsiTheme="majorHAnsi"/>
          <w:sz w:val="24"/>
          <w:szCs w:val="24"/>
        </w:rPr>
        <w:t xml:space="preserve">the 10-year Treasury. </w:t>
      </w:r>
      <w:r>
        <w:rPr>
          <w:rStyle w:val="st"/>
          <w:rFonts w:asciiTheme="majorHAnsi" w:hAnsiTheme="majorHAnsi"/>
          <w:sz w:val="24"/>
          <w:szCs w:val="24"/>
        </w:rPr>
        <w:t>Analysts</w:t>
      </w:r>
      <w:r w:rsidRPr="00F50307">
        <w:rPr>
          <w:rStyle w:val="st"/>
          <w:rFonts w:asciiTheme="majorHAnsi" w:hAnsiTheme="majorHAnsi"/>
          <w:sz w:val="24"/>
          <w:szCs w:val="24"/>
        </w:rPr>
        <w:t xml:space="preserve"> call this an “inverted yield curve,” and when it happens, </w:t>
      </w:r>
      <w:r>
        <w:rPr>
          <w:rStyle w:val="st"/>
          <w:rFonts w:asciiTheme="majorHAnsi" w:hAnsiTheme="majorHAnsi"/>
          <w:sz w:val="24"/>
          <w:szCs w:val="24"/>
        </w:rPr>
        <w:t>the financial media is</w:t>
      </w:r>
      <w:r w:rsidRPr="00F50307">
        <w:rPr>
          <w:rStyle w:val="st"/>
          <w:rFonts w:asciiTheme="majorHAnsi" w:hAnsiTheme="majorHAnsi"/>
          <w:sz w:val="24"/>
          <w:szCs w:val="24"/>
        </w:rPr>
        <w:t xml:space="preserve"> quick to point out that it </w:t>
      </w:r>
      <w:r w:rsidRPr="00F50307">
        <w:rPr>
          <w:rStyle w:val="st"/>
          <w:rFonts w:asciiTheme="majorHAnsi" w:hAnsiTheme="majorHAnsi"/>
          <w:sz w:val="24"/>
          <w:szCs w:val="24"/>
        </w:rPr>
        <w:t xml:space="preserve">could </w:t>
      </w:r>
      <w:r>
        <w:rPr>
          <w:rStyle w:val="st"/>
          <w:rFonts w:asciiTheme="majorHAnsi" w:hAnsiTheme="majorHAnsi"/>
          <w:sz w:val="24"/>
          <w:szCs w:val="24"/>
        </w:rPr>
        <w:t xml:space="preserve">signal a </w:t>
      </w:r>
      <w:r>
        <w:rPr>
          <w:rStyle w:val="st"/>
          <w:rFonts w:asciiTheme="majorHAnsi" w:hAnsiTheme="majorHAnsi"/>
          <w:sz w:val="24"/>
          <w:szCs w:val="24"/>
        </w:rPr>
        <w:lastRenderedPageBreak/>
        <w:t>weaker</w:t>
      </w:r>
      <w:r w:rsidRPr="00F50307">
        <w:rPr>
          <w:rStyle w:val="st"/>
          <w:rFonts w:asciiTheme="majorHAnsi" w:hAnsiTheme="majorHAnsi"/>
          <w:sz w:val="24"/>
          <w:szCs w:val="24"/>
        </w:rPr>
        <w:t xml:space="preserve"> </w:t>
      </w:r>
      <w:r>
        <w:rPr>
          <w:rStyle w:val="st"/>
          <w:rFonts w:asciiTheme="majorHAnsi" w:hAnsiTheme="majorHAnsi"/>
          <w:sz w:val="24"/>
          <w:szCs w:val="24"/>
        </w:rPr>
        <w:t>economy ahead</w:t>
      </w:r>
      <w:r w:rsidRPr="00F50307">
        <w:rPr>
          <w:rStyle w:val="st"/>
          <w:rFonts w:asciiTheme="majorHAnsi" w:hAnsiTheme="majorHAnsi"/>
          <w:sz w:val="24"/>
          <w:szCs w:val="24"/>
        </w:rPr>
        <w:t>.</w:t>
      </w:r>
      <w:r w:rsidRPr="00F50307">
        <w:rPr>
          <w:rStyle w:val="st"/>
          <w:rFonts w:asciiTheme="majorHAnsi" w:hAnsiTheme="majorHAnsi"/>
          <w:sz w:val="24"/>
          <w:szCs w:val="24"/>
        </w:rPr>
        <w:t xml:space="preserve"> Th</w:t>
      </w:r>
      <w:r>
        <w:rPr>
          <w:rStyle w:val="st"/>
          <w:rFonts w:asciiTheme="majorHAnsi" w:hAnsiTheme="majorHAnsi"/>
          <w:sz w:val="24"/>
          <w:szCs w:val="24"/>
        </w:rPr>
        <w:t>is</w:t>
      </w:r>
      <w:r w:rsidRPr="00F50307">
        <w:rPr>
          <w:rStyle w:val="st"/>
          <w:rFonts w:asciiTheme="majorHAnsi" w:hAnsiTheme="majorHAnsi"/>
          <w:sz w:val="24"/>
          <w:szCs w:val="24"/>
        </w:rPr>
        <w:t xml:space="preserve"> is open to debate, but </w:t>
      </w:r>
      <w:r w:rsidRPr="00F50307">
        <w:rPr>
          <w:rStyle w:val="st"/>
          <w:rFonts w:asciiTheme="majorHAnsi" w:hAnsiTheme="majorHAnsi"/>
          <w:sz w:val="24"/>
          <w:szCs w:val="24"/>
        </w:rPr>
        <w:t>rising demand for longer-term Treasuries does imply less appetite for risk in the financial markets.</w:t>
      </w:r>
      <w:r w:rsidRPr="00F50307">
        <w:rPr>
          <w:rStyle w:val="st"/>
          <w:rFonts w:asciiTheme="majorHAnsi" w:hAnsiTheme="majorHAnsi"/>
          <w:sz w:val="24"/>
          <w:szCs w:val="24"/>
          <w:vertAlign w:val="superscript"/>
        </w:rPr>
        <w:t>3</w:t>
      </w:r>
    </w:p>
    <w:p w:rsidR="005E5B56" w:rsidRPr="00501684" w:rsidRDefault="0020095A" w:rsidP="00946B0D">
      <w:pPr>
        <w:spacing w:line="276" w:lineRule="auto"/>
        <w:jc w:val="both"/>
        <w:rPr>
          <w:rStyle w:val="st"/>
          <w:rFonts w:asciiTheme="majorHAnsi" w:hAnsiTheme="majorHAnsi"/>
          <w:sz w:val="24"/>
          <w:szCs w:val="24"/>
        </w:rPr>
      </w:pPr>
      <w:r>
        <w:rPr>
          <w:rStyle w:val="st"/>
          <w:rFonts w:asciiTheme="majorHAnsi" w:hAnsiTheme="majorHAnsi"/>
          <w:sz w:val="24"/>
          <w:szCs w:val="24"/>
        </w:rPr>
        <w:t>By March 26</w:t>
      </w:r>
      <w:r w:rsidRPr="00F50307">
        <w:rPr>
          <w:rStyle w:val="st"/>
          <w:rFonts w:asciiTheme="majorHAnsi" w:hAnsiTheme="majorHAnsi"/>
          <w:sz w:val="24"/>
          <w:szCs w:val="24"/>
        </w:rPr>
        <w:t xml:space="preserve">, the CMEGroup’s FedWatch Tool – a gauge of market expectations about interest rate changes – gave the Fed a </w:t>
      </w:r>
      <w:r w:rsidRPr="00501684">
        <w:rPr>
          <w:rStyle w:val="st"/>
          <w:rFonts w:asciiTheme="majorHAnsi" w:hAnsiTheme="majorHAnsi"/>
          <w:sz w:val="24"/>
          <w:szCs w:val="24"/>
        </w:rPr>
        <w:t>71.7% chance of making a</w:t>
      </w:r>
      <w:r>
        <w:rPr>
          <w:rStyle w:val="st"/>
          <w:rFonts w:asciiTheme="majorHAnsi" w:hAnsiTheme="majorHAnsi"/>
          <w:sz w:val="24"/>
          <w:szCs w:val="24"/>
        </w:rPr>
        <w:t>n interest</w:t>
      </w:r>
      <w:r w:rsidRPr="00501684">
        <w:rPr>
          <w:rStyle w:val="st"/>
          <w:rFonts w:asciiTheme="majorHAnsi" w:hAnsiTheme="majorHAnsi"/>
          <w:sz w:val="24"/>
          <w:szCs w:val="24"/>
        </w:rPr>
        <w:t xml:space="preserve"> rate cut by the end of the year, with a 57.7% chance of a cut by September.</w:t>
      </w:r>
      <w:r w:rsidRPr="00501684">
        <w:rPr>
          <w:rStyle w:val="st"/>
          <w:rFonts w:asciiTheme="majorHAnsi" w:hAnsiTheme="majorHAnsi"/>
          <w:sz w:val="24"/>
          <w:szCs w:val="24"/>
          <w:vertAlign w:val="superscript"/>
        </w:rPr>
        <w:t>4</w:t>
      </w:r>
      <w:r w:rsidRPr="00501684">
        <w:rPr>
          <w:rStyle w:val="st"/>
          <w:rFonts w:asciiTheme="majorHAnsi" w:hAnsiTheme="majorHAnsi"/>
          <w:sz w:val="24"/>
          <w:szCs w:val="24"/>
        </w:rPr>
        <w:t xml:space="preserve"> </w:t>
      </w:r>
    </w:p>
    <w:p w:rsidR="00920AB1" w:rsidRPr="00B53006" w:rsidRDefault="0020095A" w:rsidP="00946B0D">
      <w:pPr>
        <w:spacing w:line="276" w:lineRule="auto"/>
        <w:jc w:val="both"/>
        <w:rPr>
          <w:rStyle w:val="st"/>
          <w:rFonts w:asciiTheme="majorHAnsi" w:hAnsiTheme="majorHAnsi"/>
          <w:sz w:val="24"/>
          <w:szCs w:val="24"/>
        </w:rPr>
      </w:pPr>
      <w:r w:rsidRPr="00501684">
        <w:rPr>
          <w:rStyle w:val="st"/>
          <w:rFonts w:asciiTheme="majorHAnsi" w:hAnsiTheme="majorHAnsi"/>
          <w:sz w:val="24"/>
          <w:szCs w:val="24"/>
        </w:rPr>
        <w:t xml:space="preserve">The latest employment report from the Department of Labor showed payrolls expanding by just 20,000 net new hires in February. Even so, the main jobless rate fell </w:t>
      </w:r>
      <w:r w:rsidRPr="00501684">
        <w:rPr>
          <w:rStyle w:val="st"/>
          <w:rFonts w:asciiTheme="majorHAnsi" w:hAnsiTheme="majorHAnsi"/>
          <w:sz w:val="24"/>
          <w:szCs w:val="24"/>
        </w:rPr>
        <w:t xml:space="preserve">0.2% </w:t>
      </w:r>
      <w:r w:rsidRPr="00501684">
        <w:rPr>
          <w:rStyle w:val="st"/>
          <w:rFonts w:asciiTheme="majorHAnsi" w:hAnsiTheme="majorHAnsi"/>
          <w:sz w:val="24"/>
          <w:szCs w:val="24"/>
        </w:rPr>
        <w:t>to</w:t>
      </w:r>
      <w:r w:rsidRPr="00501684">
        <w:rPr>
          <w:rStyle w:val="st"/>
          <w:rFonts w:asciiTheme="majorHAnsi" w:hAnsiTheme="majorHAnsi"/>
          <w:sz w:val="24"/>
          <w:szCs w:val="24"/>
        </w:rPr>
        <w:t xml:space="preserve"> 3.8%; t</w:t>
      </w:r>
      <w:r w:rsidRPr="00501684">
        <w:rPr>
          <w:rStyle w:val="st"/>
          <w:rFonts w:asciiTheme="majorHAnsi" w:hAnsiTheme="majorHAnsi"/>
          <w:sz w:val="24"/>
          <w:szCs w:val="24"/>
        </w:rPr>
        <w:t>he U-6 rate</w:t>
      </w:r>
      <w:r>
        <w:rPr>
          <w:rStyle w:val="st"/>
          <w:rFonts w:asciiTheme="majorHAnsi" w:hAnsiTheme="majorHAnsi"/>
          <w:sz w:val="24"/>
          <w:szCs w:val="24"/>
        </w:rPr>
        <w:t>,</w:t>
      </w:r>
      <w:r w:rsidRPr="00501684">
        <w:rPr>
          <w:rStyle w:val="st"/>
          <w:rFonts w:asciiTheme="majorHAnsi" w:hAnsiTheme="majorHAnsi"/>
          <w:sz w:val="24"/>
          <w:szCs w:val="24"/>
        </w:rPr>
        <w:t xml:space="preserve"> </w:t>
      </w:r>
      <w:r>
        <w:rPr>
          <w:rStyle w:val="st"/>
          <w:rFonts w:asciiTheme="majorHAnsi" w:hAnsiTheme="majorHAnsi"/>
          <w:sz w:val="24"/>
          <w:szCs w:val="24"/>
        </w:rPr>
        <w:t>including</w:t>
      </w:r>
      <w:r w:rsidRPr="00501684">
        <w:rPr>
          <w:rStyle w:val="st"/>
          <w:rFonts w:asciiTheme="majorHAnsi" w:hAnsiTheme="majorHAnsi"/>
          <w:sz w:val="24"/>
          <w:szCs w:val="24"/>
        </w:rPr>
        <w:t xml:space="preserve"> the underemployed</w:t>
      </w:r>
      <w:r>
        <w:rPr>
          <w:rStyle w:val="st"/>
          <w:rFonts w:asciiTheme="majorHAnsi" w:hAnsiTheme="majorHAnsi"/>
          <w:sz w:val="24"/>
          <w:szCs w:val="24"/>
        </w:rPr>
        <w:t>,</w:t>
      </w:r>
      <w:r w:rsidRPr="00501684">
        <w:rPr>
          <w:rStyle w:val="st"/>
          <w:rFonts w:asciiTheme="majorHAnsi" w:hAnsiTheme="majorHAnsi"/>
          <w:sz w:val="24"/>
          <w:szCs w:val="24"/>
        </w:rPr>
        <w:t xml:space="preserve"> dropped 0.8% </w:t>
      </w:r>
      <w:r w:rsidRPr="00B53006">
        <w:rPr>
          <w:rStyle w:val="st"/>
          <w:rFonts w:asciiTheme="majorHAnsi" w:hAnsiTheme="majorHAnsi"/>
          <w:sz w:val="24"/>
          <w:szCs w:val="24"/>
        </w:rPr>
        <w:t xml:space="preserve">to 7.3%. (Both reductions could reflect furloughed federal workers returning to their jobs.) </w:t>
      </w:r>
      <w:r w:rsidRPr="00B53006">
        <w:rPr>
          <w:rStyle w:val="st"/>
          <w:rFonts w:asciiTheme="majorHAnsi" w:hAnsiTheme="majorHAnsi"/>
          <w:sz w:val="24"/>
          <w:szCs w:val="24"/>
        </w:rPr>
        <w:t>Also worth noting:</w:t>
      </w:r>
      <w:r w:rsidRPr="00B53006">
        <w:rPr>
          <w:rStyle w:val="st"/>
          <w:rFonts w:asciiTheme="majorHAnsi" w:hAnsiTheme="majorHAnsi"/>
          <w:sz w:val="24"/>
          <w:szCs w:val="24"/>
        </w:rPr>
        <w:t xml:space="preserve"> hourly wages were up </w:t>
      </w:r>
      <w:r w:rsidRPr="00B53006">
        <w:rPr>
          <w:rStyle w:val="st"/>
          <w:rFonts w:asciiTheme="majorHAnsi" w:hAnsiTheme="majorHAnsi"/>
          <w:sz w:val="24"/>
          <w:szCs w:val="24"/>
        </w:rPr>
        <w:t xml:space="preserve">a nice </w:t>
      </w:r>
      <w:r w:rsidRPr="00B53006">
        <w:rPr>
          <w:rStyle w:val="st"/>
          <w:rFonts w:asciiTheme="majorHAnsi" w:hAnsiTheme="majorHAnsi"/>
          <w:sz w:val="24"/>
          <w:szCs w:val="24"/>
        </w:rPr>
        <w:t>3.4% year-over-year.</w:t>
      </w:r>
      <w:r w:rsidRPr="00B53006">
        <w:rPr>
          <w:rStyle w:val="st"/>
          <w:rFonts w:asciiTheme="majorHAnsi" w:hAnsiTheme="majorHAnsi"/>
          <w:sz w:val="24"/>
          <w:szCs w:val="24"/>
          <w:vertAlign w:val="superscript"/>
        </w:rPr>
        <w:t>5</w:t>
      </w:r>
    </w:p>
    <w:p w:rsidR="00501684" w:rsidRPr="0000140E" w:rsidRDefault="0020095A" w:rsidP="00946B0D">
      <w:pPr>
        <w:spacing w:line="276" w:lineRule="auto"/>
        <w:jc w:val="both"/>
        <w:rPr>
          <w:rStyle w:val="st"/>
          <w:rFonts w:asciiTheme="majorHAnsi" w:hAnsiTheme="majorHAnsi"/>
          <w:sz w:val="24"/>
          <w:szCs w:val="24"/>
        </w:rPr>
      </w:pPr>
      <w:bookmarkStart w:id="0" w:name="_Hlk2327328"/>
      <w:r w:rsidRPr="00B53006">
        <w:rPr>
          <w:rStyle w:val="st"/>
          <w:rFonts w:asciiTheme="majorHAnsi" w:hAnsiTheme="majorHAnsi"/>
          <w:sz w:val="24"/>
          <w:szCs w:val="24"/>
        </w:rPr>
        <w:t xml:space="preserve">Inflation </w:t>
      </w:r>
      <w:r>
        <w:rPr>
          <w:rStyle w:val="st"/>
          <w:rFonts w:asciiTheme="majorHAnsi" w:hAnsiTheme="majorHAnsi"/>
          <w:sz w:val="24"/>
          <w:szCs w:val="24"/>
        </w:rPr>
        <w:t>remained muted</w:t>
      </w:r>
      <w:r w:rsidRPr="00B53006">
        <w:rPr>
          <w:rStyle w:val="st"/>
          <w:rFonts w:asciiTheme="majorHAnsi" w:hAnsiTheme="majorHAnsi"/>
          <w:sz w:val="24"/>
          <w:szCs w:val="24"/>
        </w:rPr>
        <w:t>.</w:t>
      </w:r>
      <w:r w:rsidRPr="00B53006">
        <w:rPr>
          <w:rStyle w:val="st"/>
          <w:rFonts w:asciiTheme="majorHAnsi" w:hAnsiTheme="majorHAnsi"/>
          <w:sz w:val="24"/>
          <w:szCs w:val="24"/>
        </w:rPr>
        <w:t xml:space="preserve"> The latest Consumer Price Index (February) showed just a 1.5% </w:t>
      </w:r>
      <w:r w:rsidRPr="0000140E">
        <w:rPr>
          <w:rStyle w:val="st"/>
          <w:rFonts w:asciiTheme="majorHAnsi" w:hAnsiTheme="majorHAnsi"/>
          <w:sz w:val="24"/>
          <w:szCs w:val="24"/>
        </w:rPr>
        <w:t xml:space="preserve">annualized gain, hardly the kind of pressure that begs action from </w:t>
      </w:r>
      <w:r w:rsidRPr="0000140E">
        <w:rPr>
          <w:rStyle w:val="st"/>
          <w:rFonts w:asciiTheme="majorHAnsi" w:hAnsiTheme="majorHAnsi"/>
          <w:sz w:val="24"/>
          <w:szCs w:val="24"/>
        </w:rPr>
        <w:t>policymakers</w:t>
      </w:r>
      <w:r w:rsidRPr="0000140E">
        <w:rPr>
          <w:rStyle w:val="st"/>
          <w:rFonts w:asciiTheme="majorHAnsi" w:hAnsiTheme="majorHAnsi"/>
          <w:sz w:val="24"/>
          <w:szCs w:val="24"/>
        </w:rPr>
        <w:t>.</w:t>
      </w:r>
      <w:r w:rsidRPr="0000140E">
        <w:rPr>
          <w:rStyle w:val="st"/>
          <w:rFonts w:asciiTheme="majorHAnsi" w:hAnsiTheme="majorHAnsi"/>
          <w:sz w:val="24"/>
          <w:szCs w:val="24"/>
          <w:vertAlign w:val="superscript"/>
        </w:rPr>
        <w:t>5</w:t>
      </w:r>
    </w:p>
    <w:p w:rsidR="00E13A5B" w:rsidRPr="00BD7D52" w:rsidRDefault="0020095A" w:rsidP="00946B0D">
      <w:pPr>
        <w:spacing w:line="276" w:lineRule="auto"/>
        <w:jc w:val="both"/>
        <w:rPr>
          <w:rStyle w:val="st"/>
          <w:rFonts w:asciiTheme="majorHAnsi" w:hAnsiTheme="majorHAnsi"/>
          <w:color w:val="FF0000"/>
          <w:sz w:val="24"/>
          <w:szCs w:val="24"/>
        </w:rPr>
      </w:pPr>
      <w:r w:rsidRPr="0000140E">
        <w:rPr>
          <w:rStyle w:val="st"/>
          <w:rFonts w:asciiTheme="majorHAnsi" w:hAnsiTheme="majorHAnsi"/>
          <w:sz w:val="24"/>
          <w:szCs w:val="24"/>
        </w:rPr>
        <w:t xml:space="preserve">On Main Street, there was </w:t>
      </w:r>
      <w:r w:rsidRPr="0000140E">
        <w:rPr>
          <w:rStyle w:val="st"/>
          <w:rFonts w:asciiTheme="majorHAnsi" w:hAnsiTheme="majorHAnsi"/>
          <w:sz w:val="24"/>
          <w:szCs w:val="24"/>
        </w:rPr>
        <w:t>a</w:t>
      </w:r>
      <w:r w:rsidRPr="0000140E">
        <w:rPr>
          <w:rStyle w:val="st"/>
          <w:rFonts w:asciiTheme="majorHAnsi" w:hAnsiTheme="majorHAnsi"/>
          <w:sz w:val="24"/>
          <w:szCs w:val="24"/>
        </w:rPr>
        <w:t xml:space="preserve"> slip in consumer confidence</w:t>
      </w:r>
      <w:r w:rsidRPr="0000140E">
        <w:rPr>
          <w:rStyle w:val="st"/>
          <w:rFonts w:asciiTheme="majorHAnsi" w:hAnsiTheme="majorHAnsi"/>
          <w:sz w:val="24"/>
          <w:szCs w:val="24"/>
        </w:rPr>
        <w:t>.</w:t>
      </w:r>
      <w:r w:rsidRPr="0000140E">
        <w:rPr>
          <w:rStyle w:val="st"/>
          <w:rFonts w:asciiTheme="majorHAnsi" w:hAnsiTheme="majorHAnsi"/>
          <w:sz w:val="24"/>
          <w:szCs w:val="24"/>
        </w:rPr>
        <w:t xml:space="preserve"> </w:t>
      </w:r>
      <w:r w:rsidRPr="0000140E">
        <w:rPr>
          <w:rStyle w:val="st"/>
          <w:rFonts w:asciiTheme="majorHAnsi" w:hAnsiTheme="majorHAnsi"/>
          <w:sz w:val="24"/>
          <w:szCs w:val="24"/>
        </w:rPr>
        <w:t xml:space="preserve">The Conference Board’s monthly index came in at 124.1 </w:t>
      </w:r>
      <w:r w:rsidRPr="0000140E">
        <w:rPr>
          <w:rStyle w:val="st"/>
          <w:rFonts w:asciiTheme="majorHAnsi" w:hAnsiTheme="majorHAnsi"/>
          <w:sz w:val="24"/>
          <w:szCs w:val="24"/>
        </w:rPr>
        <w:t xml:space="preserve">for March – a good reading, but well below the 131.4 mark of </w:t>
      </w:r>
      <w:r>
        <w:rPr>
          <w:rStyle w:val="st"/>
          <w:rFonts w:asciiTheme="majorHAnsi" w:hAnsiTheme="majorHAnsi"/>
          <w:sz w:val="24"/>
          <w:szCs w:val="24"/>
        </w:rPr>
        <w:t xml:space="preserve">a month </w:t>
      </w:r>
      <w:r w:rsidRPr="007349A0">
        <w:rPr>
          <w:rStyle w:val="st"/>
          <w:rFonts w:asciiTheme="majorHAnsi" w:hAnsiTheme="majorHAnsi"/>
          <w:sz w:val="24"/>
          <w:szCs w:val="24"/>
        </w:rPr>
        <w:t>earlier</w:t>
      </w:r>
      <w:r w:rsidRPr="007349A0">
        <w:rPr>
          <w:rStyle w:val="st"/>
          <w:rFonts w:asciiTheme="majorHAnsi" w:hAnsiTheme="majorHAnsi"/>
          <w:sz w:val="24"/>
          <w:szCs w:val="24"/>
        </w:rPr>
        <w:t xml:space="preserve">. </w:t>
      </w:r>
      <w:r w:rsidRPr="007349A0">
        <w:rPr>
          <w:rStyle w:val="st"/>
          <w:rFonts w:asciiTheme="majorHAnsi" w:hAnsiTheme="majorHAnsi"/>
          <w:sz w:val="24"/>
          <w:szCs w:val="24"/>
        </w:rPr>
        <w:t>The latest available data on c</w:t>
      </w:r>
      <w:r w:rsidRPr="007349A0">
        <w:rPr>
          <w:rStyle w:val="st"/>
          <w:rFonts w:asciiTheme="majorHAnsi" w:hAnsiTheme="majorHAnsi"/>
          <w:sz w:val="24"/>
          <w:szCs w:val="24"/>
        </w:rPr>
        <w:t>onsumer spending</w:t>
      </w:r>
      <w:r w:rsidRPr="007349A0">
        <w:rPr>
          <w:rStyle w:val="st"/>
          <w:rFonts w:asciiTheme="majorHAnsi" w:hAnsiTheme="majorHAnsi"/>
          <w:sz w:val="24"/>
          <w:szCs w:val="24"/>
        </w:rPr>
        <w:t xml:space="preserve"> showed a mere 0.1% gain in January.</w:t>
      </w:r>
      <w:r w:rsidRPr="007349A0">
        <w:rPr>
          <w:rStyle w:val="st"/>
          <w:rFonts w:asciiTheme="majorHAnsi" w:hAnsiTheme="majorHAnsi"/>
          <w:sz w:val="24"/>
          <w:szCs w:val="24"/>
          <w:vertAlign w:val="superscript"/>
        </w:rPr>
        <w:t>6</w:t>
      </w:r>
    </w:p>
    <w:bookmarkEnd w:id="0"/>
    <w:p w:rsidR="00DB7798" w:rsidRDefault="0020095A" w:rsidP="00946B0D">
      <w:pPr>
        <w:spacing w:line="276" w:lineRule="auto"/>
        <w:jc w:val="both"/>
        <w:rPr>
          <w:rStyle w:val="st"/>
          <w:rFonts w:asciiTheme="majorHAnsi" w:hAnsiTheme="majorHAnsi"/>
          <w:sz w:val="24"/>
          <w:szCs w:val="24"/>
        </w:rPr>
      </w:pPr>
      <w:r w:rsidRPr="00A90B15">
        <w:rPr>
          <w:rStyle w:val="st"/>
          <w:rFonts w:asciiTheme="majorHAnsi" w:hAnsiTheme="majorHAnsi"/>
          <w:sz w:val="24"/>
          <w:szCs w:val="24"/>
        </w:rPr>
        <w:t xml:space="preserve">A much-watched index tracking the U.S. manufacturing sector </w:t>
      </w:r>
      <w:r w:rsidRPr="00A90B15">
        <w:rPr>
          <w:rStyle w:val="st"/>
          <w:rFonts w:asciiTheme="majorHAnsi" w:hAnsiTheme="majorHAnsi"/>
          <w:sz w:val="24"/>
          <w:szCs w:val="24"/>
        </w:rPr>
        <w:t xml:space="preserve">showed solid growth, but a </w:t>
      </w:r>
      <w:r w:rsidRPr="00A90B15">
        <w:rPr>
          <w:rStyle w:val="st"/>
          <w:rFonts w:asciiTheme="majorHAnsi" w:hAnsiTheme="majorHAnsi"/>
          <w:sz w:val="24"/>
          <w:szCs w:val="24"/>
        </w:rPr>
        <w:t>slightly slower pace of business activity. The Institute for Supply Management’s purchasing manager index for the factory sector fell from 56.6 in January to 54.2 in February.</w:t>
      </w:r>
      <w:r w:rsidRPr="00DB7798">
        <w:rPr>
          <w:rStyle w:val="st"/>
          <w:rFonts w:asciiTheme="majorHAnsi" w:hAnsiTheme="majorHAnsi"/>
          <w:sz w:val="24"/>
          <w:szCs w:val="24"/>
          <w:vertAlign w:val="superscript"/>
        </w:rPr>
        <w:t>5</w:t>
      </w:r>
      <w:r>
        <w:rPr>
          <w:rStyle w:val="st"/>
          <w:rFonts w:asciiTheme="majorHAnsi" w:hAnsiTheme="majorHAnsi"/>
          <w:sz w:val="24"/>
          <w:szCs w:val="24"/>
        </w:rPr>
        <w:t xml:space="preserve"> </w:t>
      </w:r>
    </w:p>
    <w:p w:rsidR="00F26D5E" w:rsidRPr="00A90B15" w:rsidRDefault="0020095A" w:rsidP="00946B0D">
      <w:pPr>
        <w:spacing w:line="276" w:lineRule="auto"/>
        <w:jc w:val="both"/>
        <w:rPr>
          <w:rStyle w:val="st"/>
          <w:rFonts w:asciiTheme="majorHAnsi" w:hAnsiTheme="majorHAnsi"/>
          <w:sz w:val="24"/>
          <w:szCs w:val="24"/>
        </w:rPr>
      </w:pPr>
      <w:r>
        <w:rPr>
          <w:rStyle w:val="st"/>
          <w:rFonts w:asciiTheme="majorHAnsi" w:hAnsiTheme="majorHAnsi"/>
          <w:sz w:val="24"/>
          <w:szCs w:val="24"/>
        </w:rPr>
        <w:t>Last month</w:t>
      </w:r>
      <w:r>
        <w:rPr>
          <w:rStyle w:val="st"/>
          <w:rFonts w:asciiTheme="majorHAnsi" w:hAnsiTheme="majorHAnsi"/>
          <w:sz w:val="24"/>
          <w:szCs w:val="24"/>
        </w:rPr>
        <w:t>, the federal government downgraded its estimate of fourth</w:t>
      </w:r>
      <w:r>
        <w:rPr>
          <w:rStyle w:val="st"/>
          <w:rFonts w:asciiTheme="majorHAnsi" w:hAnsiTheme="majorHAnsi"/>
          <w:sz w:val="24"/>
          <w:szCs w:val="24"/>
        </w:rPr>
        <w:t>-</w:t>
      </w:r>
      <w:r>
        <w:rPr>
          <w:rStyle w:val="st"/>
          <w:rFonts w:asciiTheme="majorHAnsi" w:hAnsiTheme="majorHAnsi"/>
          <w:sz w:val="24"/>
          <w:szCs w:val="24"/>
        </w:rPr>
        <w:t>quarter g</w:t>
      </w:r>
      <w:r>
        <w:rPr>
          <w:rStyle w:val="st"/>
          <w:rFonts w:asciiTheme="majorHAnsi" w:hAnsiTheme="majorHAnsi"/>
          <w:sz w:val="24"/>
          <w:szCs w:val="24"/>
        </w:rPr>
        <w:t>ross domestic product. The final estimate was 2.2%, revised from 2.6%.</w:t>
      </w:r>
      <w:r>
        <w:rPr>
          <w:rStyle w:val="st"/>
          <w:rFonts w:asciiTheme="majorHAnsi" w:hAnsiTheme="majorHAnsi"/>
          <w:sz w:val="24"/>
          <w:szCs w:val="24"/>
          <w:vertAlign w:val="superscript"/>
        </w:rPr>
        <w:t>6</w:t>
      </w:r>
    </w:p>
    <w:p w:rsidR="003F06AB" w:rsidRPr="00DD38C0" w:rsidRDefault="0020095A" w:rsidP="003F06AB">
      <w:pPr>
        <w:spacing w:line="276" w:lineRule="auto"/>
        <w:jc w:val="both"/>
        <w:rPr>
          <w:rFonts w:asciiTheme="majorHAnsi" w:hAnsiTheme="majorHAnsi"/>
          <w:sz w:val="6"/>
          <w:szCs w:val="24"/>
        </w:rPr>
      </w:pPr>
    </w:p>
    <w:p w:rsidR="00775662" w:rsidRPr="00775662" w:rsidRDefault="0020095A" w:rsidP="00EE6BF2">
      <w:pPr>
        <w:spacing w:line="276" w:lineRule="auto"/>
        <w:jc w:val="both"/>
        <w:rPr>
          <w:rFonts w:asciiTheme="majorHAnsi" w:hAnsiTheme="majorHAnsi"/>
          <w:b/>
          <w:color w:val="3E7BB6"/>
          <w:sz w:val="28"/>
          <w:szCs w:val="24"/>
        </w:rPr>
      </w:pPr>
      <w:r w:rsidRPr="00775662">
        <w:rPr>
          <w:rFonts w:asciiTheme="majorHAnsi" w:hAnsiTheme="majorHAnsi"/>
          <w:b/>
          <w:color w:val="3E7BB6"/>
          <w:sz w:val="28"/>
          <w:szCs w:val="24"/>
        </w:rPr>
        <w:t>GLOBAL ECONOMIC HEALTH</w:t>
      </w:r>
    </w:p>
    <w:p w:rsidR="00142A27" w:rsidRPr="000F25CE" w:rsidRDefault="0020095A" w:rsidP="00142A27">
      <w:pPr>
        <w:spacing w:line="276" w:lineRule="auto"/>
        <w:jc w:val="both"/>
        <w:rPr>
          <w:rStyle w:val="st"/>
          <w:rFonts w:asciiTheme="majorHAnsi" w:hAnsiTheme="majorHAnsi"/>
          <w:sz w:val="24"/>
          <w:szCs w:val="24"/>
        </w:rPr>
      </w:pPr>
      <w:r w:rsidRPr="000F25CE">
        <w:rPr>
          <w:rStyle w:val="st"/>
          <w:rFonts w:asciiTheme="majorHAnsi" w:hAnsiTheme="majorHAnsi"/>
          <w:sz w:val="24"/>
          <w:szCs w:val="24"/>
        </w:rPr>
        <w:t xml:space="preserve">As March ended, a positive note was sounded in the trade negotiations between the U.S. and China. Secretary of the Treasury Steven Mnuchin tweeted that </w:t>
      </w:r>
      <w:r w:rsidRPr="000F25CE">
        <w:rPr>
          <w:rStyle w:val="st"/>
          <w:rFonts w:asciiTheme="majorHAnsi" w:hAnsiTheme="majorHAnsi"/>
          <w:sz w:val="24"/>
          <w:szCs w:val="24"/>
        </w:rPr>
        <w:t>“constructive” discussions were taking place, to be continued in April in Washington, D.C.</w:t>
      </w:r>
      <w:r w:rsidRPr="000F25CE">
        <w:rPr>
          <w:rStyle w:val="st"/>
          <w:rFonts w:asciiTheme="majorHAnsi" w:hAnsiTheme="majorHAnsi"/>
          <w:sz w:val="24"/>
          <w:szCs w:val="24"/>
          <w:vertAlign w:val="superscript"/>
        </w:rPr>
        <w:t>7</w:t>
      </w:r>
    </w:p>
    <w:p w:rsidR="00775662" w:rsidRPr="00BC5ADE" w:rsidRDefault="0020095A" w:rsidP="00EE6BF2">
      <w:pPr>
        <w:spacing w:line="276" w:lineRule="auto"/>
        <w:jc w:val="both"/>
        <w:rPr>
          <w:rFonts w:asciiTheme="majorHAnsi" w:hAnsiTheme="majorHAnsi"/>
          <w:sz w:val="24"/>
          <w:szCs w:val="24"/>
        </w:rPr>
      </w:pPr>
      <w:r w:rsidRPr="000F25CE">
        <w:rPr>
          <w:rFonts w:asciiTheme="majorHAnsi" w:hAnsiTheme="majorHAnsi"/>
          <w:sz w:val="24"/>
          <w:szCs w:val="24"/>
        </w:rPr>
        <w:t>The</w:t>
      </w:r>
      <w:r w:rsidRPr="000F25CE">
        <w:rPr>
          <w:rFonts w:asciiTheme="majorHAnsi" w:hAnsiTheme="majorHAnsi"/>
          <w:sz w:val="24"/>
          <w:szCs w:val="24"/>
        </w:rPr>
        <w:t xml:space="preserve"> Brexit</w:t>
      </w:r>
      <w:r w:rsidRPr="000F25CE">
        <w:rPr>
          <w:rFonts w:asciiTheme="majorHAnsi" w:hAnsiTheme="majorHAnsi"/>
          <w:sz w:val="24"/>
          <w:szCs w:val="24"/>
        </w:rPr>
        <w:t xml:space="preserve"> did not occur on March 29.</w:t>
      </w:r>
      <w:r w:rsidRPr="000F25CE">
        <w:rPr>
          <w:rFonts w:asciiTheme="majorHAnsi" w:hAnsiTheme="majorHAnsi"/>
          <w:sz w:val="24"/>
          <w:szCs w:val="24"/>
        </w:rPr>
        <w:t xml:space="preserve"> </w:t>
      </w:r>
      <w:r>
        <w:rPr>
          <w:rFonts w:asciiTheme="majorHAnsi" w:hAnsiTheme="majorHAnsi"/>
          <w:sz w:val="24"/>
          <w:szCs w:val="24"/>
        </w:rPr>
        <w:t>Instead, the United King</w:t>
      </w:r>
      <w:r w:rsidRPr="00610D78">
        <w:rPr>
          <w:rFonts w:asciiTheme="majorHAnsi" w:hAnsiTheme="majorHAnsi"/>
          <w:sz w:val="24"/>
          <w:szCs w:val="24"/>
        </w:rPr>
        <w:t>dom’s Parliament rejected Prime Minister Theresa May’s (</w:t>
      </w:r>
      <w:r w:rsidRPr="00BC5ADE">
        <w:rPr>
          <w:rFonts w:asciiTheme="majorHAnsi" w:hAnsiTheme="majorHAnsi"/>
          <w:sz w:val="24"/>
          <w:szCs w:val="24"/>
        </w:rPr>
        <w:t xml:space="preserve">revised) Brexit plan on that day, for a third </w:t>
      </w:r>
      <w:r w:rsidRPr="00BC5ADE">
        <w:rPr>
          <w:rFonts w:asciiTheme="majorHAnsi" w:hAnsiTheme="majorHAnsi"/>
          <w:sz w:val="24"/>
          <w:szCs w:val="24"/>
        </w:rPr>
        <w:t>time. T</w:t>
      </w:r>
      <w:r w:rsidRPr="00BC5ADE">
        <w:rPr>
          <w:rFonts w:asciiTheme="majorHAnsi" w:hAnsiTheme="majorHAnsi"/>
          <w:sz w:val="24"/>
          <w:szCs w:val="24"/>
        </w:rPr>
        <w:t xml:space="preserve">he European Union </w:t>
      </w:r>
      <w:r w:rsidRPr="00BC5ADE">
        <w:rPr>
          <w:rFonts w:asciiTheme="majorHAnsi" w:hAnsiTheme="majorHAnsi"/>
          <w:sz w:val="24"/>
          <w:szCs w:val="24"/>
        </w:rPr>
        <w:t xml:space="preserve">had earlier </w:t>
      </w:r>
      <w:r w:rsidRPr="00BC5ADE">
        <w:rPr>
          <w:rFonts w:asciiTheme="majorHAnsi" w:hAnsiTheme="majorHAnsi"/>
          <w:sz w:val="24"/>
          <w:szCs w:val="24"/>
        </w:rPr>
        <w:t>granted the United Kingdom a short-term extension of th</w:t>
      </w:r>
      <w:r w:rsidRPr="00BC5ADE">
        <w:rPr>
          <w:rFonts w:asciiTheme="majorHAnsi" w:hAnsiTheme="majorHAnsi"/>
          <w:sz w:val="24"/>
          <w:szCs w:val="24"/>
        </w:rPr>
        <w:t>e</w:t>
      </w:r>
      <w:r w:rsidRPr="00BC5ADE">
        <w:rPr>
          <w:rFonts w:asciiTheme="majorHAnsi" w:hAnsiTheme="majorHAnsi"/>
          <w:sz w:val="24"/>
          <w:szCs w:val="24"/>
        </w:rPr>
        <w:t xml:space="preserve"> </w:t>
      </w:r>
      <w:r w:rsidRPr="00BC5ADE">
        <w:rPr>
          <w:rFonts w:asciiTheme="majorHAnsi" w:hAnsiTheme="majorHAnsi"/>
          <w:sz w:val="24"/>
          <w:szCs w:val="24"/>
        </w:rPr>
        <w:t xml:space="preserve">Brexit </w:t>
      </w:r>
      <w:r w:rsidRPr="00BC5ADE">
        <w:rPr>
          <w:rFonts w:asciiTheme="majorHAnsi" w:hAnsiTheme="majorHAnsi"/>
          <w:sz w:val="24"/>
          <w:szCs w:val="24"/>
        </w:rPr>
        <w:t>deadline</w:t>
      </w:r>
      <w:r w:rsidRPr="00BC5ADE">
        <w:rPr>
          <w:rFonts w:asciiTheme="majorHAnsi" w:hAnsiTheme="majorHAnsi"/>
          <w:sz w:val="24"/>
          <w:szCs w:val="24"/>
        </w:rPr>
        <w:t>; t</w:t>
      </w:r>
      <w:r w:rsidRPr="00BC5ADE">
        <w:rPr>
          <w:rFonts w:asciiTheme="majorHAnsi" w:hAnsiTheme="majorHAnsi"/>
          <w:sz w:val="24"/>
          <w:szCs w:val="24"/>
        </w:rPr>
        <w:t xml:space="preserve">he </w:t>
      </w:r>
      <w:r w:rsidRPr="00BC5ADE">
        <w:rPr>
          <w:rFonts w:asciiTheme="majorHAnsi" w:hAnsiTheme="majorHAnsi"/>
          <w:sz w:val="24"/>
          <w:szCs w:val="24"/>
        </w:rPr>
        <w:t>revised</w:t>
      </w:r>
      <w:r w:rsidRPr="00BC5ADE">
        <w:rPr>
          <w:rFonts w:asciiTheme="majorHAnsi" w:hAnsiTheme="majorHAnsi"/>
          <w:sz w:val="24"/>
          <w:szCs w:val="24"/>
        </w:rPr>
        <w:t xml:space="preserve"> deadline, April 12, now looms large. </w:t>
      </w:r>
      <w:r w:rsidRPr="00BC5ADE">
        <w:rPr>
          <w:rFonts w:asciiTheme="majorHAnsi" w:hAnsiTheme="majorHAnsi"/>
          <w:sz w:val="24"/>
          <w:szCs w:val="24"/>
        </w:rPr>
        <w:t xml:space="preserve">If Parliament cannot agree on a Brexit deal at the start of this month, </w:t>
      </w:r>
      <w:r w:rsidRPr="00BC5ADE">
        <w:rPr>
          <w:rFonts w:asciiTheme="majorHAnsi" w:hAnsiTheme="majorHAnsi"/>
          <w:sz w:val="24"/>
          <w:szCs w:val="24"/>
        </w:rPr>
        <w:t xml:space="preserve">May </w:t>
      </w:r>
      <w:r w:rsidRPr="00BC5ADE">
        <w:rPr>
          <w:rFonts w:asciiTheme="majorHAnsi" w:hAnsiTheme="majorHAnsi"/>
          <w:sz w:val="24"/>
          <w:szCs w:val="24"/>
        </w:rPr>
        <w:t>will be left</w:t>
      </w:r>
      <w:r w:rsidRPr="00BC5ADE">
        <w:rPr>
          <w:rFonts w:asciiTheme="majorHAnsi" w:hAnsiTheme="majorHAnsi"/>
          <w:sz w:val="24"/>
          <w:szCs w:val="24"/>
        </w:rPr>
        <w:t xml:space="preserve"> two choices. She can try to carry out a “hard” Brexit by April 12, a move that has little </w:t>
      </w:r>
      <w:r>
        <w:rPr>
          <w:rFonts w:asciiTheme="majorHAnsi" w:hAnsiTheme="majorHAnsi"/>
          <w:sz w:val="24"/>
          <w:szCs w:val="24"/>
        </w:rPr>
        <w:t xml:space="preserve">apparent </w:t>
      </w:r>
      <w:r w:rsidRPr="00BC5ADE">
        <w:rPr>
          <w:rFonts w:asciiTheme="majorHAnsi" w:hAnsiTheme="majorHAnsi"/>
          <w:sz w:val="24"/>
          <w:szCs w:val="24"/>
        </w:rPr>
        <w:t>support in Parliament.</w:t>
      </w:r>
      <w:r w:rsidRPr="00BC5ADE">
        <w:rPr>
          <w:rFonts w:asciiTheme="majorHAnsi" w:hAnsiTheme="majorHAnsi"/>
          <w:sz w:val="24"/>
          <w:szCs w:val="24"/>
        </w:rPr>
        <w:t xml:space="preserve"> </w:t>
      </w:r>
      <w:r w:rsidRPr="00BC5ADE">
        <w:rPr>
          <w:rFonts w:asciiTheme="majorHAnsi" w:hAnsiTheme="majorHAnsi"/>
          <w:sz w:val="24"/>
          <w:szCs w:val="24"/>
        </w:rPr>
        <w:t>Alternately, she</w:t>
      </w:r>
      <w:r w:rsidRPr="00BC5ADE">
        <w:rPr>
          <w:rFonts w:asciiTheme="majorHAnsi" w:hAnsiTheme="majorHAnsi"/>
          <w:sz w:val="24"/>
          <w:szCs w:val="24"/>
        </w:rPr>
        <w:t xml:space="preserve"> </w:t>
      </w:r>
      <w:r w:rsidRPr="00BC5ADE">
        <w:rPr>
          <w:rFonts w:asciiTheme="majorHAnsi" w:hAnsiTheme="majorHAnsi"/>
          <w:sz w:val="24"/>
          <w:szCs w:val="24"/>
        </w:rPr>
        <w:t xml:space="preserve">can ask the E.U. to extend the </w:t>
      </w:r>
      <w:r>
        <w:rPr>
          <w:rFonts w:asciiTheme="majorHAnsi" w:hAnsiTheme="majorHAnsi"/>
          <w:sz w:val="24"/>
          <w:szCs w:val="24"/>
        </w:rPr>
        <w:t xml:space="preserve">Brexit </w:t>
      </w:r>
      <w:r w:rsidRPr="00BC5ADE">
        <w:rPr>
          <w:rFonts w:asciiTheme="majorHAnsi" w:hAnsiTheme="majorHAnsi"/>
          <w:sz w:val="24"/>
          <w:szCs w:val="24"/>
        </w:rPr>
        <w:t>deadline again</w:t>
      </w:r>
      <w:r w:rsidRPr="00BC5ADE">
        <w:rPr>
          <w:rFonts w:asciiTheme="majorHAnsi" w:hAnsiTheme="majorHAnsi"/>
          <w:sz w:val="24"/>
          <w:szCs w:val="24"/>
        </w:rPr>
        <w:t>, which is hardly a given.</w:t>
      </w:r>
      <w:r w:rsidRPr="00BC5ADE">
        <w:rPr>
          <w:rFonts w:asciiTheme="majorHAnsi" w:hAnsiTheme="majorHAnsi"/>
          <w:sz w:val="24"/>
          <w:szCs w:val="24"/>
          <w:vertAlign w:val="superscript"/>
        </w:rPr>
        <w:t>8</w:t>
      </w:r>
    </w:p>
    <w:p w:rsidR="00775662" w:rsidRPr="00184E7C" w:rsidRDefault="0020095A" w:rsidP="00A4481D">
      <w:pPr>
        <w:spacing w:line="276" w:lineRule="auto"/>
        <w:jc w:val="both"/>
        <w:rPr>
          <w:rFonts w:asciiTheme="majorHAnsi" w:hAnsiTheme="majorHAnsi"/>
          <w:sz w:val="24"/>
          <w:szCs w:val="24"/>
          <w:vertAlign w:val="superscript"/>
        </w:rPr>
      </w:pPr>
      <w:r w:rsidRPr="00184E7C">
        <w:rPr>
          <w:rFonts w:asciiTheme="majorHAnsi" w:hAnsiTheme="majorHAnsi"/>
          <w:sz w:val="24"/>
          <w:szCs w:val="24"/>
        </w:rPr>
        <w:lastRenderedPageBreak/>
        <w:t>On the continent, t</w:t>
      </w:r>
      <w:r w:rsidRPr="00184E7C">
        <w:rPr>
          <w:rFonts w:asciiTheme="majorHAnsi" w:hAnsiTheme="majorHAnsi"/>
          <w:sz w:val="24"/>
          <w:szCs w:val="24"/>
        </w:rPr>
        <w:t xml:space="preserve">he </w:t>
      </w:r>
      <w:r w:rsidRPr="00184E7C">
        <w:rPr>
          <w:rFonts w:asciiTheme="majorHAnsi" w:hAnsiTheme="majorHAnsi" w:cstheme="majorHAnsi"/>
          <w:sz w:val="24"/>
          <w:szCs w:val="24"/>
        </w:rPr>
        <w:t>European Centr</w:t>
      </w:r>
      <w:r w:rsidRPr="00184E7C">
        <w:rPr>
          <w:rFonts w:asciiTheme="majorHAnsi" w:hAnsiTheme="majorHAnsi" w:cstheme="majorHAnsi"/>
          <w:sz w:val="24"/>
          <w:szCs w:val="24"/>
        </w:rPr>
        <w:t xml:space="preserve">al Bank decided to bring back some of the stimulus measures it had announced an end to in 2018. In its latest policy announcement, the ECB said </w:t>
      </w:r>
      <w:r>
        <w:rPr>
          <w:rFonts w:asciiTheme="majorHAnsi" w:hAnsiTheme="majorHAnsi" w:cstheme="majorHAnsi"/>
          <w:sz w:val="24"/>
          <w:szCs w:val="24"/>
        </w:rPr>
        <w:t xml:space="preserve">that </w:t>
      </w:r>
      <w:r w:rsidRPr="00184E7C">
        <w:rPr>
          <w:rFonts w:asciiTheme="majorHAnsi" w:hAnsiTheme="majorHAnsi" w:cstheme="majorHAnsi"/>
          <w:sz w:val="24"/>
          <w:szCs w:val="24"/>
        </w:rPr>
        <w:t>it would hold off on raising interest rates until at least 2020. (</w:t>
      </w:r>
      <w:r>
        <w:rPr>
          <w:rFonts w:asciiTheme="majorHAnsi" w:hAnsiTheme="majorHAnsi" w:cstheme="majorHAnsi"/>
          <w:sz w:val="24"/>
          <w:szCs w:val="24"/>
        </w:rPr>
        <w:t>It</w:t>
      </w:r>
      <w:r w:rsidRPr="00184E7C">
        <w:rPr>
          <w:rFonts w:asciiTheme="majorHAnsi" w:hAnsiTheme="majorHAnsi" w:cstheme="majorHAnsi"/>
          <w:sz w:val="24"/>
          <w:szCs w:val="24"/>
        </w:rPr>
        <w:t xml:space="preserve"> last raised interest rates at the start of this decade.)</w:t>
      </w:r>
      <w:r w:rsidRPr="00184E7C">
        <w:rPr>
          <w:rFonts w:asciiTheme="majorHAnsi" w:hAnsiTheme="majorHAnsi" w:cstheme="majorHAnsi"/>
          <w:sz w:val="24"/>
          <w:szCs w:val="24"/>
        </w:rPr>
        <w:t xml:space="preserve"> Elsewhere, the Organization for Economic Cooperation and Development (OECD) forecast 2019 growth of less than 1% for the economies of Germany, Japan, and the United Kingdom, and </w:t>
      </w:r>
      <w:r>
        <w:rPr>
          <w:rFonts w:asciiTheme="majorHAnsi" w:hAnsiTheme="majorHAnsi" w:cstheme="majorHAnsi"/>
          <w:sz w:val="24"/>
          <w:szCs w:val="24"/>
        </w:rPr>
        <w:t xml:space="preserve">growth of </w:t>
      </w:r>
      <w:r w:rsidRPr="00184E7C">
        <w:rPr>
          <w:rFonts w:asciiTheme="majorHAnsi" w:hAnsiTheme="majorHAnsi" w:cstheme="majorHAnsi"/>
          <w:sz w:val="24"/>
          <w:szCs w:val="24"/>
        </w:rPr>
        <w:t>only 1% fo</w:t>
      </w:r>
      <w:r w:rsidRPr="00184E7C">
        <w:rPr>
          <w:rFonts w:asciiTheme="majorHAnsi" w:hAnsiTheme="majorHAnsi" w:cstheme="majorHAnsi"/>
          <w:sz w:val="24"/>
          <w:szCs w:val="24"/>
        </w:rPr>
        <w:t>r the 19-country Eurozone.</w:t>
      </w:r>
      <w:r w:rsidRPr="00184E7C">
        <w:rPr>
          <w:rFonts w:asciiTheme="majorHAnsi" w:hAnsiTheme="majorHAnsi" w:cstheme="majorHAnsi"/>
          <w:sz w:val="24"/>
          <w:szCs w:val="24"/>
          <w:vertAlign w:val="superscript"/>
        </w:rPr>
        <w:t>9</w:t>
      </w:r>
    </w:p>
    <w:p w:rsidR="00775662" w:rsidRPr="00DD38C0" w:rsidRDefault="0020095A" w:rsidP="00EE6BF2">
      <w:pPr>
        <w:spacing w:line="276" w:lineRule="auto"/>
        <w:jc w:val="both"/>
        <w:rPr>
          <w:rFonts w:asciiTheme="majorHAnsi" w:hAnsiTheme="majorHAnsi"/>
          <w:sz w:val="6"/>
          <w:szCs w:val="24"/>
        </w:rPr>
      </w:pPr>
    </w:p>
    <w:p w:rsidR="00B87E49" w:rsidRDefault="0020095A" w:rsidP="00946B0D">
      <w:pPr>
        <w:pStyle w:val="PlainText"/>
        <w:spacing w:after="160" w:line="276" w:lineRule="auto"/>
        <w:jc w:val="both"/>
        <w:rPr>
          <w:rFonts w:asciiTheme="majorHAnsi" w:hAnsiTheme="majorHAnsi"/>
          <w:b/>
          <w:color w:val="3E7BB6"/>
          <w:sz w:val="28"/>
          <w:szCs w:val="24"/>
        </w:rPr>
      </w:pPr>
      <w:r w:rsidRPr="00775662">
        <w:rPr>
          <w:rFonts w:asciiTheme="majorHAnsi" w:hAnsiTheme="majorHAnsi"/>
          <w:b/>
          <w:color w:val="3E7BB6"/>
          <w:sz w:val="28"/>
          <w:szCs w:val="24"/>
        </w:rPr>
        <w:t>WORLD MARKETS</w:t>
      </w:r>
    </w:p>
    <w:p w:rsidR="00E35A04" w:rsidRPr="0049521F" w:rsidRDefault="0020095A" w:rsidP="001C7166">
      <w:pPr>
        <w:pStyle w:val="PlainText"/>
        <w:spacing w:line="276" w:lineRule="auto"/>
        <w:jc w:val="both"/>
        <w:rPr>
          <w:rFonts w:asciiTheme="majorHAnsi" w:hAnsiTheme="majorHAnsi" w:cstheme="majorHAnsi"/>
          <w:sz w:val="24"/>
          <w:szCs w:val="24"/>
        </w:rPr>
      </w:pPr>
      <w:r w:rsidRPr="0049521F">
        <w:rPr>
          <w:rFonts w:asciiTheme="majorHAnsi" w:hAnsiTheme="majorHAnsi" w:cstheme="majorHAnsi"/>
          <w:sz w:val="24"/>
          <w:szCs w:val="24"/>
        </w:rPr>
        <w:t>Last month, s</w:t>
      </w:r>
      <w:r w:rsidRPr="0049521F">
        <w:rPr>
          <w:rFonts w:asciiTheme="majorHAnsi" w:hAnsiTheme="majorHAnsi" w:cstheme="majorHAnsi"/>
          <w:sz w:val="24"/>
          <w:szCs w:val="24"/>
        </w:rPr>
        <w:t xml:space="preserve">ome of the best-performing foreign indices were in the emerging markets. China’s Shanghai Composite advanced 5.09% in </w:t>
      </w:r>
      <w:r w:rsidRPr="0049521F">
        <w:rPr>
          <w:rFonts w:asciiTheme="majorHAnsi" w:hAnsiTheme="majorHAnsi" w:cstheme="majorHAnsi"/>
          <w:sz w:val="24"/>
          <w:szCs w:val="24"/>
        </w:rPr>
        <w:t>March</w:t>
      </w:r>
      <w:r w:rsidRPr="0049521F">
        <w:rPr>
          <w:rFonts w:asciiTheme="majorHAnsi" w:hAnsiTheme="majorHAnsi" w:cstheme="majorHAnsi"/>
          <w:sz w:val="24"/>
          <w:szCs w:val="24"/>
        </w:rPr>
        <w:t>, and India’s twin benchmarks outgained it: the Nifty 50 soared 7.70%</w:t>
      </w:r>
      <w:r>
        <w:rPr>
          <w:rFonts w:asciiTheme="majorHAnsi" w:hAnsiTheme="majorHAnsi" w:cstheme="majorHAnsi"/>
          <w:sz w:val="24"/>
          <w:szCs w:val="24"/>
        </w:rPr>
        <w:t>;</w:t>
      </w:r>
      <w:r w:rsidRPr="0049521F">
        <w:rPr>
          <w:rFonts w:asciiTheme="majorHAnsi" w:hAnsiTheme="majorHAnsi" w:cstheme="majorHAnsi"/>
          <w:sz w:val="24"/>
          <w:szCs w:val="24"/>
        </w:rPr>
        <w:t xml:space="preserve"> the Se</w:t>
      </w:r>
      <w:r w:rsidRPr="0049521F">
        <w:rPr>
          <w:rFonts w:asciiTheme="majorHAnsi" w:hAnsiTheme="majorHAnsi" w:cstheme="majorHAnsi"/>
          <w:sz w:val="24"/>
          <w:szCs w:val="24"/>
        </w:rPr>
        <w:t>nsex</w:t>
      </w:r>
      <w:r>
        <w:rPr>
          <w:rFonts w:asciiTheme="majorHAnsi" w:hAnsiTheme="majorHAnsi" w:cstheme="majorHAnsi"/>
          <w:sz w:val="24"/>
          <w:szCs w:val="24"/>
        </w:rPr>
        <w:t>,</w:t>
      </w:r>
      <w:r w:rsidRPr="0049521F">
        <w:rPr>
          <w:rFonts w:asciiTheme="majorHAnsi" w:hAnsiTheme="majorHAnsi" w:cstheme="majorHAnsi"/>
          <w:sz w:val="24"/>
          <w:szCs w:val="24"/>
        </w:rPr>
        <w:t xml:space="preserve"> 7.82%.</w:t>
      </w:r>
      <w:r w:rsidRPr="0049521F">
        <w:rPr>
          <w:rFonts w:asciiTheme="majorHAnsi" w:hAnsiTheme="majorHAnsi" w:cstheme="majorHAnsi"/>
          <w:sz w:val="24"/>
          <w:szCs w:val="24"/>
        </w:rPr>
        <w:t xml:space="preserve"> Interestingly, the United Kingdom’s FTSE 100 rose 2.89%; France’s CAC 40 added 2.10%. Taiwan’s T</w:t>
      </w:r>
      <w:r w:rsidRPr="0049521F">
        <w:rPr>
          <w:rFonts w:asciiTheme="majorHAnsi" w:hAnsiTheme="majorHAnsi" w:cstheme="majorHAnsi"/>
          <w:sz w:val="24"/>
          <w:szCs w:val="24"/>
        </w:rPr>
        <w:t>W</w:t>
      </w:r>
      <w:r w:rsidRPr="0049521F">
        <w:rPr>
          <w:rFonts w:asciiTheme="majorHAnsi" w:hAnsiTheme="majorHAnsi" w:cstheme="majorHAnsi"/>
          <w:sz w:val="24"/>
          <w:szCs w:val="24"/>
        </w:rPr>
        <w:t>SE 50 improved 2.19%. Two other indices were basically flat for the month: the German DAX eked out a 0.09% advance</w:t>
      </w:r>
      <w:r>
        <w:rPr>
          <w:rFonts w:asciiTheme="majorHAnsi" w:hAnsiTheme="majorHAnsi" w:cstheme="majorHAnsi"/>
          <w:sz w:val="24"/>
          <w:szCs w:val="24"/>
        </w:rPr>
        <w:t>;</w:t>
      </w:r>
      <w:r w:rsidRPr="0049521F">
        <w:rPr>
          <w:rFonts w:asciiTheme="majorHAnsi" w:hAnsiTheme="majorHAnsi" w:cstheme="majorHAnsi"/>
          <w:sz w:val="24"/>
          <w:szCs w:val="24"/>
        </w:rPr>
        <w:t xml:space="preserve"> the Australian All Ordinaries</w:t>
      </w:r>
      <w:r>
        <w:rPr>
          <w:rFonts w:asciiTheme="majorHAnsi" w:hAnsiTheme="majorHAnsi" w:cstheme="majorHAnsi"/>
          <w:sz w:val="24"/>
          <w:szCs w:val="24"/>
        </w:rPr>
        <w:t>,</w:t>
      </w:r>
      <w:r w:rsidRPr="0049521F">
        <w:rPr>
          <w:rFonts w:asciiTheme="majorHAnsi" w:hAnsiTheme="majorHAnsi" w:cstheme="majorHAnsi"/>
          <w:sz w:val="24"/>
          <w:szCs w:val="24"/>
        </w:rPr>
        <w:t xml:space="preserve"> a 0.14% gain. </w:t>
      </w:r>
      <w:r w:rsidRPr="0049521F">
        <w:rPr>
          <w:rFonts w:asciiTheme="majorHAnsi" w:hAnsiTheme="majorHAnsi" w:cstheme="majorHAnsi"/>
          <w:sz w:val="24"/>
          <w:szCs w:val="24"/>
        </w:rPr>
        <w:t xml:space="preserve">MSCI’s Emerging Markets and World indexes respectively improved 0.68% and 1.05%. </w:t>
      </w:r>
      <w:r w:rsidRPr="0049521F">
        <w:rPr>
          <w:rFonts w:asciiTheme="majorHAnsi" w:hAnsiTheme="majorHAnsi" w:cstheme="majorHAnsi"/>
          <w:sz w:val="24"/>
          <w:szCs w:val="24"/>
        </w:rPr>
        <w:t>Three indices took notable losses:</w:t>
      </w:r>
      <w:r w:rsidRPr="0049521F">
        <w:rPr>
          <w:rFonts w:asciiTheme="majorHAnsi" w:hAnsiTheme="majorHAnsi" w:cstheme="majorHAnsi"/>
          <w:sz w:val="24"/>
          <w:szCs w:val="24"/>
        </w:rPr>
        <w:t xml:space="preserve"> </w:t>
      </w:r>
      <w:r w:rsidRPr="0049521F">
        <w:rPr>
          <w:rFonts w:asciiTheme="majorHAnsi" w:hAnsiTheme="majorHAnsi" w:cstheme="majorHAnsi"/>
          <w:sz w:val="24"/>
          <w:szCs w:val="24"/>
        </w:rPr>
        <w:t xml:space="preserve">South Korea’s Kospi lost 2.49%, </w:t>
      </w:r>
      <w:r w:rsidRPr="0049521F">
        <w:rPr>
          <w:rFonts w:asciiTheme="majorHAnsi" w:hAnsiTheme="majorHAnsi" w:cstheme="majorHAnsi"/>
          <w:sz w:val="24"/>
          <w:szCs w:val="24"/>
        </w:rPr>
        <w:t xml:space="preserve">Malaysia’s KLSE Composite fell 3.75%, </w:t>
      </w:r>
      <w:r w:rsidRPr="0049521F">
        <w:rPr>
          <w:rFonts w:asciiTheme="majorHAnsi" w:hAnsiTheme="majorHAnsi" w:cstheme="majorHAnsi"/>
          <w:sz w:val="24"/>
          <w:szCs w:val="24"/>
        </w:rPr>
        <w:t>and Argentina’s Merval retreated 4.62%.</w:t>
      </w:r>
      <w:r w:rsidRPr="0049521F">
        <w:rPr>
          <w:rFonts w:asciiTheme="majorHAnsi" w:hAnsiTheme="majorHAnsi" w:cstheme="majorHAnsi"/>
          <w:sz w:val="24"/>
          <w:szCs w:val="24"/>
          <w:vertAlign w:val="superscript"/>
        </w:rPr>
        <w:t>1</w:t>
      </w:r>
      <w:r w:rsidRPr="0049521F">
        <w:rPr>
          <w:rFonts w:asciiTheme="majorHAnsi" w:hAnsiTheme="majorHAnsi" w:cstheme="majorHAnsi"/>
          <w:sz w:val="24"/>
          <w:szCs w:val="24"/>
          <w:vertAlign w:val="superscript"/>
        </w:rPr>
        <w:t>0</w:t>
      </w:r>
      <w:r w:rsidRPr="0049521F">
        <w:rPr>
          <w:rFonts w:asciiTheme="majorHAnsi" w:hAnsiTheme="majorHAnsi" w:cstheme="majorHAnsi"/>
          <w:sz w:val="24"/>
          <w:szCs w:val="24"/>
          <w:vertAlign w:val="superscript"/>
        </w:rPr>
        <w:t>,1</w:t>
      </w:r>
      <w:r w:rsidRPr="0049521F">
        <w:rPr>
          <w:rFonts w:asciiTheme="majorHAnsi" w:hAnsiTheme="majorHAnsi" w:cstheme="majorHAnsi"/>
          <w:sz w:val="24"/>
          <w:szCs w:val="24"/>
          <w:vertAlign w:val="superscript"/>
        </w:rPr>
        <w:t>1</w:t>
      </w:r>
    </w:p>
    <w:p w:rsidR="00C22332" w:rsidRPr="00DD38C0" w:rsidRDefault="0020095A" w:rsidP="00C22332">
      <w:pPr>
        <w:spacing w:line="276" w:lineRule="auto"/>
        <w:jc w:val="both"/>
        <w:rPr>
          <w:rFonts w:asciiTheme="majorHAnsi" w:hAnsiTheme="majorHAnsi"/>
          <w:sz w:val="6"/>
          <w:szCs w:val="24"/>
        </w:rPr>
      </w:pPr>
    </w:p>
    <w:p w:rsidR="00DD38C0" w:rsidRPr="00775662" w:rsidRDefault="0020095A" w:rsidP="00946B0D">
      <w:pPr>
        <w:spacing w:line="276" w:lineRule="auto"/>
        <w:jc w:val="both"/>
        <w:rPr>
          <w:rFonts w:asciiTheme="majorHAnsi" w:hAnsiTheme="majorHAnsi"/>
          <w:b/>
          <w:color w:val="3E7BB6"/>
          <w:sz w:val="28"/>
          <w:szCs w:val="24"/>
        </w:rPr>
      </w:pPr>
      <w:r>
        <w:rPr>
          <w:rFonts w:asciiTheme="majorHAnsi" w:hAnsiTheme="majorHAnsi"/>
          <w:b/>
          <w:color w:val="3E7BB6"/>
          <w:sz w:val="28"/>
          <w:szCs w:val="24"/>
        </w:rPr>
        <w:t>COMMODITIES MARKETS</w:t>
      </w:r>
    </w:p>
    <w:p w:rsidR="001C7166" w:rsidRPr="004F7D0F" w:rsidRDefault="0020095A" w:rsidP="004F7D0F">
      <w:pPr>
        <w:pStyle w:val="NormalWeb"/>
        <w:spacing w:before="0" w:beforeAutospacing="0" w:after="0" w:afterAutospacing="0" w:line="276" w:lineRule="auto"/>
        <w:jc w:val="both"/>
        <w:rPr>
          <w:rFonts w:asciiTheme="majorHAnsi" w:hAnsiTheme="majorHAnsi" w:cstheme="majorHAnsi"/>
        </w:rPr>
      </w:pPr>
      <w:r w:rsidRPr="001C7166">
        <w:rPr>
          <w:rStyle w:val="st"/>
          <w:rFonts w:asciiTheme="majorHAnsi" w:hAnsiTheme="majorHAnsi" w:cstheme="majorHAnsi"/>
        </w:rPr>
        <w:t xml:space="preserve">Unleaded gasoline </w:t>
      </w:r>
      <w:r w:rsidRPr="001C7166">
        <w:rPr>
          <w:rStyle w:val="st"/>
          <w:rFonts w:asciiTheme="majorHAnsi" w:hAnsiTheme="majorHAnsi" w:cstheme="majorHAnsi"/>
        </w:rPr>
        <w:t>had another great month</w:t>
      </w:r>
      <w:r w:rsidRPr="001C7166">
        <w:rPr>
          <w:rStyle w:val="st"/>
          <w:rFonts w:asciiTheme="majorHAnsi" w:hAnsiTheme="majorHAnsi" w:cstheme="majorHAnsi"/>
        </w:rPr>
        <w:t>, rising 1</w:t>
      </w:r>
      <w:r w:rsidRPr="001C7166">
        <w:rPr>
          <w:rStyle w:val="st"/>
          <w:rFonts w:asciiTheme="majorHAnsi" w:hAnsiTheme="majorHAnsi" w:cstheme="majorHAnsi"/>
        </w:rPr>
        <w:t xml:space="preserve">4.26%. That said, all eyes were on oil. WTI crude regained the $60 level, </w:t>
      </w:r>
      <w:r w:rsidRPr="004F7D0F">
        <w:rPr>
          <w:rStyle w:val="st"/>
          <w:rFonts w:asciiTheme="majorHAnsi" w:hAnsiTheme="majorHAnsi" w:cstheme="majorHAnsi"/>
        </w:rPr>
        <w:t>advancing another 5.12% in March and wrapping up the month at a price of</w:t>
      </w:r>
      <w:r w:rsidRPr="004F7D0F">
        <w:rPr>
          <w:rFonts w:asciiTheme="majorHAnsi" w:hAnsiTheme="majorHAnsi" w:cstheme="majorHAnsi"/>
        </w:rPr>
        <w:t xml:space="preserve"> $60.18 on the New York Mercantile Exchange. In contrast, natural gas lost 4.77% in March</w:t>
      </w:r>
      <w:r>
        <w:rPr>
          <w:rFonts w:asciiTheme="majorHAnsi" w:hAnsiTheme="majorHAnsi" w:cstheme="majorHAnsi"/>
        </w:rPr>
        <w:t>;</w:t>
      </w:r>
      <w:r w:rsidRPr="004F7D0F">
        <w:rPr>
          <w:rFonts w:asciiTheme="majorHAnsi" w:hAnsiTheme="majorHAnsi" w:cstheme="majorHAnsi"/>
        </w:rPr>
        <w:t xml:space="preserve"> heating oil</w:t>
      </w:r>
      <w:r>
        <w:rPr>
          <w:rFonts w:asciiTheme="majorHAnsi" w:hAnsiTheme="majorHAnsi" w:cstheme="majorHAnsi"/>
        </w:rPr>
        <w:t>,</w:t>
      </w:r>
      <w:r w:rsidRPr="004F7D0F">
        <w:rPr>
          <w:rFonts w:asciiTheme="majorHAnsi" w:hAnsiTheme="majorHAnsi" w:cstheme="majorHAnsi"/>
        </w:rPr>
        <w:t xml:space="preserve"> 2.91%.</w:t>
      </w:r>
      <w:r w:rsidRPr="004F7D0F">
        <w:rPr>
          <w:rFonts w:asciiTheme="majorHAnsi" w:hAnsiTheme="majorHAnsi" w:cstheme="majorHAnsi"/>
          <w:vertAlign w:val="superscript"/>
        </w:rPr>
        <w:t>12</w:t>
      </w:r>
    </w:p>
    <w:p w:rsidR="001C7166" w:rsidRPr="001C7166" w:rsidRDefault="0020095A" w:rsidP="004F7D0F">
      <w:pPr>
        <w:spacing w:after="0" w:line="276" w:lineRule="auto"/>
        <w:rPr>
          <w:rFonts w:asciiTheme="majorHAnsi" w:eastAsia="Times New Roman" w:hAnsiTheme="majorHAnsi" w:cstheme="majorHAnsi"/>
          <w:sz w:val="24"/>
          <w:szCs w:val="24"/>
        </w:rPr>
      </w:pPr>
    </w:p>
    <w:p w:rsidR="001B3C06" w:rsidRPr="004F7D0F" w:rsidRDefault="0020095A" w:rsidP="004F7D0F">
      <w:pPr>
        <w:spacing w:after="0" w:line="276" w:lineRule="auto"/>
        <w:rPr>
          <w:rStyle w:val="st"/>
          <w:rFonts w:asciiTheme="majorHAnsi" w:eastAsia="Times New Roman" w:hAnsiTheme="majorHAnsi" w:cstheme="majorHAnsi"/>
          <w:sz w:val="24"/>
          <w:szCs w:val="24"/>
        </w:rPr>
      </w:pPr>
      <w:r w:rsidRPr="001C7166">
        <w:rPr>
          <w:rFonts w:asciiTheme="majorHAnsi" w:eastAsia="Times New Roman" w:hAnsiTheme="majorHAnsi" w:cstheme="majorHAnsi"/>
          <w:color w:val="000000"/>
          <w:sz w:val="24"/>
          <w:szCs w:val="24"/>
        </w:rPr>
        <w:t>The</w:t>
      </w:r>
      <w:r w:rsidRPr="004F7D0F">
        <w:rPr>
          <w:rFonts w:asciiTheme="majorHAnsi" w:eastAsia="Times New Roman" w:hAnsiTheme="majorHAnsi" w:cstheme="majorHAnsi"/>
          <w:color w:val="000000"/>
          <w:sz w:val="24"/>
          <w:szCs w:val="24"/>
        </w:rPr>
        <w:t xml:space="preserve"> U.S. Dollar Index improved 1.09% last month. All four major metals retreated</w:t>
      </w:r>
      <w:r w:rsidRPr="004F7D0F">
        <w:rPr>
          <w:rFonts w:asciiTheme="majorHAnsi" w:eastAsia="Times New Roman" w:hAnsiTheme="majorHAnsi" w:cstheme="majorHAnsi"/>
          <w:sz w:val="24"/>
          <w:szCs w:val="24"/>
        </w:rPr>
        <w:t>: gold took a 1.65% loss, silver fell 2.89%, p</w:t>
      </w:r>
      <w:r w:rsidRPr="001C7166">
        <w:rPr>
          <w:rFonts w:asciiTheme="majorHAnsi" w:eastAsia="Times New Roman" w:hAnsiTheme="majorHAnsi" w:cstheme="majorHAnsi"/>
          <w:sz w:val="24"/>
          <w:szCs w:val="24"/>
        </w:rPr>
        <w:t>latinum retreate</w:t>
      </w:r>
      <w:r w:rsidRPr="001C7166">
        <w:rPr>
          <w:rFonts w:asciiTheme="majorHAnsi" w:eastAsia="Times New Roman" w:hAnsiTheme="majorHAnsi" w:cstheme="majorHAnsi"/>
          <w:sz w:val="24"/>
          <w:szCs w:val="24"/>
        </w:rPr>
        <w:t>d 2.77%,</w:t>
      </w:r>
      <w:r w:rsidRPr="004F7D0F">
        <w:rPr>
          <w:rFonts w:asciiTheme="majorHAnsi" w:eastAsia="Times New Roman" w:hAnsiTheme="majorHAnsi" w:cstheme="majorHAnsi"/>
          <w:sz w:val="24"/>
          <w:szCs w:val="24"/>
        </w:rPr>
        <w:t xml:space="preserve"> and</w:t>
      </w:r>
      <w:r w:rsidRPr="001C7166">
        <w:rPr>
          <w:rFonts w:asciiTheme="majorHAnsi" w:eastAsia="Times New Roman" w:hAnsiTheme="majorHAnsi" w:cstheme="majorHAnsi"/>
          <w:sz w:val="24"/>
          <w:szCs w:val="24"/>
        </w:rPr>
        <w:t xml:space="preserve"> copper </w:t>
      </w:r>
      <w:r w:rsidRPr="004F7D0F">
        <w:rPr>
          <w:rFonts w:asciiTheme="majorHAnsi" w:eastAsia="Times New Roman" w:hAnsiTheme="majorHAnsi" w:cstheme="majorHAnsi"/>
          <w:sz w:val="24"/>
          <w:szCs w:val="24"/>
        </w:rPr>
        <w:t xml:space="preserve">ceded </w:t>
      </w:r>
      <w:r w:rsidRPr="001C7166">
        <w:rPr>
          <w:rFonts w:asciiTheme="majorHAnsi" w:eastAsia="Times New Roman" w:hAnsiTheme="majorHAnsi" w:cstheme="majorHAnsi"/>
          <w:sz w:val="24"/>
          <w:szCs w:val="24"/>
        </w:rPr>
        <w:t>0.56%</w:t>
      </w:r>
      <w:r w:rsidRPr="004F7D0F">
        <w:rPr>
          <w:rFonts w:asciiTheme="majorHAnsi" w:eastAsia="Times New Roman" w:hAnsiTheme="majorHAnsi" w:cstheme="majorHAnsi"/>
          <w:sz w:val="24"/>
          <w:szCs w:val="24"/>
        </w:rPr>
        <w:t>.</w:t>
      </w:r>
      <w:r w:rsidRPr="001C7166">
        <w:rPr>
          <w:rFonts w:asciiTheme="majorHAnsi" w:eastAsia="Times New Roman" w:hAnsiTheme="majorHAnsi" w:cstheme="majorHAnsi"/>
          <w:sz w:val="24"/>
          <w:szCs w:val="24"/>
        </w:rPr>
        <w:t xml:space="preserve"> </w:t>
      </w:r>
      <w:r w:rsidRPr="004F7D0F">
        <w:rPr>
          <w:rFonts w:asciiTheme="majorHAnsi" w:eastAsia="Times New Roman" w:hAnsiTheme="majorHAnsi" w:cstheme="majorHAnsi"/>
          <w:sz w:val="24"/>
          <w:szCs w:val="24"/>
        </w:rPr>
        <w:t>At the closing bell on March 29, an ounce of g</w:t>
      </w:r>
      <w:r w:rsidRPr="001C7166">
        <w:rPr>
          <w:rFonts w:asciiTheme="majorHAnsi" w:eastAsia="Times New Roman" w:hAnsiTheme="majorHAnsi" w:cstheme="majorHAnsi"/>
          <w:sz w:val="24"/>
          <w:szCs w:val="24"/>
        </w:rPr>
        <w:t xml:space="preserve">old </w:t>
      </w:r>
      <w:r w:rsidRPr="004F7D0F">
        <w:rPr>
          <w:rFonts w:asciiTheme="majorHAnsi" w:eastAsia="Times New Roman" w:hAnsiTheme="majorHAnsi" w:cstheme="majorHAnsi"/>
          <w:sz w:val="24"/>
          <w:szCs w:val="24"/>
        </w:rPr>
        <w:t>was worth</w:t>
      </w:r>
      <w:r w:rsidRPr="001C7166">
        <w:rPr>
          <w:rFonts w:asciiTheme="majorHAnsi" w:eastAsia="Times New Roman" w:hAnsiTheme="majorHAnsi" w:cstheme="majorHAnsi"/>
          <w:sz w:val="24"/>
          <w:szCs w:val="24"/>
        </w:rPr>
        <w:t xml:space="preserve"> $1,290.80</w:t>
      </w:r>
      <w:r w:rsidRPr="004F7D0F">
        <w:rPr>
          <w:rFonts w:asciiTheme="majorHAnsi" w:eastAsia="Times New Roman" w:hAnsiTheme="majorHAnsi" w:cstheme="majorHAnsi"/>
          <w:sz w:val="24"/>
          <w:szCs w:val="24"/>
        </w:rPr>
        <w:t xml:space="preserve"> on the Commodity Exchange of the NYMEX. The March</w:t>
      </w:r>
      <w:r w:rsidRPr="001C7166">
        <w:rPr>
          <w:rFonts w:asciiTheme="majorHAnsi" w:eastAsia="Times New Roman" w:hAnsiTheme="majorHAnsi" w:cstheme="majorHAnsi"/>
          <w:sz w:val="24"/>
          <w:szCs w:val="24"/>
        </w:rPr>
        <w:t xml:space="preserve"> </w:t>
      </w:r>
      <w:r w:rsidRPr="004F7D0F">
        <w:rPr>
          <w:rFonts w:asciiTheme="majorHAnsi" w:eastAsia="Times New Roman" w:hAnsiTheme="majorHAnsi" w:cstheme="majorHAnsi"/>
          <w:sz w:val="24"/>
          <w:szCs w:val="24"/>
        </w:rPr>
        <w:t>gains among major crops:</w:t>
      </w:r>
      <w:r w:rsidRPr="001C7166">
        <w:rPr>
          <w:rFonts w:asciiTheme="majorHAnsi" w:eastAsia="Times New Roman" w:hAnsiTheme="majorHAnsi" w:cstheme="majorHAnsi"/>
          <w:sz w:val="24"/>
          <w:szCs w:val="24"/>
        </w:rPr>
        <w:t xml:space="preserve"> cotton</w:t>
      </w:r>
      <w:r w:rsidRPr="004F7D0F">
        <w:rPr>
          <w:rFonts w:asciiTheme="majorHAnsi" w:eastAsia="Times New Roman" w:hAnsiTheme="majorHAnsi" w:cstheme="majorHAnsi"/>
          <w:sz w:val="24"/>
          <w:szCs w:val="24"/>
        </w:rPr>
        <w:t>,</w:t>
      </w:r>
      <w:r w:rsidRPr="001C7166">
        <w:rPr>
          <w:rFonts w:asciiTheme="majorHAnsi" w:eastAsia="Times New Roman" w:hAnsiTheme="majorHAnsi" w:cstheme="majorHAnsi"/>
          <w:sz w:val="24"/>
          <w:szCs w:val="24"/>
        </w:rPr>
        <w:t xml:space="preserve"> 4.19%</w:t>
      </w:r>
      <w:r w:rsidRPr="004F7D0F">
        <w:rPr>
          <w:rFonts w:asciiTheme="majorHAnsi" w:eastAsia="Times New Roman" w:hAnsiTheme="majorHAnsi" w:cstheme="majorHAnsi"/>
          <w:sz w:val="24"/>
          <w:szCs w:val="24"/>
        </w:rPr>
        <w:t>;</w:t>
      </w:r>
      <w:r w:rsidRPr="001C7166">
        <w:rPr>
          <w:rFonts w:asciiTheme="majorHAnsi" w:eastAsia="Times New Roman" w:hAnsiTheme="majorHAnsi" w:cstheme="majorHAnsi"/>
          <w:sz w:val="24"/>
          <w:szCs w:val="24"/>
        </w:rPr>
        <w:t xml:space="preserve"> cocoa</w:t>
      </w:r>
      <w:r w:rsidRPr="004F7D0F">
        <w:rPr>
          <w:rFonts w:asciiTheme="majorHAnsi" w:eastAsia="Times New Roman" w:hAnsiTheme="majorHAnsi" w:cstheme="majorHAnsi"/>
          <w:sz w:val="24"/>
          <w:szCs w:val="24"/>
        </w:rPr>
        <w:t>,</w:t>
      </w:r>
      <w:r w:rsidRPr="001C7166">
        <w:rPr>
          <w:rFonts w:asciiTheme="majorHAnsi" w:eastAsia="Times New Roman" w:hAnsiTheme="majorHAnsi" w:cstheme="majorHAnsi"/>
          <w:sz w:val="24"/>
          <w:szCs w:val="24"/>
        </w:rPr>
        <w:t xml:space="preserve"> 2.14%</w:t>
      </w:r>
      <w:r w:rsidRPr="004F7D0F">
        <w:rPr>
          <w:rFonts w:asciiTheme="majorHAnsi" w:eastAsia="Times New Roman" w:hAnsiTheme="majorHAnsi" w:cstheme="majorHAnsi"/>
          <w:sz w:val="24"/>
          <w:szCs w:val="24"/>
        </w:rPr>
        <w:t>;</w:t>
      </w:r>
      <w:r w:rsidRPr="001C7166">
        <w:rPr>
          <w:rFonts w:asciiTheme="majorHAnsi" w:eastAsia="Times New Roman" w:hAnsiTheme="majorHAnsi" w:cstheme="majorHAnsi"/>
          <w:sz w:val="24"/>
          <w:szCs w:val="24"/>
        </w:rPr>
        <w:t xml:space="preserve"> wheat</w:t>
      </w:r>
      <w:r w:rsidRPr="004F7D0F">
        <w:rPr>
          <w:rFonts w:asciiTheme="majorHAnsi" w:eastAsia="Times New Roman" w:hAnsiTheme="majorHAnsi" w:cstheme="majorHAnsi"/>
          <w:sz w:val="24"/>
          <w:szCs w:val="24"/>
        </w:rPr>
        <w:t>,</w:t>
      </w:r>
      <w:r w:rsidRPr="001C7166">
        <w:rPr>
          <w:rFonts w:asciiTheme="majorHAnsi" w:eastAsia="Times New Roman" w:hAnsiTheme="majorHAnsi" w:cstheme="majorHAnsi"/>
          <w:sz w:val="24"/>
          <w:szCs w:val="24"/>
        </w:rPr>
        <w:t xml:space="preserve"> 1.44%</w:t>
      </w:r>
      <w:r w:rsidRPr="004F7D0F">
        <w:rPr>
          <w:rFonts w:asciiTheme="majorHAnsi" w:eastAsia="Times New Roman" w:hAnsiTheme="majorHAnsi" w:cstheme="majorHAnsi"/>
          <w:sz w:val="24"/>
          <w:szCs w:val="24"/>
        </w:rPr>
        <w:t>. The March losses:</w:t>
      </w:r>
      <w:r w:rsidRPr="001C7166">
        <w:rPr>
          <w:rFonts w:asciiTheme="majorHAnsi" w:eastAsia="Times New Roman" w:hAnsiTheme="majorHAnsi" w:cstheme="majorHAnsi"/>
          <w:sz w:val="24"/>
          <w:szCs w:val="24"/>
        </w:rPr>
        <w:t xml:space="preserve"> coffee</w:t>
      </w:r>
      <w:r w:rsidRPr="004F7D0F">
        <w:rPr>
          <w:rFonts w:asciiTheme="majorHAnsi" w:eastAsia="Times New Roman" w:hAnsiTheme="majorHAnsi" w:cstheme="majorHAnsi"/>
          <w:sz w:val="24"/>
          <w:szCs w:val="24"/>
        </w:rPr>
        <w:t>,</w:t>
      </w:r>
      <w:r w:rsidRPr="001C7166">
        <w:rPr>
          <w:rFonts w:asciiTheme="majorHAnsi" w:eastAsia="Times New Roman" w:hAnsiTheme="majorHAnsi" w:cstheme="majorHAnsi"/>
          <w:sz w:val="24"/>
          <w:szCs w:val="24"/>
        </w:rPr>
        <w:t xml:space="preserve"> 1.20%</w:t>
      </w:r>
      <w:r w:rsidRPr="004F7D0F">
        <w:rPr>
          <w:rFonts w:asciiTheme="majorHAnsi" w:eastAsia="Times New Roman" w:hAnsiTheme="majorHAnsi" w:cstheme="majorHAnsi"/>
          <w:sz w:val="24"/>
          <w:szCs w:val="24"/>
        </w:rPr>
        <w:t>;</w:t>
      </w:r>
      <w:r w:rsidRPr="001C7166">
        <w:rPr>
          <w:rFonts w:asciiTheme="majorHAnsi" w:eastAsia="Times New Roman" w:hAnsiTheme="majorHAnsi" w:cstheme="majorHAnsi"/>
          <w:sz w:val="24"/>
          <w:szCs w:val="24"/>
        </w:rPr>
        <w:t xml:space="preserve"> corn</w:t>
      </w:r>
      <w:r w:rsidRPr="004F7D0F">
        <w:rPr>
          <w:rFonts w:asciiTheme="majorHAnsi" w:eastAsia="Times New Roman" w:hAnsiTheme="majorHAnsi" w:cstheme="majorHAnsi"/>
          <w:sz w:val="24"/>
          <w:szCs w:val="24"/>
        </w:rPr>
        <w:t>,</w:t>
      </w:r>
      <w:r w:rsidRPr="001C7166">
        <w:rPr>
          <w:rFonts w:asciiTheme="majorHAnsi" w:eastAsia="Times New Roman" w:hAnsiTheme="majorHAnsi" w:cstheme="majorHAnsi"/>
          <w:sz w:val="24"/>
          <w:szCs w:val="24"/>
        </w:rPr>
        <w:t xml:space="preserve"> 1.31%</w:t>
      </w:r>
      <w:r w:rsidRPr="004F7D0F">
        <w:rPr>
          <w:rFonts w:asciiTheme="majorHAnsi" w:eastAsia="Times New Roman" w:hAnsiTheme="majorHAnsi" w:cstheme="majorHAnsi"/>
          <w:sz w:val="24"/>
          <w:szCs w:val="24"/>
        </w:rPr>
        <w:t>;</w:t>
      </w:r>
      <w:r w:rsidRPr="001C7166">
        <w:rPr>
          <w:rFonts w:asciiTheme="majorHAnsi" w:eastAsia="Times New Roman" w:hAnsiTheme="majorHAnsi" w:cstheme="majorHAnsi"/>
          <w:sz w:val="24"/>
          <w:szCs w:val="24"/>
        </w:rPr>
        <w:t xml:space="preserve"> soybeans</w:t>
      </w:r>
      <w:r w:rsidRPr="004F7D0F">
        <w:rPr>
          <w:rFonts w:asciiTheme="majorHAnsi" w:eastAsia="Times New Roman" w:hAnsiTheme="majorHAnsi" w:cstheme="majorHAnsi"/>
          <w:sz w:val="24"/>
          <w:szCs w:val="24"/>
        </w:rPr>
        <w:t>,</w:t>
      </w:r>
      <w:r w:rsidRPr="001C7166">
        <w:rPr>
          <w:rFonts w:asciiTheme="majorHAnsi" w:eastAsia="Times New Roman" w:hAnsiTheme="majorHAnsi" w:cstheme="majorHAnsi"/>
          <w:sz w:val="24"/>
          <w:szCs w:val="24"/>
        </w:rPr>
        <w:t xml:space="preserve"> 1.48%</w:t>
      </w:r>
      <w:r w:rsidRPr="004F7D0F">
        <w:rPr>
          <w:rFonts w:asciiTheme="majorHAnsi" w:eastAsia="Times New Roman" w:hAnsiTheme="majorHAnsi" w:cstheme="majorHAnsi"/>
          <w:sz w:val="24"/>
          <w:szCs w:val="24"/>
        </w:rPr>
        <w:t>;</w:t>
      </w:r>
      <w:r w:rsidRPr="001C7166">
        <w:rPr>
          <w:rFonts w:asciiTheme="majorHAnsi" w:eastAsia="Times New Roman" w:hAnsiTheme="majorHAnsi" w:cstheme="majorHAnsi"/>
          <w:sz w:val="24"/>
          <w:szCs w:val="24"/>
        </w:rPr>
        <w:t xml:space="preserve"> </w:t>
      </w:r>
      <w:r w:rsidRPr="004F7D0F">
        <w:rPr>
          <w:rFonts w:asciiTheme="majorHAnsi" w:eastAsia="Times New Roman" w:hAnsiTheme="majorHAnsi" w:cstheme="majorHAnsi"/>
          <w:sz w:val="24"/>
          <w:szCs w:val="24"/>
        </w:rPr>
        <w:t>s</w:t>
      </w:r>
      <w:r w:rsidRPr="001C7166">
        <w:rPr>
          <w:rFonts w:asciiTheme="majorHAnsi" w:eastAsia="Times New Roman" w:hAnsiTheme="majorHAnsi" w:cstheme="majorHAnsi"/>
          <w:sz w:val="24"/>
          <w:szCs w:val="24"/>
        </w:rPr>
        <w:t>ugar</w:t>
      </w:r>
      <w:r w:rsidRPr="004F7D0F">
        <w:rPr>
          <w:rFonts w:asciiTheme="majorHAnsi" w:eastAsia="Times New Roman" w:hAnsiTheme="majorHAnsi" w:cstheme="majorHAnsi"/>
          <w:sz w:val="24"/>
          <w:szCs w:val="24"/>
        </w:rPr>
        <w:t>,</w:t>
      </w:r>
      <w:r w:rsidRPr="001C7166">
        <w:rPr>
          <w:rFonts w:asciiTheme="majorHAnsi" w:eastAsia="Times New Roman" w:hAnsiTheme="majorHAnsi" w:cstheme="majorHAnsi"/>
          <w:sz w:val="24"/>
          <w:szCs w:val="24"/>
        </w:rPr>
        <w:t xml:space="preserve"> 1.57%.</w:t>
      </w:r>
      <w:r w:rsidRPr="004F7D0F">
        <w:rPr>
          <w:rStyle w:val="st"/>
          <w:rFonts w:asciiTheme="majorHAnsi" w:hAnsiTheme="majorHAnsi" w:cstheme="majorHAnsi"/>
          <w:sz w:val="24"/>
          <w:szCs w:val="24"/>
          <w:vertAlign w:val="superscript"/>
        </w:rPr>
        <w:t>1</w:t>
      </w:r>
      <w:r w:rsidRPr="004F7D0F">
        <w:rPr>
          <w:rStyle w:val="st"/>
          <w:rFonts w:asciiTheme="majorHAnsi" w:hAnsiTheme="majorHAnsi" w:cstheme="majorHAnsi"/>
          <w:sz w:val="24"/>
          <w:szCs w:val="24"/>
          <w:vertAlign w:val="superscript"/>
        </w:rPr>
        <w:t>2,13</w:t>
      </w:r>
    </w:p>
    <w:p w:rsidR="00A4481D" w:rsidRPr="00DD38C0" w:rsidRDefault="0020095A" w:rsidP="00A4481D">
      <w:pPr>
        <w:spacing w:line="276" w:lineRule="auto"/>
        <w:jc w:val="both"/>
        <w:rPr>
          <w:rFonts w:asciiTheme="majorHAnsi" w:hAnsiTheme="majorHAnsi"/>
          <w:sz w:val="6"/>
          <w:szCs w:val="24"/>
        </w:rPr>
      </w:pPr>
    </w:p>
    <w:p w:rsidR="002405DE" w:rsidRPr="00775662" w:rsidRDefault="0020095A" w:rsidP="002405DE">
      <w:pPr>
        <w:spacing w:line="276" w:lineRule="auto"/>
        <w:jc w:val="both"/>
        <w:rPr>
          <w:rFonts w:asciiTheme="majorHAnsi" w:hAnsiTheme="majorHAnsi"/>
          <w:b/>
          <w:color w:val="3E7BB6"/>
          <w:sz w:val="28"/>
          <w:szCs w:val="24"/>
        </w:rPr>
      </w:pPr>
      <w:r>
        <w:rPr>
          <w:rFonts w:asciiTheme="majorHAnsi" w:hAnsiTheme="majorHAnsi"/>
          <w:b/>
          <w:color w:val="3E7BB6"/>
          <w:sz w:val="28"/>
          <w:szCs w:val="24"/>
        </w:rPr>
        <w:t>REAL ESTATE</w:t>
      </w:r>
    </w:p>
    <w:p w:rsidR="00E213AF" w:rsidRPr="002E4E5F" w:rsidRDefault="0020095A" w:rsidP="00512529">
      <w:pPr>
        <w:pStyle w:val="PlainText"/>
        <w:spacing w:after="160" w:line="276" w:lineRule="auto"/>
        <w:jc w:val="both"/>
        <w:rPr>
          <w:rStyle w:val="st"/>
          <w:rFonts w:asciiTheme="majorHAnsi" w:hAnsiTheme="majorHAnsi"/>
          <w:sz w:val="24"/>
          <w:szCs w:val="24"/>
        </w:rPr>
      </w:pPr>
      <w:r w:rsidRPr="00DA3A51">
        <w:rPr>
          <w:rStyle w:val="st"/>
          <w:rFonts w:asciiTheme="majorHAnsi" w:hAnsiTheme="majorHAnsi"/>
          <w:sz w:val="24"/>
          <w:szCs w:val="24"/>
        </w:rPr>
        <w:t>In a burst of good news for the housing market, existing home sales greatly increased</w:t>
      </w:r>
      <w:r w:rsidRPr="00DA3A51">
        <w:rPr>
          <w:rStyle w:val="st"/>
          <w:rFonts w:asciiTheme="majorHAnsi" w:hAnsiTheme="majorHAnsi"/>
          <w:sz w:val="24"/>
          <w:szCs w:val="24"/>
        </w:rPr>
        <w:t>.</w:t>
      </w:r>
      <w:r w:rsidRPr="00DA3A51">
        <w:rPr>
          <w:rStyle w:val="st"/>
          <w:rFonts w:asciiTheme="majorHAnsi" w:hAnsiTheme="majorHAnsi"/>
          <w:sz w:val="24"/>
          <w:szCs w:val="24"/>
        </w:rPr>
        <w:t xml:space="preserve"> The National Association of Realtors announced a February gain of 11.8%</w:t>
      </w:r>
      <w:r w:rsidRPr="00DA3A51">
        <w:rPr>
          <w:rStyle w:val="st"/>
          <w:rFonts w:asciiTheme="majorHAnsi" w:hAnsiTheme="majorHAnsi"/>
          <w:sz w:val="24"/>
          <w:szCs w:val="24"/>
        </w:rPr>
        <w:t>. It was</w:t>
      </w:r>
      <w:r w:rsidRPr="002E4E5F">
        <w:rPr>
          <w:rStyle w:val="st"/>
          <w:rFonts w:asciiTheme="majorHAnsi" w:hAnsiTheme="majorHAnsi"/>
          <w:sz w:val="24"/>
          <w:szCs w:val="24"/>
        </w:rPr>
        <w:t xml:space="preserve"> the best month for residential resales in more than three years. </w:t>
      </w:r>
      <w:r w:rsidRPr="002E4E5F">
        <w:rPr>
          <w:rStyle w:val="st"/>
          <w:rFonts w:asciiTheme="majorHAnsi" w:hAnsiTheme="majorHAnsi"/>
          <w:sz w:val="24"/>
          <w:szCs w:val="24"/>
        </w:rPr>
        <w:t xml:space="preserve">NAR chief economist Lawrence Yun credited a “powerful combination of lower mortgage rates, more inventory, rising income, and higher consumer confidence.” </w:t>
      </w:r>
      <w:r w:rsidRPr="002E4E5F">
        <w:rPr>
          <w:rStyle w:val="st"/>
          <w:rFonts w:asciiTheme="majorHAnsi" w:hAnsiTheme="majorHAnsi"/>
          <w:sz w:val="24"/>
          <w:szCs w:val="24"/>
        </w:rPr>
        <w:t xml:space="preserve">Even so, sales were </w:t>
      </w:r>
      <w:r w:rsidRPr="002E4E5F">
        <w:rPr>
          <w:rStyle w:val="st"/>
          <w:rFonts w:asciiTheme="majorHAnsi" w:hAnsiTheme="majorHAnsi"/>
          <w:sz w:val="24"/>
          <w:szCs w:val="24"/>
        </w:rPr>
        <w:t xml:space="preserve">still </w:t>
      </w:r>
      <w:r w:rsidRPr="002E4E5F">
        <w:rPr>
          <w:rStyle w:val="st"/>
          <w:rFonts w:asciiTheme="majorHAnsi" w:hAnsiTheme="majorHAnsi"/>
          <w:sz w:val="24"/>
          <w:szCs w:val="24"/>
        </w:rPr>
        <w:t>down 1.8%</w:t>
      </w:r>
      <w:r w:rsidRPr="002E4E5F">
        <w:rPr>
          <w:rStyle w:val="st"/>
          <w:rFonts w:asciiTheme="majorHAnsi" w:hAnsiTheme="majorHAnsi"/>
          <w:sz w:val="24"/>
          <w:szCs w:val="24"/>
        </w:rPr>
        <w:t xml:space="preserve"> year-over-year</w:t>
      </w:r>
      <w:r w:rsidRPr="002E4E5F">
        <w:rPr>
          <w:rStyle w:val="st"/>
          <w:rFonts w:asciiTheme="majorHAnsi" w:hAnsiTheme="majorHAnsi"/>
          <w:sz w:val="24"/>
          <w:szCs w:val="24"/>
        </w:rPr>
        <w:t>, and the NAR pending home sales index was 1.0% lower in February.</w:t>
      </w:r>
      <w:r w:rsidRPr="002E4E5F">
        <w:rPr>
          <w:rStyle w:val="st"/>
          <w:rFonts w:asciiTheme="majorHAnsi" w:hAnsiTheme="majorHAnsi"/>
          <w:sz w:val="24"/>
          <w:szCs w:val="24"/>
        </w:rPr>
        <w:t xml:space="preserve"> The median sale price of a single-family residence was $249,500 in </w:t>
      </w:r>
      <w:r w:rsidRPr="002E4E5F">
        <w:rPr>
          <w:rStyle w:val="st"/>
          <w:rFonts w:asciiTheme="majorHAnsi" w:hAnsiTheme="majorHAnsi"/>
          <w:sz w:val="24"/>
          <w:szCs w:val="24"/>
        </w:rPr>
        <w:t>the second month of 2019</w:t>
      </w:r>
      <w:r w:rsidRPr="002E4E5F">
        <w:rPr>
          <w:rStyle w:val="st"/>
          <w:rFonts w:asciiTheme="majorHAnsi" w:hAnsiTheme="majorHAnsi"/>
          <w:sz w:val="24"/>
          <w:szCs w:val="24"/>
        </w:rPr>
        <w:t xml:space="preserve">, up 3.6% </w:t>
      </w:r>
      <w:r w:rsidRPr="002E4E5F">
        <w:rPr>
          <w:rStyle w:val="st"/>
          <w:rFonts w:asciiTheme="majorHAnsi" w:hAnsiTheme="majorHAnsi"/>
          <w:sz w:val="24"/>
          <w:szCs w:val="24"/>
        </w:rPr>
        <w:t>from February 2018</w:t>
      </w:r>
      <w:r w:rsidRPr="002E4E5F">
        <w:rPr>
          <w:rStyle w:val="st"/>
          <w:rFonts w:asciiTheme="majorHAnsi" w:hAnsiTheme="majorHAnsi"/>
          <w:sz w:val="24"/>
          <w:szCs w:val="24"/>
        </w:rPr>
        <w:t>.</w:t>
      </w:r>
      <w:r w:rsidRPr="002E4E5F">
        <w:rPr>
          <w:rStyle w:val="st"/>
          <w:rFonts w:asciiTheme="majorHAnsi" w:hAnsiTheme="majorHAnsi"/>
          <w:sz w:val="24"/>
          <w:szCs w:val="24"/>
          <w:vertAlign w:val="superscript"/>
        </w:rPr>
        <w:t>6,</w:t>
      </w:r>
      <w:r w:rsidRPr="002E4E5F">
        <w:rPr>
          <w:rStyle w:val="st"/>
          <w:rFonts w:asciiTheme="majorHAnsi" w:hAnsiTheme="majorHAnsi"/>
          <w:sz w:val="24"/>
          <w:szCs w:val="24"/>
          <w:vertAlign w:val="superscript"/>
        </w:rPr>
        <w:t>14</w:t>
      </w:r>
    </w:p>
    <w:p w:rsidR="00E41665" w:rsidRPr="002E4E5F" w:rsidRDefault="0020095A" w:rsidP="00512529">
      <w:pPr>
        <w:spacing w:line="276" w:lineRule="auto"/>
        <w:jc w:val="both"/>
        <w:rPr>
          <w:rStyle w:val="st"/>
          <w:rFonts w:asciiTheme="majorHAnsi" w:hAnsiTheme="majorHAnsi"/>
          <w:sz w:val="24"/>
          <w:szCs w:val="24"/>
        </w:rPr>
      </w:pPr>
      <w:r w:rsidRPr="002E4E5F">
        <w:rPr>
          <w:rStyle w:val="st"/>
          <w:rFonts w:asciiTheme="majorHAnsi" w:hAnsiTheme="majorHAnsi"/>
          <w:sz w:val="24"/>
          <w:szCs w:val="24"/>
        </w:rPr>
        <w:lastRenderedPageBreak/>
        <w:t xml:space="preserve">New home sales also </w:t>
      </w:r>
      <w:r w:rsidRPr="002E4E5F">
        <w:rPr>
          <w:rStyle w:val="st"/>
          <w:rFonts w:asciiTheme="majorHAnsi" w:hAnsiTheme="majorHAnsi"/>
          <w:sz w:val="24"/>
          <w:szCs w:val="24"/>
        </w:rPr>
        <w:t>improved</w:t>
      </w:r>
      <w:r w:rsidRPr="002E4E5F">
        <w:rPr>
          <w:rStyle w:val="st"/>
          <w:rFonts w:asciiTheme="majorHAnsi" w:hAnsiTheme="majorHAnsi"/>
          <w:sz w:val="24"/>
          <w:szCs w:val="24"/>
        </w:rPr>
        <w:t xml:space="preserve"> in February.</w:t>
      </w:r>
      <w:r w:rsidRPr="002E4E5F">
        <w:rPr>
          <w:rStyle w:val="st"/>
          <w:rFonts w:asciiTheme="majorHAnsi" w:hAnsiTheme="majorHAnsi"/>
          <w:sz w:val="24"/>
          <w:szCs w:val="24"/>
        </w:rPr>
        <w:t xml:space="preserve"> They were up 4.9% month-over-month, albeit 0.6% year-over-year.</w:t>
      </w:r>
      <w:r w:rsidRPr="002E4E5F">
        <w:rPr>
          <w:rStyle w:val="st"/>
          <w:rFonts w:asciiTheme="majorHAnsi" w:hAnsiTheme="majorHAnsi"/>
          <w:sz w:val="24"/>
          <w:szCs w:val="24"/>
          <w:vertAlign w:val="superscript"/>
        </w:rPr>
        <w:t>7</w:t>
      </w:r>
    </w:p>
    <w:p w:rsidR="000E566E" w:rsidRPr="002E4E5F" w:rsidRDefault="0020095A" w:rsidP="00512529">
      <w:pPr>
        <w:spacing w:line="276" w:lineRule="auto"/>
        <w:jc w:val="both"/>
        <w:rPr>
          <w:rStyle w:val="st"/>
          <w:rFonts w:asciiTheme="majorHAnsi" w:hAnsiTheme="majorHAnsi"/>
          <w:sz w:val="24"/>
          <w:szCs w:val="24"/>
        </w:rPr>
      </w:pPr>
      <w:r w:rsidRPr="002E4E5F">
        <w:rPr>
          <w:rStyle w:val="st"/>
          <w:rFonts w:asciiTheme="majorHAnsi" w:hAnsiTheme="majorHAnsi"/>
          <w:sz w:val="24"/>
          <w:szCs w:val="24"/>
        </w:rPr>
        <w:t xml:space="preserve">As </w:t>
      </w:r>
      <w:r w:rsidRPr="002E4E5F">
        <w:rPr>
          <w:rStyle w:val="st"/>
          <w:rFonts w:asciiTheme="majorHAnsi" w:hAnsiTheme="majorHAnsi"/>
          <w:sz w:val="24"/>
          <w:szCs w:val="24"/>
        </w:rPr>
        <w:t>the NAR</w:t>
      </w:r>
      <w:r w:rsidRPr="002E4E5F">
        <w:rPr>
          <w:rStyle w:val="st"/>
          <w:rFonts w:asciiTheme="majorHAnsi" w:hAnsiTheme="majorHAnsi"/>
          <w:sz w:val="24"/>
          <w:szCs w:val="24"/>
        </w:rPr>
        <w:t xml:space="preserve"> noted, mortgage rates have declined of late. </w:t>
      </w:r>
      <w:r w:rsidRPr="002E4E5F">
        <w:rPr>
          <w:rStyle w:val="st"/>
          <w:rFonts w:asciiTheme="majorHAnsi" w:hAnsiTheme="majorHAnsi"/>
          <w:sz w:val="24"/>
          <w:szCs w:val="24"/>
        </w:rPr>
        <w:t xml:space="preserve">Freddie Mac’s Primary Mortgage Market Survey </w:t>
      </w:r>
      <w:r w:rsidRPr="002E4E5F">
        <w:rPr>
          <w:rStyle w:val="st"/>
          <w:rFonts w:asciiTheme="majorHAnsi" w:hAnsiTheme="majorHAnsi"/>
          <w:sz w:val="24"/>
          <w:szCs w:val="24"/>
        </w:rPr>
        <w:t>showed the average interest rate for the 30-year</w:t>
      </w:r>
      <w:r>
        <w:rPr>
          <w:rStyle w:val="st"/>
          <w:rFonts w:asciiTheme="majorHAnsi" w:hAnsiTheme="majorHAnsi"/>
          <w:sz w:val="24"/>
          <w:szCs w:val="24"/>
        </w:rPr>
        <w:t>,</w:t>
      </w:r>
      <w:r w:rsidRPr="002E4E5F">
        <w:rPr>
          <w:rStyle w:val="st"/>
          <w:rFonts w:asciiTheme="majorHAnsi" w:hAnsiTheme="majorHAnsi"/>
          <w:sz w:val="24"/>
          <w:szCs w:val="24"/>
        </w:rPr>
        <w:t xml:space="preserve"> fixed</w:t>
      </w:r>
      <w:r>
        <w:rPr>
          <w:rStyle w:val="st"/>
          <w:rFonts w:asciiTheme="majorHAnsi" w:hAnsiTheme="majorHAnsi"/>
          <w:sz w:val="24"/>
          <w:szCs w:val="24"/>
        </w:rPr>
        <w:t>-</w:t>
      </w:r>
      <w:r w:rsidRPr="002E4E5F">
        <w:rPr>
          <w:rStyle w:val="st"/>
          <w:rFonts w:asciiTheme="majorHAnsi" w:hAnsiTheme="majorHAnsi"/>
          <w:sz w:val="24"/>
          <w:szCs w:val="24"/>
        </w:rPr>
        <w:t>rate mortgage at 4.35% on Februar</w:t>
      </w:r>
      <w:r w:rsidRPr="002E4E5F">
        <w:rPr>
          <w:rStyle w:val="st"/>
          <w:rFonts w:asciiTheme="majorHAnsi" w:hAnsiTheme="majorHAnsi"/>
          <w:sz w:val="24"/>
          <w:szCs w:val="24"/>
        </w:rPr>
        <w:t>y 28; in the same survey, the 15-year FRM had a mean interest rate of 3.77%</w:t>
      </w:r>
      <w:r w:rsidRPr="002E4E5F">
        <w:rPr>
          <w:rStyle w:val="st"/>
          <w:rFonts w:asciiTheme="majorHAnsi" w:hAnsiTheme="majorHAnsi"/>
          <w:sz w:val="24"/>
          <w:szCs w:val="24"/>
        </w:rPr>
        <w:t>.</w:t>
      </w:r>
      <w:r w:rsidRPr="002E4E5F">
        <w:rPr>
          <w:rStyle w:val="st"/>
          <w:rFonts w:asciiTheme="majorHAnsi" w:hAnsiTheme="majorHAnsi"/>
          <w:sz w:val="24"/>
          <w:szCs w:val="24"/>
        </w:rPr>
        <w:t xml:space="preserve"> By March 28, the 30-year FRM bore an average interest rate of </w:t>
      </w:r>
      <w:r w:rsidRPr="002E4E5F">
        <w:rPr>
          <w:rStyle w:val="st"/>
          <w:rFonts w:asciiTheme="majorHAnsi" w:hAnsiTheme="majorHAnsi"/>
          <w:sz w:val="24"/>
          <w:szCs w:val="24"/>
        </w:rPr>
        <w:t xml:space="preserve">just </w:t>
      </w:r>
      <w:r w:rsidRPr="002E4E5F">
        <w:rPr>
          <w:rStyle w:val="st"/>
          <w:rFonts w:asciiTheme="majorHAnsi" w:hAnsiTheme="majorHAnsi"/>
          <w:sz w:val="24"/>
          <w:szCs w:val="24"/>
        </w:rPr>
        <w:t>4.</w:t>
      </w:r>
      <w:r w:rsidRPr="002E4E5F">
        <w:rPr>
          <w:rStyle w:val="st"/>
          <w:rFonts w:asciiTheme="majorHAnsi" w:hAnsiTheme="majorHAnsi"/>
          <w:sz w:val="24"/>
          <w:szCs w:val="24"/>
        </w:rPr>
        <w:t>0</w:t>
      </w:r>
      <w:r w:rsidRPr="002E4E5F">
        <w:rPr>
          <w:rStyle w:val="st"/>
          <w:rFonts w:asciiTheme="majorHAnsi" w:hAnsiTheme="majorHAnsi"/>
          <w:sz w:val="24"/>
          <w:szCs w:val="24"/>
        </w:rPr>
        <w:t>6</w:t>
      </w:r>
      <w:r w:rsidRPr="002E4E5F">
        <w:rPr>
          <w:rStyle w:val="st"/>
          <w:rFonts w:asciiTheme="majorHAnsi" w:hAnsiTheme="majorHAnsi"/>
          <w:sz w:val="24"/>
          <w:szCs w:val="24"/>
        </w:rPr>
        <w:t>%, while a 15-year FRM had an average interest rate of 3.</w:t>
      </w:r>
      <w:r w:rsidRPr="002E4E5F">
        <w:rPr>
          <w:rStyle w:val="st"/>
          <w:rFonts w:asciiTheme="majorHAnsi" w:hAnsiTheme="majorHAnsi"/>
          <w:sz w:val="24"/>
          <w:szCs w:val="24"/>
        </w:rPr>
        <w:t>5</w:t>
      </w:r>
      <w:r w:rsidRPr="002E4E5F">
        <w:rPr>
          <w:rStyle w:val="st"/>
          <w:rFonts w:asciiTheme="majorHAnsi" w:hAnsiTheme="majorHAnsi"/>
          <w:sz w:val="24"/>
          <w:szCs w:val="24"/>
        </w:rPr>
        <w:t>7%.</w:t>
      </w:r>
      <w:r w:rsidRPr="002E4E5F">
        <w:rPr>
          <w:rStyle w:val="st"/>
          <w:rFonts w:asciiTheme="majorHAnsi" w:hAnsiTheme="majorHAnsi"/>
          <w:sz w:val="24"/>
          <w:szCs w:val="24"/>
          <w:vertAlign w:val="superscript"/>
        </w:rPr>
        <w:t>15</w:t>
      </w:r>
    </w:p>
    <w:p w:rsidR="00E24345" w:rsidRPr="00DD38C0" w:rsidRDefault="0020095A" w:rsidP="00EE6BF2">
      <w:pPr>
        <w:spacing w:line="276" w:lineRule="auto"/>
        <w:rPr>
          <w:rStyle w:val="st"/>
          <w:rFonts w:asciiTheme="majorHAnsi" w:hAnsiTheme="majorHAnsi"/>
          <w:sz w:val="4"/>
        </w:rPr>
      </w:pPr>
    </w:p>
    <w:p w:rsidR="006D5A63" w:rsidRDefault="0020095A"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825083" cy="268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6D5A63" w:rsidRPr="00DD38C0" w:rsidRDefault="0020095A" w:rsidP="00EE6BF2">
      <w:pPr>
        <w:spacing w:line="276" w:lineRule="auto"/>
        <w:jc w:val="center"/>
        <w:rPr>
          <w:rStyle w:val="st"/>
          <w:rFonts w:asciiTheme="majorHAnsi" w:hAnsiTheme="majorHAnsi"/>
          <w:color w:val="E88E0A"/>
          <w:sz w:val="4"/>
        </w:rPr>
      </w:pPr>
    </w:p>
    <w:p w:rsidR="006D5A63" w:rsidRPr="00DD38C0" w:rsidRDefault="0020095A" w:rsidP="00EE6BF2">
      <w:pPr>
        <w:spacing w:line="276" w:lineRule="auto"/>
        <w:jc w:val="center"/>
        <w:rPr>
          <w:rStyle w:val="st"/>
          <w:rFonts w:asciiTheme="majorHAnsi" w:hAnsiTheme="majorHAnsi"/>
          <w:color w:val="E88E0A"/>
          <w:sz w:val="4"/>
        </w:rPr>
      </w:pPr>
      <w:r w:rsidRPr="007C2813">
        <w:rPr>
          <w:rStyle w:val="st"/>
          <w:rFonts w:asciiTheme="majorHAnsi" w:hAnsiTheme="majorHAnsi"/>
          <w:color w:val="3E7BB6"/>
        </w:rPr>
        <w:t xml:space="preserve">T I P   O F   T H E   </w:t>
      </w:r>
      <w:r w:rsidRPr="007C2813">
        <w:rPr>
          <w:rStyle w:val="st"/>
          <w:rFonts w:asciiTheme="majorHAnsi" w:hAnsiTheme="majorHAnsi"/>
          <w:color w:val="3E7BB6"/>
        </w:rPr>
        <w:t>M O N T H</w:t>
      </w:r>
      <w:r>
        <w:rPr>
          <w:rStyle w:val="st"/>
          <w:rFonts w:asciiTheme="majorHAnsi" w:hAnsiTheme="majorHAnsi"/>
          <w:color w:val="E88E0A"/>
        </w:rPr>
        <w:br/>
      </w:r>
    </w:p>
    <w:p w:rsidR="006D5A63" w:rsidRDefault="0020095A" w:rsidP="00EE6BF2">
      <w:pPr>
        <w:spacing w:line="276" w:lineRule="auto"/>
        <w:jc w:val="center"/>
        <w:rPr>
          <w:rStyle w:val="st"/>
          <w:rFonts w:asciiTheme="majorHAnsi" w:hAnsiTheme="majorHAnsi"/>
        </w:rPr>
      </w:pPr>
      <w:r>
        <w:rPr>
          <w:rFonts w:asciiTheme="majorHAnsi" w:hAnsiTheme="majorHAnsi"/>
          <w:noProof/>
        </w:rPr>
        <w:drawing>
          <wp:inline distT="0" distB="0" distL="0" distR="0">
            <wp:extent cx="995363" cy="7334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5363" cy="733425"/>
                    </a:xfrm>
                    <a:prstGeom prst="rect">
                      <a:avLst/>
                    </a:prstGeom>
                  </pic:spPr>
                </pic:pic>
              </a:graphicData>
            </a:graphic>
          </wp:inline>
        </w:drawing>
      </w:r>
    </w:p>
    <w:p w:rsidR="006D5A63" w:rsidRPr="0080614A" w:rsidRDefault="0020095A" w:rsidP="00EE6BF2">
      <w:pPr>
        <w:spacing w:line="276" w:lineRule="auto"/>
        <w:jc w:val="center"/>
        <w:rPr>
          <w:rStyle w:val="st"/>
          <w:rFonts w:asciiTheme="majorHAnsi" w:hAnsiTheme="majorHAnsi"/>
          <w:i/>
          <w:sz w:val="28"/>
        </w:rPr>
      </w:pPr>
      <w:r w:rsidRPr="00DD38C0">
        <w:rPr>
          <w:rStyle w:val="st"/>
          <w:rFonts w:asciiTheme="majorHAnsi" w:hAnsiTheme="majorHAnsi"/>
          <w:sz w:val="6"/>
        </w:rPr>
        <w:br/>
      </w:r>
      <w:r w:rsidRPr="0080614A">
        <w:rPr>
          <w:rStyle w:val="st"/>
          <w:rFonts w:asciiTheme="majorHAnsi" w:hAnsiTheme="majorHAnsi"/>
          <w:i/>
          <w:sz w:val="28"/>
        </w:rPr>
        <w:t xml:space="preserve">In view of possible </w:t>
      </w:r>
      <w:r>
        <w:rPr>
          <w:rStyle w:val="st"/>
          <w:rFonts w:asciiTheme="majorHAnsi" w:hAnsiTheme="majorHAnsi"/>
          <w:b/>
          <w:i/>
          <w:sz w:val="28"/>
        </w:rPr>
        <w:t>extended</w:t>
      </w:r>
      <w:r w:rsidRPr="0080614A">
        <w:rPr>
          <w:rStyle w:val="st"/>
          <w:rFonts w:asciiTheme="majorHAnsi" w:hAnsiTheme="majorHAnsi"/>
          <w:b/>
          <w:i/>
          <w:sz w:val="28"/>
        </w:rPr>
        <w:t xml:space="preserve"> care</w:t>
      </w:r>
      <w:r w:rsidRPr="0080614A">
        <w:rPr>
          <w:rStyle w:val="st"/>
          <w:rFonts w:asciiTheme="majorHAnsi" w:hAnsiTheme="majorHAnsi"/>
          <w:i/>
          <w:sz w:val="28"/>
        </w:rPr>
        <w:t xml:space="preserve"> needs, you may want to look at a </w:t>
      </w:r>
      <w:r w:rsidRPr="0080614A">
        <w:rPr>
          <w:rStyle w:val="st"/>
          <w:rFonts w:asciiTheme="majorHAnsi" w:hAnsiTheme="majorHAnsi"/>
          <w:b/>
          <w:i/>
          <w:sz w:val="28"/>
        </w:rPr>
        <w:t xml:space="preserve">hybrid life insurance policy </w:t>
      </w:r>
      <w:r w:rsidRPr="0080614A">
        <w:rPr>
          <w:rStyle w:val="st"/>
          <w:rFonts w:asciiTheme="majorHAnsi" w:hAnsiTheme="majorHAnsi"/>
          <w:i/>
          <w:sz w:val="28"/>
        </w:rPr>
        <w:t>that can potentially give you a pool of money to pay</w:t>
      </w:r>
      <w:r>
        <w:rPr>
          <w:rStyle w:val="st"/>
          <w:rFonts w:asciiTheme="majorHAnsi" w:hAnsiTheme="majorHAnsi"/>
          <w:i/>
          <w:sz w:val="28"/>
        </w:rPr>
        <w:t xml:space="preserve"> those</w:t>
      </w:r>
      <w:r w:rsidRPr="0080614A">
        <w:rPr>
          <w:rStyle w:val="st"/>
          <w:rFonts w:asciiTheme="majorHAnsi" w:hAnsiTheme="majorHAnsi"/>
          <w:i/>
          <w:sz w:val="28"/>
        </w:rPr>
        <w:t xml:space="preserve"> costs. </w:t>
      </w:r>
      <w:r>
        <w:rPr>
          <w:rStyle w:val="st"/>
          <w:rFonts w:asciiTheme="majorHAnsi" w:hAnsiTheme="majorHAnsi"/>
          <w:i/>
          <w:sz w:val="28"/>
        </w:rPr>
        <w:t>U</w:t>
      </w:r>
      <w:r w:rsidRPr="0080614A">
        <w:rPr>
          <w:rStyle w:val="st"/>
          <w:rFonts w:asciiTheme="majorHAnsi" w:hAnsiTheme="majorHAnsi"/>
          <w:i/>
          <w:sz w:val="28"/>
        </w:rPr>
        <w:t xml:space="preserve">nused benefits may be paid to </w:t>
      </w:r>
      <w:r>
        <w:rPr>
          <w:rStyle w:val="st"/>
          <w:rFonts w:asciiTheme="majorHAnsi" w:hAnsiTheme="majorHAnsi"/>
          <w:i/>
          <w:sz w:val="28"/>
        </w:rPr>
        <w:t>the policy’s</w:t>
      </w:r>
      <w:r w:rsidRPr="0080614A">
        <w:rPr>
          <w:rStyle w:val="st"/>
          <w:rFonts w:asciiTheme="majorHAnsi" w:hAnsiTheme="majorHAnsi"/>
          <w:i/>
          <w:sz w:val="28"/>
        </w:rPr>
        <w:t xml:space="preserve"> beneficiaries after your </w:t>
      </w:r>
      <w:r>
        <w:rPr>
          <w:rStyle w:val="st"/>
          <w:rFonts w:asciiTheme="majorHAnsi" w:hAnsiTheme="majorHAnsi"/>
          <w:i/>
          <w:sz w:val="28"/>
        </w:rPr>
        <w:t>death</w:t>
      </w:r>
      <w:r w:rsidRPr="0080614A">
        <w:rPr>
          <w:rStyle w:val="st"/>
          <w:rFonts w:asciiTheme="majorHAnsi" w:hAnsiTheme="majorHAnsi"/>
          <w:i/>
          <w:sz w:val="28"/>
        </w:rPr>
        <w:t>.</w:t>
      </w:r>
    </w:p>
    <w:p w:rsidR="006D5A63" w:rsidRPr="00DD38C0" w:rsidRDefault="0020095A" w:rsidP="00EE6BF2">
      <w:pPr>
        <w:spacing w:line="276" w:lineRule="auto"/>
        <w:jc w:val="center"/>
        <w:rPr>
          <w:rStyle w:val="st"/>
          <w:rFonts w:asciiTheme="majorHAnsi" w:hAnsiTheme="majorHAnsi"/>
          <w:i/>
          <w:color w:val="E88E0A"/>
          <w:sz w:val="4"/>
        </w:rPr>
      </w:pPr>
    </w:p>
    <w:p w:rsidR="00E24345" w:rsidRDefault="0020095A"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825083" cy="268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373CC8" w:rsidRPr="00DD38C0" w:rsidRDefault="0020095A" w:rsidP="00EE6BF2">
      <w:pPr>
        <w:spacing w:line="276" w:lineRule="auto"/>
        <w:rPr>
          <w:rFonts w:asciiTheme="majorHAnsi" w:hAnsiTheme="majorHAnsi"/>
          <w:b/>
          <w:color w:val="E88E0A"/>
          <w:spacing w:val="-2"/>
          <w:sz w:val="8"/>
        </w:rPr>
      </w:pPr>
    </w:p>
    <w:p w:rsidR="00775662" w:rsidRPr="007A5A6C" w:rsidRDefault="0020095A" w:rsidP="00EE6BF2">
      <w:pPr>
        <w:spacing w:line="276" w:lineRule="auto"/>
        <w:rPr>
          <w:rFonts w:asciiTheme="majorHAnsi" w:hAnsiTheme="majorHAnsi"/>
          <w:b/>
          <w:spacing w:val="-2"/>
          <w:sz w:val="28"/>
        </w:rPr>
      </w:pPr>
      <w:r>
        <w:rPr>
          <w:rFonts w:asciiTheme="majorHAnsi" w:hAnsiTheme="majorHAnsi"/>
          <w:b/>
          <w:color w:val="3E7BB6"/>
          <w:spacing w:val="-2"/>
          <w:sz w:val="28"/>
        </w:rPr>
        <w:t>LOOKING BACK</w:t>
      </w:r>
      <w:r>
        <w:rPr>
          <w:rFonts w:asciiTheme="majorHAnsi" w:hAnsiTheme="majorHAnsi"/>
          <w:b/>
          <w:color w:val="3E7BB6"/>
          <w:spacing w:val="-2"/>
          <w:sz w:val="28"/>
        </w:rPr>
        <w:t>,</w:t>
      </w:r>
      <w:r>
        <w:rPr>
          <w:rFonts w:asciiTheme="majorHAnsi" w:hAnsiTheme="majorHAnsi"/>
          <w:b/>
          <w:color w:val="3E7BB6"/>
          <w:spacing w:val="-2"/>
          <w:sz w:val="28"/>
        </w:rPr>
        <w:t xml:space="preserve"> </w:t>
      </w:r>
      <w:r>
        <w:rPr>
          <w:rFonts w:asciiTheme="majorHAnsi" w:hAnsiTheme="majorHAnsi"/>
          <w:b/>
          <w:color w:val="3E7BB6"/>
          <w:spacing w:val="-2"/>
          <w:sz w:val="28"/>
        </w:rPr>
        <w:t>LOOKING FORWARD</w:t>
      </w:r>
    </w:p>
    <w:p w:rsidR="00775662" w:rsidRPr="00EF31D3" w:rsidRDefault="0020095A" w:rsidP="00B70920">
      <w:pPr>
        <w:spacing w:line="276" w:lineRule="auto"/>
        <w:rPr>
          <w:rStyle w:val="st"/>
          <w:rFonts w:asciiTheme="majorHAnsi" w:hAnsiTheme="majorHAnsi"/>
          <w:sz w:val="24"/>
        </w:rPr>
      </w:pPr>
      <w:r w:rsidRPr="002E4E5F">
        <w:rPr>
          <w:rStyle w:val="st"/>
          <w:rFonts w:asciiTheme="majorHAnsi" w:hAnsiTheme="majorHAnsi"/>
          <w:sz w:val="24"/>
        </w:rPr>
        <w:t>All</w:t>
      </w:r>
      <w:r w:rsidRPr="002E4E5F">
        <w:rPr>
          <w:rStyle w:val="st"/>
          <w:rFonts w:asciiTheme="majorHAnsi" w:hAnsiTheme="majorHAnsi"/>
          <w:sz w:val="24"/>
        </w:rPr>
        <w:t xml:space="preserve"> three </w:t>
      </w:r>
      <w:r w:rsidRPr="002E4E5F">
        <w:rPr>
          <w:rStyle w:val="st"/>
          <w:rFonts w:asciiTheme="majorHAnsi" w:hAnsiTheme="majorHAnsi"/>
          <w:sz w:val="24"/>
        </w:rPr>
        <w:t xml:space="preserve">big </w:t>
      </w:r>
      <w:r w:rsidRPr="002E4E5F">
        <w:rPr>
          <w:rStyle w:val="st"/>
          <w:rFonts w:asciiTheme="majorHAnsi" w:hAnsiTheme="majorHAnsi"/>
          <w:sz w:val="24"/>
        </w:rPr>
        <w:t xml:space="preserve">U.S. </w:t>
      </w:r>
      <w:r w:rsidRPr="002E4E5F">
        <w:rPr>
          <w:rStyle w:val="st"/>
          <w:rFonts w:asciiTheme="majorHAnsi" w:hAnsiTheme="majorHAnsi"/>
          <w:sz w:val="24"/>
        </w:rPr>
        <w:t xml:space="preserve">equity market </w:t>
      </w:r>
      <w:r w:rsidRPr="002E4E5F">
        <w:rPr>
          <w:rStyle w:val="st"/>
          <w:rFonts w:asciiTheme="majorHAnsi" w:hAnsiTheme="majorHAnsi"/>
          <w:sz w:val="24"/>
        </w:rPr>
        <w:t>benchmarks</w:t>
      </w:r>
      <w:r w:rsidRPr="002E4E5F">
        <w:rPr>
          <w:rStyle w:val="st"/>
          <w:rFonts w:asciiTheme="majorHAnsi" w:hAnsiTheme="majorHAnsi"/>
          <w:sz w:val="24"/>
        </w:rPr>
        <w:t xml:space="preserve"> rose in March – to varying degrees, with the blue chips </w:t>
      </w:r>
      <w:r w:rsidRPr="00611B94">
        <w:rPr>
          <w:rStyle w:val="st"/>
          <w:rFonts w:asciiTheme="majorHAnsi" w:hAnsiTheme="majorHAnsi"/>
          <w:sz w:val="24"/>
        </w:rPr>
        <w:t xml:space="preserve">barely improving. </w:t>
      </w:r>
      <w:r w:rsidRPr="00611B94">
        <w:rPr>
          <w:rStyle w:val="st"/>
          <w:rFonts w:asciiTheme="majorHAnsi" w:hAnsiTheme="majorHAnsi"/>
          <w:sz w:val="24"/>
        </w:rPr>
        <w:t>T</w:t>
      </w:r>
      <w:r w:rsidRPr="00611B94">
        <w:rPr>
          <w:rStyle w:val="st"/>
          <w:rFonts w:asciiTheme="majorHAnsi" w:hAnsiTheme="majorHAnsi"/>
          <w:sz w:val="24"/>
        </w:rPr>
        <w:t>he Nasdaq Composite settled at 7,</w:t>
      </w:r>
      <w:r w:rsidRPr="00611B94">
        <w:rPr>
          <w:rStyle w:val="st"/>
          <w:rFonts w:asciiTheme="majorHAnsi" w:hAnsiTheme="majorHAnsi"/>
          <w:sz w:val="24"/>
        </w:rPr>
        <w:t>729</w:t>
      </w:r>
      <w:r w:rsidRPr="00611B94">
        <w:rPr>
          <w:rStyle w:val="st"/>
          <w:rFonts w:asciiTheme="majorHAnsi" w:hAnsiTheme="majorHAnsi"/>
          <w:sz w:val="24"/>
        </w:rPr>
        <w:t>.</w:t>
      </w:r>
      <w:r w:rsidRPr="00611B94">
        <w:rPr>
          <w:rStyle w:val="st"/>
          <w:rFonts w:asciiTheme="majorHAnsi" w:hAnsiTheme="majorHAnsi"/>
          <w:sz w:val="24"/>
        </w:rPr>
        <w:t>32</w:t>
      </w:r>
      <w:r w:rsidRPr="00611B94">
        <w:rPr>
          <w:rStyle w:val="st"/>
          <w:rFonts w:asciiTheme="majorHAnsi" w:hAnsiTheme="majorHAnsi"/>
          <w:sz w:val="24"/>
        </w:rPr>
        <w:t xml:space="preserve"> on the last trading day of the month (March 29)</w:t>
      </w:r>
      <w:r>
        <w:rPr>
          <w:rStyle w:val="st"/>
          <w:rFonts w:asciiTheme="majorHAnsi" w:hAnsiTheme="majorHAnsi"/>
          <w:sz w:val="24"/>
        </w:rPr>
        <w:t>;</w:t>
      </w:r>
      <w:r w:rsidRPr="00611B94">
        <w:rPr>
          <w:rStyle w:val="st"/>
          <w:rFonts w:asciiTheme="majorHAnsi" w:hAnsiTheme="majorHAnsi"/>
          <w:sz w:val="24"/>
        </w:rPr>
        <w:t xml:space="preserve"> the S&amp;P 500</w:t>
      </w:r>
      <w:r>
        <w:rPr>
          <w:rStyle w:val="st"/>
          <w:rFonts w:asciiTheme="majorHAnsi" w:hAnsiTheme="majorHAnsi"/>
          <w:sz w:val="24"/>
        </w:rPr>
        <w:t>,</w:t>
      </w:r>
      <w:r w:rsidRPr="00611B94">
        <w:rPr>
          <w:rStyle w:val="st"/>
          <w:rFonts w:asciiTheme="majorHAnsi" w:hAnsiTheme="majorHAnsi"/>
          <w:sz w:val="24"/>
        </w:rPr>
        <w:t xml:space="preserve"> at 2,8</w:t>
      </w:r>
      <w:r w:rsidRPr="00611B94">
        <w:rPr>
          <w:rStyle w:val="st"/>
          <w:rFonts w:asciiTheme="majorHAnsi" w:hAnsiTheme="majorHAnsi"/>
          <w:sz w:val="24"/>
        </w:rPr>
        <w:t>34.40</w:t>
      </w:r>
      <w:r>
        <w:rPr>
          <w:rStyle w:val="st"/>
          <w:rFonts w:asciiTheme="majorHAnsi" w:hAnsiTheme="majorHAnsi"/>
          <w:sz w:val="24"/>
        </w:rPr>
        <w:t>;</w:t>
      </w:r>
      <w:r w:rsidRPr="00611B94">
        <w:rPr>
          <w:rStyle w:val="st"/>
          <w:rFonts w:asciiTheme="majorHAnsi" w:hAnsiTheme="majorHAnsi"/>
          <w:sz w:val="24"/>
        </w:rPr>
        <w:t xml:space="preserve"> the Do</w:t>
      </w:r>
      <w:r w:rsidRPr="00611B94">
        <w:rPr>
          <w:rStyle w:val="st"/>
          <w:rFonts w:asciiTheme="majorHAnsi" w:hAnsiTheme="majorHAnsi"/>
          <w:sz w:val="24"/>
        </w:rPr>
        <w:t>w Jones Industrial Average</w:t>
      </w:r>
      <w:r>
        <w:rPr>
          <w:rStyle w:val="st"/>
          <w:rFonts w:asciiTheme="majorHAnsi" w:hAnsiTheme="majorHAnsi"/>
          <w:sz w:val="24"/>
        </w:rPr>
        <w:t>,</w:t>
      </w:r>
      <w:r w:rsidRPr="00611B94">
        <w:rPr>
          <w:rStyle w:val="st"/>
          <w:rFonts w:asciiTheme="majorHAnsi" w:hAnsiTheme="majorHAnsi"/>
          <w:sz w:val="24"/>
        </w:rPr>
        <w:t xml:space="preserve"> at 25,928.68</w:t>
      </w:r>
      <w:r w:rsidRPr="00611B94">
        <w:rPr>
          <w:rStyle w:val="st"/>
          <w:rFonts w:asciiTheme="majorHAnsi" w:hAnsiTheme="majorHAnsi"/>
          <w:sz w:val="24"/>
        </w:rPr>
        <w:t>.</w:t>
      </w:r>
      <w:r w:rsidRPr="00611B94">
        <w:rPr>
          <w:rStyle w:val="st"/>
          <w:rFonts w:asciiTheme="majorHAnsi" w:hAnsiTheme="majorHAnsi"/>
          <w:sz w:val="24"/>
        </w:rPr>
        <w:t xml:space="preserve"> The Russell 2000 posted a one-month loss of 3.14%, declining to 1,539.78. The CBOE VIX, the index showing expectations of stock market volatility, ended March at 13.70, advancing 0.96%.</w:t>
      </w:r>
      <w:r w:rsidRPr="00611B94">
        <w:rPr>
          <w:rStyle w:val="st"/>
          <w:rFonts w:asciiTheme="majorHAnsi" w:hAnsiTheme="majorHAnsi"/>
          <w:sz w:val="24"/>
          <w:vertAlign w:val="superscript"/>
        </w:rPr>
        <w:t>1</w:t>
      </w:r>
      <w:r w:rsidRPr="00611B94">
        <w:rPr>
          <w:rStyle w:val="st"/>
          <w:rFonts w:asciiTheme="majorHAnsi" w:hAnsiTheme="majorHAnsi"/>
          <w:sz w:val="24"/>
          <w:vertAlign w:val="superscript"/>
        </w:rPr>
        <w:t>,1</w:t>
      </w:r>
      <w:r w:rsidRPr="00611B94">
        <w:rPr>
          <w:rStyle w:val="st"/>
          <w:rFonts w:asciiTheme="majorHAnsi" w:hAnsiTheme="majorHAnsi"/>
          <w:sz w:val="24"/>
          <w:vertAlign w:val="superscript"/>
        </w:rPr>
        <w:t>6</w:t>
      </w:r>
    </w:p>
    <w:tbl>
      <w:tblPr>
        <w:tblW w:w="4875" w:type="pct"/>
        <w:jc w:val="center"/>
        <w:tblLook w:val="04A0" w:firstRow="1" w:lastRow="0" w:firstColumn="1" w:lastColumn="0" w:noHBand="0" w:noVBand="1"/>
      </w:tblPr>
      <w:tblGrid>
        <w:gridCol w:w="2247"/>
        <w:gridCol w:w="2247"/>
        <w:gridCol w:w="2247"/>
        <w:gridCol w:w="2245"/>
      </w:tblGrid>
      <w:tr w:rsidR="00CD255B" w:rsidTr="003732A6">
        <w:trPr>
          <w:trHeight w:val="390"/>
          <w:jc w:val="center"/>
        </w:trPr>
        <w:tc>
          <w:tcPr>
            <w:tcW w:w="1250" w:type="pct"/>
            <w:tcBorders>
              <w:top w:val="nil"/>
              <w:left w:val="nil"/>
              <w:bottom w:val="nil"/>
              <w:right w:val="nil"/>
            </w:tcBorders>
            <w:shd w:val="clear" w:color="auto" w:fill="auto"/>
            <w:vAlign w:val="center"/>
            <w:hideMark/>
          </w:tcPr>
          <w:p w:rsidR="000050A3" w:rsidRPr="006D5A63" w:rsidRDefault="0020095A" w:rsidP="003732A6">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MARKET INDEX</w:t>
            </w:r>
          </w:p>
        </w:tc>
        <w:tc>
          <w:tcPr>
            <w:tcW w:w="1250" w:type="pct"/>
            <w:tcBorders>
              <w:top w:val="nil"/>
              <w:left w:val="nil"/>
              <w:bottom w:val="nil"/>
              <w:right w:val="nil"/>
            </w:tcBorders>
            <w:shd w:val="clear" w:color="auto" w:fill="auto"/>
            <w:vAlign w:val="center"/>
            <w:hideMark/>
          </w:tcPr>
          <w:p w:rsidR="000050A3" w:rsidRPr="006D5A63" w:rsidRDefault="0020095A" w:rsidP="003732A6">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 xml:space="preserve">Y-T-D </w:t>
            </w:r>
            <w:r>
              <w:rPr>
                <w:rFonts w:asciiTheme="majorHAnsi" w:hAnsiTheme="majorHAnsi"/>
                <w:b/>
                <w:color w:val="3E7BB6"/>
                <w:spacing w:val="-2"/>
              </w:rPr>
              <w:t>CHANGE</w:t>
            </w:r>
          </w:p>
        </w:tc>
        <w:tc>
          <w:tcPr>
            <w:tcW w:w="1250" w:type="pct"/>
            <w:tcBorders>
              <w:top w:val="nil"/>
              <w:left w:val="nil"/>
              <w:bottom w:val="nil"/>
              <w:right w:val="nil"/>
            </w:tcBorders>
            <w:shd w:val="clear" w:color="auto" w:fill="auto"/>
            <w:vAlign w:val="center"/>
            <w:hideMark/>
          </w:tcPr>
          <w:p w:rsidR="000050A3" w:rsidRPr="006D5A63" w:rsidRDefault="0020095A" w:rsidP="003732A6">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1-MO CHANGE</w:t>
            </w:r>
          </w:p>
        </w:tc>
        <w:tc>
          <w:tcPr>
            <w:tcW w:w="1249" w:type="pct"/>
            <w:tcBorders>
              <w:top w:val="nil"/>
              <w:left w:val="nil"/>
              <w:bottom w:val="nil"/>
              <w:right w:val="nil"/>
            </w:tcBorders>
            <w:shd w:val="clear" w:color="auto" w:fill="auto"/>
            <w:vAlign w:val="center"/>
            <w:hideMark/>
          </w:tcPr>
          <w:p w:rsidR="000050A3" w:rsidRPr="006D5A63" w:rsidRDefault="0020095A" w:rsidP="003732A6">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201</w:t>
            </w:r>
            <w:r>
              <w:rPr>
                <w:rFonts w:asciiTheme="majorHAnsi" w:hAnsiTheme="majorHAnsi"/>
                <w:b/>
                <w:color w:val="3E7BB6"/>
                <w:spacing w:val="-2"/>
              </w:rPr>
              <w:t>8</w:t>
            </w:r>
          </w:p>
        </w:tc>
      </w:tr>
      <w:tr w:rsidR="00CD255B" w:rsidTr="003732A6">
        <w:trPr>
          <w:trHeight w:val="390"/>
          <w:jc w:val="center"/>
        </w:trPr>
        <w:tc>
          <w:tcPr>
            <w:tcW w:w="1250" w:type="pct"/>
            <w:tcBorders>
              <w:top w:val="single" w:sz="4" w:space="0" w:color="A5A5A5"/>
              <w:left w:val="single" w:sz="4" w:space="0" w:color="A5A5A5"/>
              <w:bottom w:val="single" w:sz="4" w:space="0" w:color="A5A5A5"/>
              <w:right w:val="single" w:sz="4" w:space="0" w:color="A5A5A5"/>
            </w:tcBorders>
            <w:shd w:val="clear" w:color="000000" w:fill="F2F2F2"/>
            <w:vAlign w:val="center"/>
            <w:hideMark/>
          </w:tcPr>
          <w:p w:rsidR="00F5056A" w:rsidRPr="006D5A63" w:rsidRDefault="0020095A" w:rsidP="00F5056A">
            <w:pPr>
              <w:spacing w:after="0" w:line="276" w:lineRule="auto"/>
              <w:jc w:val="center"/>
              <w:rPr>
                <w:rFonts w:ascii="Calibri Light" w:eastAsia="Times New Roman" w:hAnsi="Calibri Light" w:cs="Times New Roman"/>
                <w:color w:val="000000"/>
                <w:szCs w:val="20"/>
              </w:rPr>
            </w:pPr>
            <w:r w:rsidRPr="006D5A63">
              <w:rPr>
                <w:rFonts w:ascii="Calibri Light" w:eastAsia="Times New Roman" w:hAnsi="Calibri Light" w:cs="Times New Roman"/>
                <w:color w:val="000000"/>
                <w:szCs w:val="20"/>
              </w:rPr>
              <w:t>DJIA</w:t>
            </w:r>
          </w:p>
        </w:tc>
        <w:tc>
          <w:tcPr>
            <w:tcW w:w="1250" w:type="pct"/>
            <w:tcBorders>
              <w:top w:val="single" w:sz="4" w:space="0" w:color="A5A5A5"/>
              <w:left w:val="nil"/>
              <w:bottom w:val="single" w:sz="4" w:space="0" w:color="A5A5A5"/>
              <w:right w:val="single" w:sz="4" w:space="0" w:color="A5A5A5"/>
            </w:tcBorders>
            <w:shd w:val="clear" w:color="000000" w:fill="F2F2F2"/>
            <w:vAlign w:val="center"/>
            <w:hideMark/>
          </w:tcPr>
          <w:p w:rsidR="00F5056A" w:rsidRPr="00611B94" w:rsidRDefault="0020095A" w:rsidP="00F5056A">
            <w:pPr>
              <w:spacing w:after="0" w:line="276" w:lineRule="auto"/>
              <w:jc w:val="center"/>
              <w:rPr>
                <w:rFonts w:ascii="Calibri Light" w:eastAsia="Times New Roman" w:hAnsi="Calibri Light" w:cs="Times New Roman"/>
                <w:szCs w:val="20"/>
              </w:rPr>
            </w:pPr>
            <w:r w:rsidRPr="00611B94">
              <w:rPr>
                <w:rFonts w:ascii="Calibri Light" w:eastAsia="Times New Roman" w:hAnsi="Calibri Light" w:cs="Times New Roman"/>
                <w:szCs w:val="20"/>
              </w:rPr>
              <w:t>+11.1</w:t>
            </w:r>
            <w:r w:rsidRPr="00611B94">
              <w:rPr>
                <w:rFonts w:ascii="Calibri Light" w:eastAsia="Times New Roman" w:hAnsi="Calibri Light" w:cs="Times New Roman"/>
                <w:szCs w:val="20"/>
              </w:rPr>
              <w:t>5</w:t>
            </w:r>
          </w:p>
        </w:tc>
        <w:tc>
          <w:tcPr>
            <w:tcW w:w="1250" w:type="pct"/>
            <w:tcBorders>
              <w:top w:val="single" w:sz="4" w:space="0" w:color="A5A5A5"/>
              <w:left w:val="nil"/>
              <w:bottom w:val="single" w:sz="4" w:space="0" w:color="A5A5A5"/>
              <w:right w:val="single" w:sz="4" w:space="0" w:color="A5A5A5"/>
            </w:tcBorders>
            <w:shd w:val="clear" w:color="000000" w:fill="F2F2F2"/>
            <w:vAlign w:val="center"/>
            <w:hideMark/>
          </w:tcPr>
          <w:p w:rsidR="00F5056A" w:rsidRPr="00611B94" w:rsidRDefault="0020095A" w:rsidP="00F5056A">
            <w:pPr>
              <w:spacing w:after="0" w:line="276" w:lineRule="auto"/>
              <w:jc w:val="center"/>
              <w:rPr>
                <w:rFonts w:ascii="Calibri Light" w:eastAsia="Times New Roman" w:hAnsi="Calibri Light" w:cs="Times New Roman"/>
                <w:szCs w:val="20"/>
              </w:rPr>
            </w:pPr>
            <w:r w:rsidRPr="00611B94">
              <w:rPr>
                <w:rFonts w:ascii="Calibri Light" w:eastAsia="Times New Roman" w:hAnsi="Calibri Light" w:cs="Times New Roman"/>
                <w:szCs w:val="20"/>
              </w:rPr>
              <w:t>+</w:t>
            </w:r>
            <w:r w:rsidRPr="00611B94">
              <w:rPr>
                <w:rFonts w:ascii="Calibri Light" w:eastAsia="Times New Roman" w:hAnsi="Calibri Light" w:cs="Times New Roman"/>
                <w:szCs w:val="20"/>
              </w:rPr>
              <w:t>0.05</w:t>
            </w:r>
          </w:p>
        </w:tc>
        <w:tc>
          <w:tcPr>
            <w:tcW w:w="1249" w:type="pct"/>
            <w:tcBorders>
              <w:top w:val="single" w:sz="4" w:space="0" w:color="A5A5A5"/>
              <w:left w:val="nil"/>
              <w:bottom w:val="single" w:sz="4" w:space="0" w:color="A5A5A5"/>
              <w:right w:val="single" w:sz="4" w:space="0" w:color="A5A5A5"/>
            </w:tcBorders>
            <w:shd w:val="clear" w:color="000000" w:fill="F2F2F2"/>
            <w:vAlign w:val="center"/>
            <w:hideMark/>
          </w:tcPr>
          <w:p w:rsidR="00F5056A" w:rsidRPr="00611B94" w:rsidRDefault="0020095A" w:rsidP="00F5056A">
            <w:pPr>
              <w:spacing w:after="0" w:line="276" w:lineRule="auto"/>
              <w:jc w:val="center"/>
              <w:rPr>
                <w:rFonts w:ascii="Calibri Light" w:eastAsia="Times New Roman" w:hAnsi="Calibri Light" w:cs="Times New Roman"/>
                <w:szCs w:val="20"/>
              </w:rPr>
            </w:pPr>
            <w:r w:rsidRPr="00611B94">
              <w:rPr>
                <w:rFonts w:ascii="Calibri Light" w:eastAsia="Times New Roman" w:hAnsi="Calibri Light" w:cs="Times New Roman"/>
                <w:szCs w:val="20"/>
              </w:rPr>
              <w:t>-5.63</w:t>
            </w:r>
          </w:p>
        </w:tc>
      </w:tr>
      <w:tr w:rsidR="00CD255B" w:rsidTr="003732A6">
        <w:trPr>
          <w:trHeight w:val="390"/>
          <w:jc w:val="center"/>
        </w:trPr>
        <w:tc>
          <w:tcPr>
            <w:tcW w:w="1250" w:type="pct"/>
            <w:tcBorders>
              <w:top w:val="nil"/>
              <w:left w:val="single" w:sz="4" w:space="0" w:color="A5A5A5"/>
              <w:bottom w:val="single" w:sz="4" w:space="0" w:color="A5A5A5"/>
              <w:right w:val="single" w:sz="4" w:space="0" w:color="A5A5A5"/>
            </w:tcBorders>
            <w:shd w:val="clear" w:color="000000" w:fill="F2F2F2"/>
            <w:vAlign w:val="center"/>
            <w:hideMark/>
          </w:tcPr>
          <w:p w:rsidR="00F5056A" w:rsidRPr="006D5A63" w:rsidRDefault="0020095A" w:rsidP="00F5056A">
            <w:pPr>
              <w:spacing w:after="0" w:line="276" w:lineRule="auto"/>
              <w:jc w:val="center"/>
              <w:rPr>
                <w:rFonts w:ascii="Calibri Light" w:eastAsia="Times New Roman" w:hAnsi="Calibri Light" w:cs="Times New Roman"/>
                <w:color w:val="000000"/>
                <w:szCs w:val="20"/>
              </w:rPr>
            </w:pPr>
            <w:r w:rsidRPr="006D5A63">
              <w:rPr>
                <w:rFonts w:ascii="Calibri Light" w:eastAsia="Times New Roman" w:hAnsi="Calibri Light" w:cs="Times New Roman"/>
                <w:color w:val="000000"/>
                <w:szCs w:val="20"/>
              </w:rPr>
              <w:t>NASDAQ</w:t>
            </w:r>
          </w:p>
        </w:tc>
        <w:tc>
          <w:tcPr>
            <w:tcW w:w="1250" w:type="pct"/>
            <w:tcBorders>
              <w:top w:val="nil"/>
              <w:left w:val="nil"/>
              <w:bottom w:val="single" w:sz="4" w:space="0" w:color="A5A5A5"/>
              <w:right w:val="single" w:sz="4" w:space="0" w:color="A5A5A5"/>
            </w:tcBorders>
            <w:shd w:val="clear" w:color="000000" w:fill="F2F2F2"/>
            <w:vAlign w:val="center"/>
            <w:hideMark/>
          </w:tcPr>
          <w:p w:rsidR="00F5056A" w:rsidRPr="00611B94" w:rsidRDefault="0020095A" w:rsidP="00F5056A">
            <w:pPr>
              <w:spacing w:after="0" w:line="276" w:lineRule="auto"/>
              <w:jc w:val="center"/>
              <w:rPr>
                <w:rFonts w:ascii="Calibri Light" w:eastAsia="Times New Roman" w:hAnsi="Calibri Light" w:cs="Times New Roman"/>
                <w:szCs w:val="20"/>
              </w:rPr>
            </w:pPr>
            <w:r w:rsidRPr="00611B94">
              <w:rPr>
                <w:rFonts w:ascii="Calibri Light" w:eastAsia="Times New Roman" w:hAnsi="Calibri Light" w:cs="Times New Roman"/>
                <w:szCs w:val="20"/>
              </w:rPr>
              <w:t>+1</w:t>
            </w:r>
            <w:r w:rsidRPr="00611B94">
              <w:rPr>
                <w:rFonts w:ascii="Calibri Light" w:eastAsia="Times New Roman" w:hAnsi="Calibri Light" w:cs="Times New Roman"/>
                <w:szCs w:val="20"/>
              </w:rPr>
              <w:t>6.49</w:t>
            </w:r>
          </w:p>
        </w:tc>
        <w:tc>
          <w:tcPr>
            <w:tcW w:w="1250" w:type="pct"/>
            <w:tcBorders>
              <w:top w:val="nil"/>
              <w:left w:val="nil"/>
              <w:bottom w:val="single" w:sz="4" w:space="0" w:color="A5A5A5"/>
              <w:right w:val="single" w:sz="4" w:space="0" w:color="A5A5A5"/>
            </w:tcBorders>
            <w:shd w:val="clear" w:color="000000" w:fill="F2F2F2"/>
            <w:vAlign w:val="center"/>
            <w:hideMark/>
          </w:tcPr>
          <w:p w:rsidR="00F5056A" w:rsidRPr="00611B94" w:rsidRDefault="0020095A" w:rsidP="00F5056A">
            <w:pPr>
              <w:spacing w:after="0" w:line="276" w:lineRule="auto"/>
              <w:jc w:val="center"/>
              <w:rPr>
                <w:rFonts w:ascii="Calibri Light" w:eastAsia="Times New Roman" w:hAnsi="Calibri Light" w:cs="Times New Roman"/>
                <w:szCs w:val="20"/>
              </w:rPr>
            </w:pPr>
            <w:r w:rsidRPr="00611B94">
              <w:rPr>
                <w:rFonts w:ascii="Calibri Light" w:eastAsia="Times New Roman" w:hAnsi="Calibri Light" w:cs="Times New Roman"/>
                <w:szCs w:val="20"/>
              </w:rPr>
              <w:t>+</w:t>
            </w:r>
            <w:r w:rsidRPr="00611B94">
              <w:rPr>
                <w:rFonts w:ascii="Calibri Light" w:eastAsia="Times New Roman" w:hAnsi="Calibri Light" w:cs="Times New Roman"/>
                <w:szCs w:val="20"/>
              </w:rPr>
              <w:t>2.61</w:t>
            </w:r>
          </w:p>
        </w:tc>
        <w:tc>
          <w:tcPr>
            <w:tcW w:w="1249" w:type="pct"/>
            <w:tcBorders>
              <w:top w:val="nil"/>
              <w:left w:val="nil"/>
              <w:bottom w:val="single" w:sz="4" w:space="0" w:color="A5A5A5"/>
              <w:right w:val="single" w:sz="4" w:space="0" w:color="A5A5A5"/>
            </w:tcBorders>
            <w:shd w:val="clear" w:color="000000" w:fill="F2F2F2"/>
            <w:vAlign w:val="center"/>
            <w:hideMark/>
          </w:tcPr>
          <w:p w:rsidR="00F5056A" w:rsidRPr="00611B94" w:rsidRDefault="0020095A" w:rsidP="00F5056A">
            <w:pPr>
              <w:spacing w:after="0" w:line="276" w:lineRule="auto"/>
              <w:jc w:val="center"/>
              <w:rPr>
                <w:rFonts w:ascii="Calibri Light" w:eastAsia="Times New Roman" w:hAnsi="Calibri Light" w:cs="Times New Roman"/>
                <w:szCs w:val="20"/>
              </w:rPr>
            </w:pPr>
            <w:r w:rsidRPr="00611B94">
              <w:rPr>
                <w:rFonts w:ascii="Calibri Light" w:eastAsia="Times New Roman" w:hAnsi="Calibri Light" w:cs="Times New Roman"/>
                <w:szCs w:val="20"/>
              </w:rPr>
              <w:t>-3.88</w:t>
            </w:r>
          </w:p>
        </w:tc>
      </w:tr>
      <w:tr w:rsidR="00CD255B" w:rsidTr="003732A6">
        <w:trPr>
          <w:trHeight w:val="390"/>
          <w:jc w:val="center"/>
        </w:trPr>
        <w:tc>
          <w:tcPr>
            <w:tcW w:w="1250" w:type="pct"/>
            <w:tcBorders>
              <w:top w:val="nil"/>
              <w:left w:val="single" w:sz="4" w:space="0" w:color="A5A5A5"/>
              <w:bottom w:val="single" w:sz="4" w:space="0" w:color="A5A5A5"/>
              <w:right w:val="single" w:sz="4" w:space="0" w:color="A5A5A5"/>
            </w:tcBorders>
            <w:shd w:val="clear" w:color="000000" w:fill="F2F2F2"/>
            <w:vAlign w:val="center"/>
            <w:hideMark/>
          </w:tcPr>
          <w:p w:rsidR="00F5056A" w:rsidRPr="006D5A63" w:rsidRDefault="0020095A" w:rsidP="00F5056A">
            <w:pPr>
              <w:spacing w:after="0" w:line="276" w:lineRule="auto"/>
              <w:jc w:val="center"/>
              <w:rPr>
                <w:rFonts w:ascii="Calibri Light" w:eastAsia="Times New Roman" w:hAnsi="Calibri Light" w:cs="Times New Roman"/>
                <w:color w:val="000000"/>
                <w:szCs w:val="20"/>
              </w:rPr>
            </w:pPr>
            <w:r w:rsidRPr="006D5A63">
              <w:rPr>
                <w:rFonts w:ascii="Calibri Light" w:eastAsia="Times New Roman" w:hAnsi="Calibri Light" w:cs="Times New Roman"/>
                <w:color w:val="000000"/>
                <w:szCs w:val="20"/>
              </w:rPr>
              <w:t>S&amp;P 500</w:t>
            </w:r>
          </w:p>
        </w:tc>
        <w:tc>
          <w:tcPr>
            <w:tcW w:w="1250" w:type="pct"/>
            <w:tcBorders>
              <w:top w:val="nil"/>
              <w:left w:val="nil"/>
              <w:bottom w:val="single" w:sz="4" w:space="0" w:color="A5A5A5"/>
              <w:right w:val="single" w:sz="4" w:space="0" w:color="A5A5A5"/>
            </w:tcBorders>
            <w:shd w:val="clear" w:color="000000" w:fill="F2F2F2"/>
            <w:vAlign w:val="center"/>
            <w:hideMark/>
          </w:tcPr>
          <w:p w:rsidR="00F5056A" w:rsidRPr="00611B94" w:rsidRDefault="0020095A" w:rsidP="00F5056A">
            <w:pPr>
              <w:spacing w:after="0" w:line="276" w:lineRule="auto"/>
              <w:jc w:val="center"/>
              <w:rPr>
                <w:rFonts w:ascii="Calibri Light" w:eastAsia="Times New Roman" w:hAnsi="Calibri Light" w:cs="Times New Roman"/>
                <w:szCs w:val="20"/>
              </w:rPr>
            </w:pPr>
            <w:r w:rsidRPr="00611B94">
              <w:rPr>
                <w:rFonts w:ascii="Calibri Light" w:eastAsia="Times New Roman" w:hAnsi="Calibri Light" w:cs="Times New Roman"/>
                <w:szCs w:val="20"/>
              </w:rPr>
              <w:t>+1</w:t>
            </w:r>
            <w:r w:rsidRPr="00611B94">
              <w:rPr>
                <w:rFonts w:ascii="Calibri Light" w:eastAsia="Times New Roman" w:hAnsi="Calibri Light" w:cs="Times New Roman"/>
                <w:szCs w:val="20"/>
              </w:rPr>
              <w:t>3.07</w:t>
            </w:r>
          </w:p>
        </w:tc>
        <w:tc>
          <w:tcPr>
            <w:tcW w:w="1250" w:type="pct"/>
            <w:tcBorders>
              <w:top w:val="nil"/>
              <w:left w:val="nil"/>
              <w:bottom w:val="single" w:sz="4" w:space="0" w:color="A5A5A5"/>
              <w:right w:val="single" w:sz="4" w:space="0" w:color="A5A5A5"/>
            </w:tcBorders>
            <w:shd w:val="clear" w:color="000000" w:fill="F2F2F2"/>
            <w:vAlign w:val="center"/>
            <w:hideMark/>
          </w:tcPr>
          <w:p w:rsidR="00F5056A" w:rsidRPr="00611B94" w:rsidRDefault="0020095A" w:rsidP="00F5056A">
            <w:pPr>
              <w:spacing w:after="0" w:line="276" w:lineRule="auto"/>
              <w:jc w:val="center"/>
              <w:rPr>
                <w:rFonts w:ascii="Calibri Light" w:eastAsia="Times New Roman" w:hAnsi="Calibri Light" w:cs="Times New Roman"/>
                <w:szCs w:val="20"/>
              </w:rPr>
            </w:pPr>
            <w:r w:rsidRPr="00611B94">
              <w:rPr>
                <w:rFonts w:ascii="Calibri Light" w:eastAsia="Times New Roman" w:hAnsi="Calibri Light" w:cs="Times New Roman"/>
                <w:szCs w:val="20"/>
              </w:rPr>
              <w:t>+1.79</w:t>
            </w:r>
          </w:p>
        </w:tc>
        <w:tc>
          <w:tcPr>
            <w:tcW w:w="1249" w:type="pct"/>
            <w:tcBorders>
              <w:top w:val="nil"/>
              <w:left w:val="nil"/>
              <w:bottom w:val="single" w:sz="4" w:space="0" w:color="A5A5A5"/>
              <w:right w:val="single" w:sz="4" w:space="0" w:color="A5A5A5"/>
            </w:tcBorders>
            <w:shd w:val="clear" w:color="000000" w:fill="F2F2F2"/>
            <w:vAlign w:val="center"/>
            <w:hideMark/>
          </w:tcPr>
          <w:p w:rsidR="00F5056A" w:rsidRPr="00611B94" w:rsidRDefault="0020095A" w:rsidP="00F5056A">
            <w:pPr>
              <w:spacing w:after="0" w:line="276" w:lineRule="auto"/>
              <w:jc w:val="center"/>
              <w:rPr>
                <w:rFonts w:ascii="Calibri Light" w:eastAsia="Times New Roman" w:hAnsi="Calibri Light" w:cs="Times New Roman"/>
                <w:szCs w:val="20"/>
              </w:rPr>
            </w:pPr>
            <w:r w:rsidRPr="00611B94">
              <w:rPr>
                <w:rFonts w:ascii="Calibri Light" w:eastAsia="Times New Roman" w:hAnsi="Calibri Light" w:cs="Times New Roman"/>
                <w:szCs w:val="20"/>
              </w:rPr>
              <w:t>-6.24</w:t>
            </w:r>
          </w:p>
        </w:tc>
      </w:tr>
      <w:tr w:rsidR="00CD255B" w:rsidTr="003732A6">
        <w:trPr>
          <w:trHeight w:val="390"/>
          <w:jc w:val="center"/>
        </w:trPr>
        <w:tc>
          <w:tcPr>
            <w:tcW w:w="1250" w:type="pct"/>
            <w:tcBorders>
              <w:top w:val="nil"/>
              <w:left w:val="nil"/>
              <w:bottom w:val="nil"/>
              <w:right w:val="nil"/>
            </w:tcBorders>
            <w:shd w:val="clear" w:color="auto" w:fill="auto"/>
            <w:vAlign w:val="center"/>
            <w:hideMark/>
          </w:tcPr>
          <w:p w:rsidR="000050A3" w:rsidRPr="006D5A63" w:rsidRDefault="0020095A" w:rsidP="003732A6">
            <w:pPr>
              <w:spacing w:after="0" w:line="276" w:lineRule="auto"/>
              <w:jc w:val="center"/>
              <w:rPr>
                <w:rFonts w:ascii="Calibri Light" w:eastAsia="Times New Roman" w:hAnsi="Calibri Light" w:cs="Times New Roman"/>
                <w:color w:val="000000"/>
                <w:szCs w:val="20"/>
              </w:rPr>
            </w:pPr>
          </w:p>
        </w:tc>
        <w:tc>
          <w:tcPr>
            <w:tcW w:w="1250" w:type="pct"/>
            <w:tcBorders>
              <w:top w:val="nil"/>
              <w:left w:val="nil"/>
              <w:bottom w:val="nil"/>
              <w:right w:val="nil"/>
            </w:tcBorders>
            <w:shd w:val="clear" w:color="auto" w:fill="auto"/>
            <w:vAlign w:val="center"/>
            <w:hideMark/>
          </w:tcPr>
          <w:p w:rsidR="000050A3" w:rsidRPr="006D5A63" w:rsidRDefault="0020095A" w:rsidP="003732A6">
            <w:pPr>
              <w:spacing w:after="0" w:line="276" w:lineRule="auto"/>
              <w:jc w:val="center"/>
              <w:rPr>
                <w:rFonts w:ascii="Times New Roman" w:eastAsia="Times New Roman" w:hAnsi="Times New Roman" w:cs="Times New Roman"/>
                <w:szCs w:val="20"/>
              </w:rPr>
            </w:pPr>
          </w:p>
        </w:tc>
        <w:tc>
          <w:tcPr>
            <w:tcW w:w="1250" w:type="pct"/>
            <w:tcBorders>
              <w:top w:val="nil"/>
              <w:left w:val="nil"/>
              <w:bottom w:val="nil"/>
              <w:right w:val="nil"/>
            </w:tcBorders>
            <w:shd w:val="clear" w:color="auto" w:fill="auto"/>
            <w:vAlign w:val="center"/>
            <w:hideMark/>
          </w:tcPr>
          <w:p w:rsidR="000050A3" w:rsidRPr="006D5A63" w:rsidRDefault="0020095A" w:rsidP="003732A6">
            <w:pPr>
              <w:spacing w:after="0" w:line="276" w:lineRule="auto"/>
              <w:jc w:val="center"/>
              <w:rPr>
                <w:rFonts w:ascii="Times New Roman" w:eastAsia="Times New Roman" w:hAnsi="Times New Roman" w:cs="Times New Roman"/>
                <w:szCs w:val="20"/>
              </w:rPr>
            </w:pPr>
          </w:p>
        </w:tc>
        <w:tc>
          <w:tcPr>
            <w:tcW w:w="1249" w:type="pct"/>
            <w:tcBorders>
              <w:top w:val="nil"/>
              <w:left w:val="nil"/>
              <w:bottom w:val="nil"/>
              <w:right w:val="nil"/>
            </w:tcBorders>
            <w:shd w:val="clear" w:color="auto" w:fill="auto"/>
            <w:vAlign w:val="center"/>
            <w:hideMark/>
          </w:tcPr>
          <w:p w:rsidR="000050A3" w:rsidRPr="006D5A63" w:rsidRDefault="0020095A" w:rsidP="003732A6">
            <w:pPr>
              <w:spacing w:after="0" w:line="276" w:lineRule="auto"/>
              <w:jc w:val="center"/>
              <w:rPr>
                <w:rFonts w:ascii="Times New Roman" w:eastAsia="Times New Roman" w:hAnsi="Times New Roman" w:cs="Times New Roman"/>
                <w:szCs w:val="20"/>
              </w:rPr>
            </w:pPr>
          </w:p>
        </w:tc>
      </w:tr>
      <w:tr w:rsidR="00CD255B" w:rsidTr="003732A6">
        <w:trPr>
          <w:trHeight w:val="390"/>
          <w:jc w:val="center"/>
        </w:trPr>
        <w:tc>
          <w:tcPr>
            <w:tcW w:w="1250" w:type="pct"/>
            <w:tcBorders>
              <w:top w:val="nil"/>
              <w:left w:val="nil"/>
              <w:bottom w:val="nil"/>
              <w:right w:val="nil"/>
            </w:tcBorders>
            <w:shd w:val="clear" w:color="auto" w:fill="auto"/>
            <w:vAlign w:val="center"/>
            <w:hideMark/>
          </w:tcPr>
          <w:p w:rsidR="000050A3" w:rsidRPr="006D5A63" w:rsidRDefault="0020095A" w:rsidP="003732A6">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BOND YIELD</w:t>
            </w:r>
          </w:p>
        </w:tc>
        <w:tc>
          <w:tcPr>
            <w:tcW w:w="1250" w:type="pct"/>
            <w:tcBorders>
              <w:top w:val="nil"/>
              <w:left w:val="nil"/>
              <w:bottom w:val="nil"/>
              <w:right w:val="nil"/>
            </w:tcBorders>
            <w:shd w:val="clear" w:color="auto" w:fill="auto"/>
            <w:vAlign w:val="center"/>
            <w:hideMark/>
          </w:tcPr>
          <w:p w:rsidR="000050A3" w:rsidRPr="006D5A63" w:rsidRDefault="0020095A" w:rsidP="003732A6">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3/29</w:t>
            </w:r>
            <w:r>
              <w:rPr>
                <w:rFonts w:asciiTheme="majorHAnsi" w:hAnsiTheme="majorHAnsi"/>
                <w:b/>
                <w:color w:val="3E7BB6"/>
                <w:spacing w:val="-2"/>
              </w:rPr>
              <w:t xml:space="preserve"> RATE</w:t>
            </w:r>
          </w:p>
        </w:tc>
        <w:tc>
          <w:tcPr>
            <w:tcW w:w="1250" w:type="pct"/>
            <w:tcBorders>
              <w:top w:val="nil"/>
              <w:left w:val="nil"/>
              <w:bottom w:val="nil"/>
              <w:right w:val="nil"/>
            </w:tcBorders>
            <w:shd w:val="clear" w:color="auto" w:fill="auto"/>
            <w:vAlign w:val="center"/>
            <w:hideMark/>
          </w:tcPr>
          <w:p w:rsidR="000050A3" w:rsidRPr="006D5A63" w:rsidRDefault="0020095A" w:rsidP="003732A6">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1 MO AGO</w:t>
            </w:r>
          </w:p>
        </w:tc>
        <w:tc>
          <w:tcPr>
            <w:tcW w:w="1249" w:type="pct"/>
            <w:tcBorders>
              <w:top w:val="nil"/>
              <w:left w:val="nil"/>
              <w:bottom w:val="nil"/>
              <w:right w:val="nil"/>
            </w:tcBorders>
            <w:shd w:val="clear" w:color="auto" w:fill="auto"/>
            <w:vAlign w:val="center"/>
            <w:hideMark/>
          </w:tcPr>
          <w:p w:rsidR="000050A3" w:rsidRPr="006D5A63" w:rsidRDefault="0020095A" w:rsidP="003732A6">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1 YR AGO</w:t>
            </w:r>
          </w:p>
        </w:tc>
      </w:tr>
      <w:tr w:rsidR="00CD255B" w:rsidTr="003732A6">
        <w:trPr>
          <w:trHeight w:val="390"/>
          <w:jc w:val="center"/>
        </w:trPr>
        <w:tc>
          <w:tcPr>
            <w:tcW w:w="1250" w:type="pct"/>
            <w:tcBorders>
              <w:top w:val="single" w:sz="4" w:space="0" w:color="A5A5A5"/>
              <w:left w:val="single" w:sz="4" w:space="0" w:color="A5A5A5"/>
              <w:bottom w:val="single" w:sz="4" w:space="0" w:color="A5A5A5"/>
              <w:right w:val="single" w:sz="4" w:space="0" w:color="A5A5A5"/>
            </w:tcBorders>
            <w:shd w:val="clear" w:color="000000" w:fill="F2F2F2"/>
            <w:vAlign w:val="center"/>
            <w:hideMark/>
          </w:tcPr>
          <w:p w:rsidR="000050A3" w:rsidRPr="00724BD9" w:rsidRDefault="0020095A" w:rsidP="003732A6">
            <w:pPr>
              <w:spacing w:after="0" w:line="276" w:lineRule="auto"/>
              <w:jc w:val="center"/>
              <w:rPr>
                <w:rFonts w:ascii="Calibri Light" w:eastAsia="Times New Roman" w:hAnsi="Calibri Light" w:cs="Times New Roman"/>
                <w:szCs w:val="20"/>
              </w:rPr>
            </w:pPr>
            <w:r w:rsidRPr="00724BD9">
              <w:rPr>
                <w:rFonts w:ascii="Calibri Light" w:eastAsia="Times New Roman" w:hAnsi="Calibri Light" w:cs="Times New Roman"/>
                <w:szCs w:val="20"/>
              </w:rPr>
              <w:lastRenderedPageBreak/>
              <w:t>10</w:t>
            </w:r>
            <w:r w:rsidRPr="00724BD9">
              <w:rPr>
                <w:rFonts w:ascii="Calibri Light" w:eastAsia="Times New Roman" w:hAnsi="Calibri Light" w:cs="Times New Roman"/>
                <w:szCs w:val="20"/>
              </w:rPr>
              <w:t>-</w:t>
            </w:r>
            <w:r w:rsidRPr="00724BD9">
              <w:rPr>
                <w:rFonts w:ascii="Calibri Light" w:eastAsia="Times New Roman" w:hAnsi="Calibri Light" w:cs="Times New Roman"/>
                <w:szCs w:val="20"/>
              </w:rPr>
              <w:t>Y</w:t>
            </w:r>
            <w:r w:rsidRPr="00724BD9">
              <w:rPr>
                <w:rFonts w:ascii="Calibri Light" w:eastAsia="Times New Roman" w:hAnsi="Calibri Light" w:cs="Times New Roman"/>
                <w:szCs w:val="20"/>
              </w:rPr>
              <w:t>EAR</w:t>
            </w:r>
            <w:r w:rsidRPr="00724BD9">
              <w:rPr>
                <w:rFonts w:ascii="Calibri Light" w:eastAsia="Times New Roman" w:hAnsi="Calibri Light" w:cs="Times New Roman"/>
                <w:szCs w:val="20"/>
              </w:rPr>
              <w:t xml:space="preserve"> </w:t>
            </w:r>
            <w:r w:rsidRPr="00724BD9">
              <w:rPr>
                <w:rFonts w:ascii="Calibri Light" w:eastAsia="Times New Roman" w:hAnsi="Calibri Light" w:cs="Times New Roman"/>
                <w:szCs w:val="20"/>
              </w:rPr>
              <w:t>TREASURY</w:t>
            </w:r>
          </w:p>
        </w:tc>
        <w:tc>
          <w:tcPr>
            <w:tcW w:w="1250" w:type="pct"/>
            <w:tcBorders>
              <w:top w:val="single" w:sz="4" w:space="0" w:color="A5A5A5"/>
              <w:left w:val="nil"/>
              <w:bottom w:val="single" w:sz="4" w:space="0" w:color="A5A5A5"/>
              <w:right w:val="single" w:sz="4" w:space="0" w:color="A5A5A5"/>
            </w:tcBorders>
            <w:shd w:val="clear" w:color="000000" w:fill="F2F2F2"/>
            <w:vAlign w:val="center"/>
            <w:hideMark/>
          </w:tcPr>
          <w:p w:rsidR="000050A3" w:rsidRPr="00724BD9" w:rsidRDefault="0020095A" w:rsidP="003732A6">
            <w:pPr>
              <w:spacing w:after="0" w:line="276" w:lineRule="auto"/>
              <w:jc w:val="center"/>
              <w:rPr>
                <w:rFonts w:ascii="Calibri Light" w:eastAsia="Times New Roman" w:hAnsi="Calibri Light" w:cs="Times New Roman"/>
                <w:szCs w:val="20"/>
              </w:rPr>
            </w:pPr>
            <w:r w:rsidRPr="00724BD9">
              <w:rPr>
                <w:rFonts w:ascii="Calibri Light" w:eastAsia="Times New Roman" w:hAnsi="Calibri Light" w:cs="Times New Roman"/>
                <w:szCs w:val="20"/>
              </w:rPr>
              <w:t>2.</w:t>
            </w:r>
            <w:r w:rsidRPr="00724BD9">
              <w:rPr>
                <w:rFonts w:ascii="Calibri Light" w:eastAsia="Times New Roman" w:hAnsi="Calibri Light" w:cs="Times New Roman"/>
                <w:szCs w:val="20"/>
              </w:rPr>
              <w:t>41</w:t>
            </w:r>
          </w:p>
        </w:tc>
        <w:tc>
          <w:tcPr>
            <w:tcW w:w="1250" w:type="pct"/>
            <w:tcBorders>
              <w:top w:val="single" w:sz="4" w:space="0" w:color="A5A5A5"/>
              <w:left w:val="nil"/>
              <w:bottom w:val="single" w:sz="4" w:space="0" w:color="A5A5A5"/>
              <w:right w:val="single" w:sz="4" w:space="0" w:color="A5A5A5"/>
            </w:tcBorders>
            <w:shd w:val="clear" w:color="000000" w:fill="F2F2F2"/>
            <w:vAlign w:val="center"/>
            <w:hideMark/>
          </w:tcPr>
          <w:p w:rsidR="000050A3" w:rsidRPr="00724BD9" w:rsidRDefault="0020095A" w:rsidP="003732A6">
            <w:pPr>
              <w:spacing w:after="0" w:line="276" w:lineRule="auto"/>
              <w:jc w:val="center"/>
              <w:rPr>
                <w:rFonts w:ascii="Calibri Light" w:eastAsia="Times New Roman" w:hAnsi="Calibri Light" w:cs="Times New Roman"/>
                <w:szCs w:val="20"/>
              </w:rPr>
            </w:pPr>
            <w:r w:rsidRPr="00724BD9">
              <w:rPr>
                <w:rFonts w:ascii="Calibri Light" w:eastAsia="Times New Roman" w:hAnsi="Calibri Light" w:cs="Times New Roman"/>
                <w:szCs w:val="20"/>
              </w:rPr>
              <w:t>2.</w:t>
            </w:r>
            <w:r w:rsidRPr="00724BD9">
              <w:rPr>
                <w:rFonts w:ascii="Calibri Light" w:eastAsia="Times New Roman" w:hAnsi="Calibri Light" w:cs="Times New Roman"/>
                <w:szCs w:val="20"/>
              </w:rPr>
              <w:t>7</w:t>
            </w:r>
            <w:r w:rsidRPr="00724BD9">
              <w:rPr>
                <w:rFonts w:ascii="Calibri Light" w:eastAsia="Times New Roman" w:hAnsi="Calibri Light" w:cs="Times New Roman"/>
                <w:szCs w:val="20"/>
              </w:rPr>
              <w:t>3</w:t>
            </w:r>
          </w:p>
        </w:tc>
        <w:tc>
          <w:tcPr>
            <w:tcW w:w="1249" w:type="pct"/>
            <w:tcBorders>
              <w:top w:val="single" w:sz="4" w:space="0" w:color="A5A5A5"/>
              <w:left w:val="nil"/>
              <w:bottom w:val="single" w:sz="4" w:space="0" w:color="A5A5A5"/>
              <w:right w:val="single" w:sz="4" w:space="0" w:color="A5A5A5"/>
            </w:tcBorders>
            <w:shd w:val="clear" w:color="000000" w:fill="F2F2F2"/>
            <w:vAlign w:val="center"/>
            <w:hideMark/>
          </w:tcPr>
          <w:p w:rsidR="000050A3" w:rsidRPr="00724BD9" w:rsidRDefault="0020095A" w:rsidP="003732A6">
            <w:pPr>
              <w:spacing w:after="0" w:line="276" w:lineRule="auto"/>
              <w:jc w:val="center"/>
              <w:rPr>
                <w:rFonts w:ascii="Calibri Light" w:eastAsia="Times New Roman" w:hAnsi="Calibri Light" w:cs="Times New Roman"/>
                <w:szCs w:val="20"/>
              </w:rPr>
            </w:pPr>
            <w:r w:rsidRPr="00724BD9">
              <w:rPr>
                <w:rFonts w:ascii="Calibri Light" w:eastAsia="Times New Roman" w:hAnsi="Calibri Light" w:cs="Times New Roman"/>
                <w:szCs w:val="20"/>
              </w:rPr>
              <w:t>2</w:t>
            </w:r>
            <w:r w:rsidRPr="00724BD9">
              <w:rPr>
                <w:rFonts w:ascii="Calibri Light" w:eastAsia="Times New Roman" w:hAnsi="Calibri Light" w:cs="Times New Roman"/>
                <w:szCs w:val="20"/>
              </w:rPr>
              <w:t>.</w:t>
            </w:r>
            <w:r w:rsidRPr="00724BD9">
              <w:rPr>
                <w:rFonts w:ascii="Calibri Light" w:eastAsia="Times New Roman" w:hAnsi="Calibri Light" w:cs="Times New Roman"/>
                <w:szCs w:val="20"/>
              </w:rPr>
              <w:t>74</w:t>
            </w:r>
          </w:p>
        </w:tc>
      </w:tr>
    </w:tbl>
    <w:p w:rsidR="00775662" w:rsidRPr="002D6595" w:rsidRDefault="0020095A" w:rsidP="00EE6BF2">
      <w:pPr>
        <w:spacing w:line="276" w:lineRule="auto"/>
        <w:rPr>
          <w:rStyle w:val="st"/>
          <w:rFonts w:asciiTheme="majorHAnsi" w:hAnsiTheme="majorHAnsi"/>
          <w:color w:val="767171" w:themeColor="background2" w:themeShade="80"/>
          <w:sz w:val="4"/>
        </w:rPr>
      </w:pPr>
      <w:bookmarkStart w:id="1" w:name="_Hlk533682393"/>
    </w:p>
    <w:bookmarkEnd w:id="1"/>
    <w:p w:rsidR="00775662" w:rsidRPr="006942AF" w:rsidRDefault="0020095A" w:rsidP="00EE6BF2">
      <w:pPr>
        <w:spacing w:line="276" w:lineRule="auto"/>
        <w:jc w:val="center"/>
        <w:rPr>
          <w:rFonts w:asciiTheme="majorHAnsi" w:hAnsiTheme="majorHAnsi"/>
          <w:color w:val="767171" w:themeColor="background2" w:themeShade="80"/>
          <w:sz w:val="18"/>
          <w:szCs w:val="14"/>
        </w:rPr>
      </w:pPr>
      <w:r w:rsidRPr="006942AF">
        <w:rPr>
          <w:rFonts w:asciiTheme="majorHAnsi" w:hAnsiTheme="majorHAnsi"/>
          <w:color w:val="767171" w:themeColor="background2" w:themeShade="80"/>
          <w:sz w:val="18"/>
          <w:szCs w:val="14"/>
        </w:rPr>
        <w:t xml:space="preserve">Sources: </w:t>
      </w:r>
      <w:r>
        <w:rPr>
          <w:rFonts w:asciiTheme="majorHAnsi" w:hAnsiTheme="majorHAnsi"/>
          <w:color w:val="767171" w:themeColor="background2" w:themeShade="80"/>
          <w:sz w:val="18"/>
          <w:szCs w:val="14"/>
        </w:rPr>
        <w:t xml:space="preserve">barchart.com, </w:t>
      </w:r>
      <w:r w:rsidRPr="006942AF">
        <w:rPr>
          <w:rFonts w:asciiTheme="majorHAnsi" w:hAnsiTheme="majorHAnsi"/>
          <w:color w:val="767171" w:themeColor="background2" w:themeShade="80"/>
          <w:sz w:val="18"/>
          <w:szCs w:val="14"/>
        </w:rPr>
        <w:t>wsj</w:t>
      </w:r>
      <w:r w:rsidRPr="006942AF">
        <w:rPr>
          <w:rFonts w:asciiTheme="majorHAnsi" w:hAnsiTheme="majorHAnsi"/>
          <w:color w:val="767171" w:themeColor="background2" w:themeShade="80"/>
          <w:sz w:val="18"/>
          <w:szCs w:val="14"/>
        </w:rPr>
        <w:t>.com,</w:t>
      </w:r>
      <w:r w:rsidRPr="00A90B15">
        <w:rPr>
          <w:rFonts w:asciiTheme="majorHAnsi" w:hAnsiTheme="majorHAnsi"/>
          <w:color w:val="002060"/>
          <w:sz w:val="18"/>
          <w:szCs w:val="14"/>
        </w:rPr>
        <w:t xml:space="preserve"> </w:t>
      </w:r>
      <w:r w:rsidRPr="006942AF">
        <w:rPr>
          <w:rFonts w:asciiTheme="majorHAnsi" w:hAnsiTheme="majorHAnsi"/>
          <w:color w:val="767171" w:themeColor="background2" w:themeShade="80"/>
          <w:sz w:val="18"/>
          <w:szCs w:val="14"/>
        </w:rPr>
        <w:t xml:space="preserve">treasury.gov - </w:t>
      </w:r>
      <w:r>
        <w:rPr>
          <w:rFonts w:asciiTheme="majorHAnsi" w:hAnsiTheme="majorHAnsi"/>
          <w:color w:val="767171" w:themeColor="background2" w:themeShade="80"/>
          <w:sz w:val="18"/>
          <w:szCs w:val="14"/>
        </w:rPr>
        <w:t>3/29</w:t>
      </w:r>
      <w:r w:rsidRPr="006942AF">
        <w:rPr>
          <w:rFonts w:asciiTheme="majorHAnsi" w:hAnsiTheme="majorHAnsi"/>
          <w:color w:val="767171" w:themeColor="background2" w:themeShade="80"/>
          <w:sz w:val="18"/>
          <w:szCs w:val="14"/>
        </w:rPr>
        <w:t>/1</w:t>
      </w:r>
      <w:r w:rsidRPr="006942AF">
        <w:rPr>
          <w:rFonts w:asciiTheme="majorHAnsi" w:hAnsiTheme="majorHAnsi"/>
          <w:color w:val="767171" w:themeColor="background2" w:themeShade="80"/>
          <w:sz w:val="18"/>
          <w:szCs w:val="14"/>
        </w:rPr>
        <w:t>9</w:t>
      </w:r>
      <w:r w:rsidRPr="006942AF">
        <w:rPr>
          <w:rFonts w:asciiTheme="majorHAnsi" w:hAnsiTheme="majorHAnsi"/>
          <w:color w:val="767171" w:themeColor="background2" w:themeShade="80"/>
          <w:sz w:val="18"/>
          <w:szCs w:val="14"/>
          <w:vertAlign w:val="superscript"/>
        </w:rPr>
        <w:t>1</w:t>
      </w:r>
      <w:r w:rsidRPr="006942AF">
        <w:rPr>
          <w:rFonts w:asciiTheme="majorHAnsi" w:hAnsiTheme="majorHAnsi"/>
          <w:color w:val="767171" w:themeColor="background2" w:themeShade="80"/>
          <w:sz w:val="18"/>
          <w:szCs w:val="14"/>
          <w:vertAlign w:val="superscript"/>
        </w:rPr>
        <w:t>,</w:t>
      </w:r>
      <w:r w:rsidRPr="006942AF">
        <w:rPr>
          <w:rFonts w:asciiTheme="majorHAnsi" w:hAnsiTheme="majorHAnsi"/>
          <w:color w:val="767171" w:themeColor="background2" w:themeShade="80"/>
          <w:sz w:val="18"/>
          <w:szCs w:val="14"/>
          <w:vertAlign w:val="superscript"/>
        </w:rPr>
        <w:t>1</w:t>
      </w:r>
      <w:r>
        <w:rPr>
          <w:rFonts w:asciiTheme="majorHAnsi" w:hAnsiTheme="majorHAnsi"/>
          <w:color w:val="767171" w:themeColor="background2" w:themeShade="80"/>
          <w:sz w:val="18"/>
          <w:szCs w:val="14"/>
          <w:vertAlign w:val="superscript"/>
        </w:rPr>
        <w:t>6</w:t>
      </w:r>
      <w:r>
        <w:rPr>
          <w:rFonts w:asciiTheme="majorHAnsi" w:hAnsiTheme="majorHAnsi"/>
          <w:color w:val="767171" w:themeColor="background2" w:themeShade="80"/>
          <w:sz w:val="18"/>
          <w:szCs w:val="14"/>
          <w:vertAlign w:val="superscript"/>
        </w:rPr>
        <w:t>,</w:t>
      </w:r>
      <w:r>
        <w:rPr>
          <w:rFonts w:asciiTheme="majorHAnsi" w:hAnsiTheme="majorHAnsi"/>
          <w:color w:val="767171" w:themeColor="background2" w:themeShade="80"/>
          <w:sz w:val="18"/>
          <w:szCs w:val="14"/>
          <w:vertAlign w:val="superscript"/>
        </w:rPr>
        <w:t>17,</w:t>
      </w:r>
      <w:r>
        <w:rPr>
          <w:rFonts w:asciiTheme="majorHAnsi" w:hAnsiTheme="majorHAnsi"/>
          <w:color w:val="767171" w:themeColor="background2" w:themeShade="80"/>
          <w:sz w:val="18"/>
          <w:szCs w:val="14"/>
          <w:vertAlign w:val="superscript"/>
        </w:rPr>
        <w:t>1</w:t>
      </w:r>
      <w:r>
        <w:rPr>
          <w:rFonts w:asciiTheme="majorHAnsi" w:hAnsiTheme="majorHAnsi"/>
          <w:color w:val="767171" w:themeColor="background2" w:themeShade="80"/>
          <w:sz w:val="18"/>
          <w:szCs w:val="14"/>
          <w:vertAlign w:val="superscript"/>
        </w:rPr>
        <w:t>8</w:t>
      </w:r>
    </w:p>
    <w:p w:rsidR="00775662" w:rsidRDefault="0020095A" w:rsidP="000C0C72">
      <w:pPr>
        <w:spacing w:after="0" w:line="276" w:lineRule="auto"/>
        <w:jc w:val="center"/>
        <w:rPr>
          <w:rFonts w:asciiTheme="majorHAnsi" w:hAnsiTheme="majorHAnsi" w:cs="Verdana"/>
          <w:iCs/>
          <w:color w:val="767171" w:themeColor="background2" w:themeShade="80"/>
          <w:spacing w:val="-4"/>
          <w:sz w:val="18"/>
          <w:szCs w:val="14"/>
        </w:rPr>
      </w:pPr>
      <w:bookmarkStart w:id="2" w:name="_Hlk2838307"/>
      <w:r w:rsidRPr="006942AF">
        <w:rPr>
          <w:rFonts w:asciiTheme="majorHAnsi" w:hAnsiTheme="majorHAnsi" w:cs="Verdana"/>
          <w:iCs/>
          <w:color w:val="767171" w:themeColor="background2" w:themeShade="80"/>
          <w:spacing w:val="-4"/>
          <w:sz w:val="18"/>
          <w:szCs w:val="14"/>
        </w:rPr>
        <w:t>Indices</w:t>
      </w:r>
      <w:r w:rsidRPr="006942AF">
        <w:rPr>
          <w:rFonts w:asciiTheme="majorHAnsi" w:hAnsiTheme="majorHAnsi" w:cs="Verdana"/>
          <w:iCs/>
          <w:color w:val="767171" w:themeColor="background2" w:themeShade="80"/>
          <w:spacing w:val="-4"/>
          <w:sz w:val="18"/>
          <w:szCs w:val="14"/>
        </w:rPr>
        <w:t xml:space="preserve"> are unmanaged, do not incur fees or expenses, and cannot be invested into directly. These returns do not include dividends.</w:t>
      </w:r>
    </w:p>
    <w:p w:rsidR="000C0C72" w:rsidRPr="000C0C72" w:rsidRDefault="0020095A" w:rsidP="00EE6BF2">
      <w:pPr>
        <w:spacing w:line="276" w:lineRule="auto"/>
        <w:jc w:val="center"/>
        <w:rPr>
          <w:rFonts w:asciiTheme="majorHAnsi" w:hAnsiTheme="majorHAnsi" w:cs="Verdana"/>
          <w:iCs/>
          <w:color w:val="767171" w:themeColor="background2" w:themeShade="80"/>
          <w:spacing w:val="-4"/>
          <w:sz w:val="18"/>
          <w:szCs w:val="14"/>
        </w:rPr>
      </w:pPr>
      <w:r w:rsidRPr="00DD38C0">
        <w:rPr>
          <w:rFonts w:asciiTheme="majorHAnsi" w:hAnsiTheme="majorHAnsi" w:cs="Verdana"/>
          <w:iCs/>
          <w:color w:val="646464"/>
          <w:spacing w:val="-4"/>
          <w:sz w:val="18"/>
          <w:szCs w:val="14"/>
        </w:rPr>
        <w:t xml:space="preserve">10-year </w:t>
      </w:r>
      <w:r>
        <w:rPr>
          <w:rFonts w:asciiTheme="majorHAnsi" w:hAnsiTheme="majorHAnsi" w:cs="Verdana"/>
          <w:iCs/>
          <w:color w:val="646464"/>
          <w:spacing w:val="-4"/>
          <w:sz w:val="18"/>
          <w:szCs w:val="14"/>
        </w:rPr>
        <w:t>Treasury</w:t>
      </w:r>
      <w:r w:rsidRPr="00DD38C0">
        <w:rPr>
          <w:rFonts w:asciiTheme="majorHAnsi" w:hAnsiTheme="majorHAnsi" w:cs="Verdana"/>
          <w:iCs/>
          <w:color w:val="646464"/>
          <w:spacing w:val="-4"/>
          <w:sz w:val="18"/>
          <w:szCs w:val="14"/>
        </w:rPr>
        <w:t xml:space="preserve"> yield = projected return </w:t>
      </w:r>
      <w:r>
        <w:rPr>
          <w:rFonts w:asciiTheme="majorHAnsi" w:hAnsiTheme="majorHAnsi" w:cs="Verdana"/>
          <w:iCs/>
          <w:color w:val="646464"/>
          <w:spacing w:val="-4"/>
          <w:sz w:val="18"/>
          <w:szCs w:val="14"/>
        </w:rPr>
        <w:t>on investment, expressed as a percentage, on the U.S. government’s 10-year bond</w:t>
      </w:r>
      <w:r w:rsidRPr="00DD38C0">
        <w:rPr>
          <w:rFonts w:asciiTheme="majorHAnsi" w:hAnsiTheme="majorHAnsi" w:cs="Verdana"/>
          <w:iCs/>
          <w:color w:val="646464"/>
          <w:spacing w:val="-4"/>
          <w:sz w:val="18"/>
          <w:szCs w:val="14"/>
        </w:rPr>
        <w:t>.</w:t>
      </w:r>
    </w:p>
    <w:bookmarkEnd w:id="2"/>
    <w:p w:rsidR="002050E2" w:rsidRPr="000212AC" w:rsidRDefault="0020095A" w:rsidP="004415F6">
      <w:pPr>
        <w:spacing w:after="0" w:line="276" w:lineRule="auto"/>
        <w:jc w:val="center"/>
        <w:rPr>
          <w:rFonts w:asciiTheme="majorHAnsi" w:hAnsiTheme="majorHAnsi" w:cs="Verdana"/>
          <w:iCs/>
          <w:spacing w:val="-4"/>
          <w:sz w:val="18"/>
          <w:szCs w:val="14"/>
        </w:rPr>
      </w:pPr>
    </w:p>
    <w:p w:rsidR="00775662" w:rsidRPr="003F2BAB" w:rsidRDefault="0020095A" w:rsidP="00FF0042">
      <w:pPr>
        <w:spacing w:line="276" w:lineRule="auto"/>
        <w:jc w:val="both"/>
        <w:rPr>
          <w:rFonts w:asciiTheme="majorHAnsi" w:hAnsiTheme="majorHAnsi"/>
          <w:sz w:val="24"/>
        </w:rPr>
      </w:pPr>
      <w:r w:rsidRPr="000212AC">
        <w:rPr>
          <w:rStyle w:val="st"/>
          <w:rFonts w:asciiTheme="majorHAnsi" w:hAnsiTheme="majorHAnsi"/>
          <w:sz w:val="24"/>
        </w:rPr>
        <w:t>Currently, Wall Street</w:t>
      </w:r>
      <w:r w:rsidRPr="000212AC">
        <w:rPr>
          <w:rStyle w:val="st"/>
          <w:rFonts w:asciiTheme="majorHAnsi" w:hAnsiTheme="majorHAnsi"/>
          <w:sz w:val="24"/>
        </w:rPr>
        <w:t>’s collective eye</w:t>
      </w:r>
      <w:r w:rsidRPr="000212AC">
        <w:rPr>
          <w:rStyle w:val="st"/>
          <w:rFonts w:asciiTheme="majorHAnsi" w:hAnsiTheme="majorHAnsi"/>
          <w:sz w:val="24"/>
        </w:rPr>
        <w:t xml:space="preserve"> is </w:t>
      </w:r>
      <w:r w:rsidRPr="000212AC">
        <w:rPr>
          <w:rStyle w:val="st"/>
          <w:rFonts w:asciiTheme="majorHAnsi" w:hAnsiTheme="majorHAnsi"/>
          <w:sz w:val="24"/>
        </w:rPr>
        <w:t xml:space="preserve">focused not only on the upcoming earnings season, but also on domestic and global </w:t>
      </w:r>
      <w:r w:rsidRPr="000212AC">
        <w:rPr>
          <w:rStyle w:val="st"/>
          <w:rFonts w:asciiTheme="majorHAnsi" w:hAnsiTheme="majorHAnsi"/>
          <w:sz w:val="24"/>
        </w:rPr>
        <w:t>growth</w:t>
      </w:r>
      <w:r w:rsidRPr="000212AC">
        <w:rPr>
          <w:rStyle w:val="st"/>
          <w:rFonts w:asciiTheme="majorHAnsi" w:hAnsiTheme="majorHAnsi"/>
          <w:sz w:val="24"/>
        </w:rPr>
        <w:t xml:space="preserve">. </w:t>
      </w:r>
      <w:r>
        <w:rPr>
          <w:rStyle w:val="st"/>
          <w:rFonts w:asciiTheme="majorHAnsi" w:hAnsiTheme="majorHAnsi"/>
          <w:sz w:val="24"/>
        </w:rPr>
        <w:t>Dovish notes sounded by the Fed and the ECB and declining bond yields are signaling reduced expectations of eco</w:t>
      </w:r>
      <w:r w:rsidRPr="006C7CB8">
        <w:rPr>
          <w:rStyle w:val="st"/>
          <w:rFonts w:asciiTheme="majorHAnsi" w:hAnsiTheme="majorHAnsi"/>
          <w:sz w:val="24"/>
        </w:rPr>
        <w:t>nomic vitali</w:t>
      </w:r>
      <w:r w:rsidRPr="006C7CB8">
        <w:rPr>
          <w:rStyle w:val="st"/>
          <w:rFonts w:asciiTheme="majorHAnsi" w:hAnsiTheme="majorHAnsi"/>
          <w:sz w:val="24"/>
        </w:rPr>
        <w:t>ty.</w:t>
      </w:r>
      <w:r w:rsidRPr="006C7CB8">
        <w:rPr>
          <w:rStyle w:val="st"/>
          <w:rFonts w:asciiTheme="majorHAnsi" w:hAnsiTheme="majorHAnsi"/>
          <w:sz w:val="24"/>
        </w:rPr>
        <w:t xml:space="preserve"> </w:t>
      </w:r>
      <w:r w:rsidRPr="006C7CB8">
        <w:rPr>
          <w:rStyle w:val="st"/>
          <w:rFonts w:asciiTheme="majorHAnsi" w:hAnsiTheme="majorHAnsi"/>
          <w:sz w:val="24"/>
        </w:rPr>
        <w:t xml:space="preserve">Perceptions of the market and the economy may be </w:t>
      </w:r>
      <w:r w:rsidRPr="009C5763">
        <w:rPr>
          <w:rStyle w:val="st"/>
          <w:rFonts w:asciiTheme="majorHAnsi" w:hAnsiTheme="majorHAnsi"/>
          <w:sz w:val="24"/>
        </w:rPr>
        <w:t>shifting</w:t>
      </w:r>
      <w:r w:rsidRPr="009C5763">
        <w:rPr>
          <w:rStyle w:val="st"/>
          <w:rFonts w:asciiTheme="majorHAnsi" w:hAnsiTheme="majorHAnsi"/>
          <w:sz w:val="24"/>
        </w:rPr>
        <w:t xml:space="preserve"> as a consequence</w:t>
      </w:r>
      <w:r w:rsidRPr="009C5763">
        <w:rPr>
          <w:rStyle w:val="st"/>
          <w:rFonts w:asciiTheme="majorHAnsi" w:hAnsiTheme="majorHAnsi"/>
          <w:sz w:val="24"/>
        </w:rPr>
        <w:t xml:space="preserve"> and impacting bullish sentiment</w:t>
      </w:r>
      <w:r w:rsidRPr="009C5763">
        <w:rPr>
          <w:rStyle w:val="st"/>
          <w:rFonts w:asciiTheme="majorHAnsi" w:hAnsiTheme="majorHAnsi"/>
          <w:sz w:val="24"/>
        </w:rPr>
        <w:t>. All of this may pose a significant ch</w:t>
      </w:r>
      <w:r w:rsidRPr="00F6476E">
        <w:rPr>
          <w:rStyle w:val="st"/>
          <w:rFonts w:asciiTheme="majorHAnsi" w:hAnsiTheme="majorHAnsi"/>
          <w:sz w:val="24"/>
        </w:rPr>
        <w:t xml:space="preserve">allenge for the stock market this month, and earnings </w:t>
      </w:r>
      <w:r w:rsidRPr="00F6476E">
        <w:rPr>
          <w:rStyle w:val="st"/>
          <w:rFonts w:asciiTheme="majorHAnsi" w:hAnsiTheme="majorHAnsi"/>
          <w:sz w:val="24"/>
        </w:rPr>
        <w:t>results</w:t>
      </w:r>
      <w:r w:rsidRPr="00F6476E">
        <w:rPr>
          <w:rStyle w:val="st"/>
          <w:rFonts w:asciiTheme="majorHAnsi" w:hAnsiTheme="majorHAnsi"/>
          <w:sz w:val="24"/>
        </w:rPr>
        <w:t xml:space="preserve"> may or may not have the</w:t>
      </w:r>
      <w:r w:rsidRPr="00F6476E">
        <w:rPr>
          <w:rStyle w:val="st"/>
          <w:rFonts w:asciiTheme="majorHAnsi" w:hAnsiTheme="majorHAnsi"/>
          <w:sz w:val="24"/>
        </w:rPr>
        <w:t xml:space="preserve"> power to alter such perceptions. This is a good time to remember that markets go through cycles, and over the long term, you</w:t>
      </w:r>
      <w:r w:rsidRPr="00F6476E">
        <w:rPr>
          <w:rStyle w:val="st"/>
          <w:rFonts w:asciiTheme="majorHAnsi" w:hAnsiTheme="majorHAnsi"/>
          <w:sz w:val="24"/>
        </w:rPr>
        <w:t xml:space="preserve"> will experience many of them as an investor.</w:t>
      </w:r>
      <w:r w:rsidRPr="00F6476E">
        <w:rPr>
          <w:rStyle w:val="st"/>
          <w:rFonts w:asciiTheme="majorHAnsi" w:hAnsiTheme="majorHAnsi"/>
          <w:sz w:val="24"/>
        </w:rPr>
        <w:t xml:space="preserve"> There will </w:t>
      </w:r>
      <w:r>
        <w:rPr>
          <w:rStyle w:val="st"/>
          <w:rFonts w:asciiTheme="majorHAnsi" w:hAnsiTheme="majorHAnsi"/>
          <w:sz w:val="24"/>
        </w:rPr>
        <w:t xml:space="preserve">always </w:t>
      </w:r>
      <w:r w:rsidRPr="00F6476E">
        <w:rPr>
          <w:rStyle w:val="st"/>
          <w:rFonts w:asciiTheme="majorHAnsi" w:hAnsiTheme="majorHAnsi"/>
          <w:sz w:val="24"/>
        </w:rPr>
        <w:t>be ups and downs; your investment approach takes them into account,</w:t>
      </w:r>
      <w:r w:rsidRPr="00F6476E">
        <w:rPr>
          <w:rStyle w:val="st"/>
          <w:rFonts w:asciiTheme="majorHAnsi" w:hAnsiTheme="majorHAnsi"/>
          <w:sz w:val="24"/>
        </w:rPr>
        <w:t xml:space="preserve"> </w:t>
      </w:r>
      <w:r>
        <w:rPr>
          <w:rStyle w:val="st"/>
          <w:rFonts w:asciiTheme="majorHAnsi" w:hAnsiTheme="majorHAnsi"/>
          <w:sz w:val="24"/>
        </w:rPr>
        <w:t>plu</w:t>
      </w:r>
      <w:r w:rsidRPr="00F6476E">
        <w:rPr>
          <w:rStyle w:val="st"/>
          <w:rFonts w:asciiTheme="majorHAnsi" w:hAnsiTheme="majorHAnsi"/>
          <w:sz w:val="24"/>
        </w:rPr>
        <w:t xml:space="preserve">s your time horizon. Whether April turns out to be spectacular, disappointing, or somewhere in between, your long-run objectives should remain </w:t>
      </w:r>
      <w:r>
        <w:rPr>
          <w:rStyle w:val="st"/>
          <w:rFonts w:asciiTheme="majorHAnsi" w:hAnsiTheme="majorHAnsi"/>
          <w:sz w:val="24"/>
        </w:rPr>
        <w:t>your</w:t>
      </w:r>
      <w:r w:rsidRPr="00F6476E">
        <w:rPr>
          <w:rStyle w:val="st"/>
          <w:rFonts w:asciiTheme="majorHAnsi" w:hAnsiTheme="majorHAnsi"/>
          <w:sz w:val="24"/>
        </w:rPr>
        <w:t xml:space="preserve"> focus.</w:t>
      </w:r>
    </w:p>
    <w:p w:rsidR="00552AA9" w:rsidRPr="00DD38C0" w:rsidRDefault="0020095A" w:rsidP="00EE6BF2">
      <w:pPr>
        <w:spacing w:line="276" w:lineRule="auto"/>
        <w:rPr>
          <w:rFonts w:asciiTheme="majorHAnsi" w:hAnsiTheme="majorHAnsi"/>
          <w:color w:val="808080"/>
          <w:spacing w:val="-2"/>
          <w:sz w:val="4"/>
        </w:rPr>
      </w:pPr>
    </w:p>
    <w:p w:rsidR="006D5A63" w:rsidRDefault="0020095A"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825083" cy="268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6D5A63" w:rsidRPr="00DD38C0" w:rsidRDefault="0020095A" w:rsidP="00EE6BF2">
      <w:pPr>
        <w:spacing w:line="276" w:lineRule="auto"/>
        <w:jc w:val="center"/>
        <w:rPr>
          <w:rStyle w:val="st"/>
          <w:rFonts w:asciiTheme="majorHAnsi" w:hAnsiTheme="majorHAnsi"/>
          <w:color w:val="E88E0A"/>
          <w:sz w:val="4"/>
        </w:rPr>
      </w:pPr>
    </w:p>
    <w:p w:rsidR="006D5A63" w:rsidRPr="00CE13AE" w:rsidRDefault="0020095A" w:rsidP="00EE6BF2">
      <w:pPr>
        <w:spacing w:line="276" w:lineRule="auto"/>
        <w:jc w:val="center"/>
        <w:rPr>
          <w:rStyle w:val="st"/>
          <w:rFonts w:asciiTheme="majorHAnsi" w:hAnsiTheme="majorHAnsi"/>
          <w:color w:val="3E7BB6"/>
        </w:rPr>
      </w:pPr>
      <w:r w:rsidRPr="00CE13AE">
        <w:rPr>
          <w:rStyle w:val="st"/>
          <w:rFonts w:asciiTheme="majorHAnsi" w:hAnsiTheme="majorHAnsi"/>
          <w:color w:val="3E7BB6"/>
        </w:rPr>
        <w:t xml:space="preserve">Q U O T E   O F   T H E   </w:t>
      </w:r>
      <w:r>
        <w:rPr>
          <w:rStyle w:val="st"/>
          <w:rFonts w:asciiTheme="majorHAnsi" w:hAnsiTheme="majorHAnsi"/>
          <w:color w:val="3E7BB6"/>
        </w:rPr>
        <w:t>M O N T H</w:t>
      </w:r>
    </w:p>
    <w:p w:rsidR="006D5A63" w:rsidRPr="00DD38C0" w:rsidRDefault="0020095A" w:rsidP="00EE6BF2">
      <w:pPr>
        <w:spacing w:line="276" w:lineRule="auto"/>
        <w:jc w:val="center"/>
        <w:rPr>
          <w:rStyle w:val="st"/>
          <w:rFonts w:asciiTheme="majorHAnsi" w:hAnsiTheme="majorHAnsi"/>
          <w:sz w:val="4"/>
        </w:rPr>
      </w:pPr>
    </w:p>
    <w:p w:rsidR="006D5A63" w:rsidRDefault="0020095A" w:rsidP="00EE6BF2">
      <w:pPr>
        <w:spacing w:line="276" w:lineRule="auto"/>
        <w:jc w:val="center"/>
        <w:rPr>
          <w:rStyle w:val="st"/>
          <w:rFonts w:asciiTheme="majorHAnsi" w:hAnsiTheme="majorHAnsi"/>
        </w:rPr>
      </w:pPr>
      <w:r>
        <w:rPr>
          <w:rFonts w:asciiTheme="majorHAnsi" w:hAnsiTheme="majorHAnsi"/>
          <w:noProof/>
        </w:rPr>
        <w:drawing>
          <wp:inline distT="0" distB="0" distL="0" distR="0">
            <wp:extent cx="868680" cy="640080"/>
            <wp:effectExtent l="0" t="0" r="762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8680" cy="640080"/>
                    </a:xfrm>
                    <a:prstGeom prst="rect">
                      <a:avLst/>
                    </a:prstGeom>
                  </pic:spPr>
                </pic:pic>
              </a:graphicData>
            </a:graphic>
          </wp:inline>
        </w:drawing>
      </w:r>
    </w:p>
    <w:p w:rsidR="006D5A63" w:rsidRPr="0085091E" w:rsidRDefault="0020095A" w:rsidP="00EE6BF2">
      <w:pPr>
        <w:spacing w:line="276" w:lineRule="auto"/>
        <w:jc w:val="center"/>
        <w:rPr>
          <w:rStyle w:val="st"/>
          <w:rFonts w:asciiTheme="majorHAnsi" w:hAnsiTheme="majorHAnsi"/>
          <w:i/>
          <w:sz w:val="36"/>
        </w:rPr>
      </w:pPr>
      <w:r w:rsidRPr="0085091E">
        <w:rPr>
          <w:rStyle w:val="st"/>
          <w:rFonts w:asciiTheme="majorHAnsi" w:hAnsiTheme="majorHAnsi"/>
          <w:i/>
          <w:sz w:val="36"/>
        </w:rPr>
        <w:t>“</w:t>
      </w:r>
      <w:r w:rsidRPr="0085091E">
        <w:rPr>
          <w:rStyle w:val="st"/>
          <w:rFonts w:asciiTheme="majorHAnsi" w:hAnsiTheme="majorHAnsi"/>
          <w:i/>
          <w:sz w:val="36"/>
        </w:rPr>
        <w:t xml:space="preserve">He who </w:t>
      </w:r>
      <w:r w:rsidRPr="0085091E">
        <w:rPr>
          <w:rStyle w:val="st"/>
          <w:rFonts w:asciiTheme="majorHAnsi" w:hAnsiTheme="majorHAnsi"/>
          <w:b/>
          <w:i/>
          <w:sz w:val="36"/>
        </w:rPr>
        <w:t>knows</w:t>
      </w:r>
      <w:r w:rsidRPr="0085091E">
        <w:rPr>
          <w:rStyle w:val="st"/>
          <w:rFonts w:asciiTheme="majorHAnsi" w:hAnsiTheme="majorHAnsi"/>
          <w:i/>
          <w:sz w:val="36"/>
        </w:rPr>
        <w:t xml:space="preserve"> that enough is enough will always </w:t>
      </w:r>
      <w:r w:rsidRPr="0085091E">
        <w:rPr>
          <w:rStyle w:val="st"/>
          <w:rFonts w:asciiTheme="majorHAnsi" w:hAnsiTheme="majorHAnsi"/>
          <w:b/>
          <w:i/>
          <w:sz w:val="36"/>
        </w:rPr>
        <w:t>have</w:t>
      </w:r>
      <w:r w:rsidRPr="0085091E">
        <w:rPr>
          <w:rStyle w:val="st"/>
          <w:rFonts w:asciiTheme="majorHAnsi" w:hAnsiTheme="majorHAnsi"/>
          <w:i/>
          <w:sz w:val="36"/>
        </w:rPr>
        <w:t xml:space="preserve"> enough.</w:t>
      </w:r>
      <w:r w:rsidRPr="0085091E">
        <w:rPr>
          <w:rStyle w:val="st"/>
          <w:rFonts w:asciiTheme="majorHAnsi" w:hAnsiTheme="majorHAnsi"/>
          <w:i/>
          <w:sz w:val="36"/>
        </w:rPr>
        <w:t>”</w:t>
      </w:r>
    </w:p>
    <w:p w:rsidR="006D5A63" w:rsidRPr="0085091E" w:rsidRDefault="0020095A" w:rsidP="00EE6BF2">
      <w:pPr>
        <w:spacing w:line="276" w:lineRule="auto"/>
        <w:jc w:val="center"/>
        <w:rPr>
          <w:rStyle w:val="st"/>
          <w:rFonts w:asciiTheme="majorHAnsi" w:hAnsiTheme="majorHAnsi"/>
          <w:caps/>
          <w:sz w:val="24"/>
        </w:rPr>
      </w:pPr>
      <w:r w:rsidRPr="0085091E">
        <w:rPr>
          <w:rStyle w:val="st"/>
          <w:rFonts w:asciiTheme="majorHAnsi" w:hAnsiTheme="majorHAnsi"/>
          <w:i/>
          <w:caps/>
        </w:rPr>
        <w:t>Laozi</w:t>
      </w:r>
    </w:p>
    <w:p w:rsidR="006D5A63" w:rsidRPr="00DD38C0" w:rsidRDefault="0020095A" w:rsidP="00EE6BF2">
      <w:pPr>
        <w:spacing w:line="276" w:lineRule="auto"/>
        <w:jc w:val="center"/>
        <w:rPr>
          <w:rStyle w:val="st"/>
          <w:rFonts w:asciiTheme="majorHAnsi" w:hAnsiTheme="majorHAnsi"/>
          <w:i/>
          <w:color w:val="E88E0A"/>
          <w:sz w:val="4"/>
        </w:rPr>
      </w:pPr>
    </w:p>
    <w:p w:rsidR="00713653" w:rsidRDefault="0020095A"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825083" cy="268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373CC8" w:rsidRPr="00DD38C0" w:rsidRDefault="0020095A" w:rsidP="00EE6BF2">
      <w:pPr>
        <w:spacing w:line="276" w:lineRule="auto"/>
        <w:rPr>
          <w:rStyle w:val="st"/>
          <w:rFonts w:asciiTheme="majorHAnsi" w:hAnsiTheme="majorHAnsi"/>
          <w:sz w:val="4"/>
        </w:rPr>
      </w:pPr>
    </w:p>
    <w:p w:rsidR="00775662" w:rsidRPr="0085091E" w:rsidRDefault="0020095A" w:rsidP="00EE6BF2">
      <w:pPr>
        <w:spacing w:line="276" w:lineRule="auto"/>
        <w:rPr>
          <w:rFonts w:asciiTheme="majorHAnsi" w:hAnsiTheme="majorHAnsi"/>
          <w:b/>
          <w:spacing w:val="-2"/>
          <w:sz w:val="28"/>
        </w:rPr>
      </w:pPr>
      <w:r>
        <w:rPr>
          <w:rFonts w:asciiTheme="majorHAnsi" w:hAnsiTheme="majorHAnsi"/>
          <w:b/>
          <w:color w:val="3E7BB6"/>
          <w:spacing w:val="-2"/>
          <w:sz w:val="28"/>
        </w:rPr>
        <w:t>UPCOMING RELEASES</w:t>
      </w:r>
    </w:p>
    <w:p w:rsidR="00775662" w:rsidRPr="0085091E" w:rsidRDefault="0020095A" w:rsidP="00EE6BF2">
      <w:pPr>
        <w:spacing w:line="276" w:lineRule="auto"/>
        <w:jc w:val="both"/>
        <w:rPr>
          <w:rFonts w:asciiTheme="majorHAnsi" w:hAnsiTheme="majorHAnsi"/>
          <w:color w:val="833C0B" w:themeColor="accent2" w:themeShade="80"/>
          <w:spacing w:val="-2"/>
        </w:rPr>
      </w:pPr>
      <w:r w:rsidRPr="0085091E">
        <w:rPr>
          <w:rFonts w:asciiTheme="majorHAnsi" w:hAnsiTheme="majorHAnsi"/>
          <w:spacing w:val="-2"/>
        </w:rPr>
        <w:t>April’s major scheduled economic news releases include</w:t>
      </w:r>
      <w:r>
        <w:rPr>
          <w:rFonts w:asciiTheme="majorHAnsi" w:hAnsiTheme="majorHAnsi"/>
          <w:spacing w:val="-2"/>
        </w:rPr>
        <w:t>:</w:t>
      </w:r>
      <w:r w:rsidRPr="0085091E">
        <w:rPr>
          <w:rFonts w:asciiTheme="majorHAnsi" w:hAnsiTheme="majorHAnsi"/>
          <w:spacing w:val="-2"/>
        </w:rPr>
        <w:t xml:space="preserve"> </w:t>
      </w:r>
      <w:r>
        <w:rPr>
          <w:rFonts w:asciiTheme="majorHAnsi" w:hAnsiTheme="majorHAnsi"/>
          <w:spacing w:val="-2"/>
        </w:rPr>
        <w:t xml:space="preserve">ADP’s March private payrolls report and the Institute for Supply Management’s March reading on business activity in the service sector (4/3), </w:t>
      </w:r>
      <w:r w:rsidRPr="0085091E">
        <w:rPr>
          <w:rFonts w:asciiTheme="majorHAnsi" w:hAnsiTheme="majorHAnsi"/>
          <w:spacing w:val="-2"/>
        </w:rPr>
        <w:t xml:space="preserve">the </w:t>
      </w:r>
      <w:r>
        <w:rPr>
          <w:rFonts w:asciiTheme="majorHAnsi" w:hAnsiTheme="majorHAnsi"/>
          <w:spacing w:val="-2"/>
        </w:rPr>
        <w:t>latest</w:t>
      </w:r>
      <w:r w:rsidRPr="0085091E">
        <w:rPr>
          <w:rFonts w:asciiTheme="majorHAnsi" w:hAnsiTheme="majorHAnsi"/>
          <w:spacing w:val="-2"/>
        </w:rPr>
        <w:t xml:space="preserve"> jobs report from the Department of Labor (4/5),</w:t>
      </w:r>
      <w:r w:rsidRPr="0085091E">
        <w:rPr>
          <w:rFonts w:asciiTheme="majorHAnsi" w:hAnsiTheme="majorHAnsi"/>
          <w:spacing w:val="-2"/>
        </w:rPr>
        <w:t xml:space="preserve"> </w:t>
      </w:r>
      <w:r w:rsidRPr="0085091E">
        <w:rPr>
          <w:rFonts w:asciiTheme="majorHAnsi" w:hAnsiTheme="majorHAnsi"/>
          <w:spacing w:val="-2"/>
        </w:rPr>
        <w:t>March consumer infla</w:t>
      </w:r>
      <w:r w:rsidRPr="00744CFE">
        <w:rPr>
          <w:rFonts w:asciiTheme="majorHAnsi" w:hAnsiTheme="majorHAnsi"/>
          <w:spacing w:val="-2"/>
        </w:rPr>
        <w:t xml:space="preserve">tion (4/10), March wholesale inflation (4/11), the initial April consumer sentiment reading from the University of Michigan (4/12), </w:t>
      </w:r>
      <w:r w:rsidRPr="00744CFE">
        <w:rPr>
          <w:rFonts w:asciiTheme="majorHAnsi" w:hAnsiTheme="majorHAnsi"/>
          <w:spacing w:val="-2"/>
        </w:rPr>
        <w:t>March</w:t>
      </w:r>
      <w:r w:rsidRPr="00744CFE">
        <w:rPr>
          <w:rFonts w:asciiTheme="majorHAnsi" w:hAnsiTheme="majorHAnsi"/>
          <w:spacing w:val="-2"/>
        </w:rPr>
        <w:t xml:space="preserve"> retail sales (</w:t>
      </w:r>
      <w:r w:rsidRPr="00744CFE">
        <w:rPr>
          <w:rFonts w:asciiTheme="majorHAnsi" w:hAnsiTheme="majorHAnsi"/>
          <w:spacing w:val="-2"/>
        </w:rPr>
        <w:t>4</w:t>
      </w:r>
      <w:r w:rsidRPr="00744CFE">
        <w:rPr>
          <w:rFonts w:asciiTheme="majorHAnsi" w:hAnsiTheme="majorHAnsi"/>
          <w:spacing w:val="-2"/>
        </w:rPr>
        <w:t>/1</w:t>
      </w:r>
      <w:r w:rsidRPr="00744CFE">
        <w:rPr>
          <w:rFonts w:asciiTheme="majorHAnsi" w:hAnsiTheme="majorHAnsi"/>
          <w:spacing w:val="-2"/>
        </w:rPr>
        <w:t>6</w:t>
      </w:r>
      <w:r w:rsidRPr="00744CFE">
        <w:rPr>
          <w:rFonts w:asciiTheme="majorHAnsi" w:hAnsiTheme="majorHAnsi"/>
          <w:spacing w:val="-2"/>
        </w:rPr>
        <w:t xml:space="preserve">), </w:t>
      </w:r>
      <w:r w:rsidRPr="00744CFE">
        <w:rPr>
          <w:rFonts w:asciiTheme="majorHAnsi" w:hAnsiTheme="majorHAnsi"/>
          <w:spacing w:val="-2"/>
        </w:rPr>
        <w:t>March housing starts (4/17)</w:t>
      </w:r>
      <w:r w:rsidRPr="00744CFE">
        <w:rPr>
          <w:rFonts w:asciiTheme="majorHAnsi" w:hAnsiTheme="majorHAnsi"/>
          <w:spacing w:val="-2"/>
        </w:rPr>
        <w:t>,</w:t>
      </w:r>
      <w:r w:rsidRPr="00744CFE">
        <w:rPr>
          <w:rFonts w:asciiTheme="majorHAnsi" w:hAnsiTheme="majorHAnsi"/>
          <w:spacing w:val="-2"/>
        </w:rPr>
        <w:t xml:space="preserve"> the Conference Board’s latest leading indicator </w:t>
      </w:r>
      <w:r w:rsidRPr="006558B1">
        <w:rPr>
          <w:rFonts w:asciiTheme="majorHAnsi" w:hAnsiTheme="majorHAnsi"/>
          <w:spacing w:val="-2"/>
        </w:rPr>
        <w:t>index (4/18),</w:t>
      </w:r>
      <w:r w:rsidRPr="006558B1">
        <w:rPr>
          <w:rFonts w:asciiTheme="majorHAnsi" w:hAnsiTheme="majorHAnsi"/>
          <w:spacing w:val="-2"/>
        </w:rPr>
        <w:t xml:space="preserve"> </w:t>
      </w:r>
      <w:r w:rsidRPr="006558B1">
        <w:rPr>
          <w:rFonts w:asciiTheme="majorHAnsi" w:hAnsiTheme="majorHAnsi"/>
          <w:spacing w:val="-2"/>
        </w:rPr>
        <w:t>March existing home sales (4/22), March</w:t>
      </w:r>
      <w:r w:rsidRPr="006558B1">
        <w:rPr>
          <w:rFonts w:asciiTheme="majorHAnsi" w:hAnsiTheme="majorHAnsi"/>
          <w:spacing w:val="-2"/>
        </w:rPr>
        <w:t xml:space="preserve"> new home sales (</w:t>
      </w:r>
      <w:r w:rsidRPr="006558B1">
        <w:rPr>
          <w:rFonts w:asciiTheme="majorHAnsi" w:hAnsiTheme="majorHAnsi"/>
          <w:spacing w:val="-2"/>
        </w:rPr>
        <w:t>4</w:t>
      </w:r>
      <w:r w:rsidRPr="006558B1">
        <w:rPr>
          <w:rFonts w:asciiTheme="majorHAnsi" w:hAnsiTheme="majorHAnsi"/>
          <w:spacing w:val="-2"/>
        </w:rPr>
        <w:t>/</w:t>
      </w:r>
      <w:r w:rsidRPr="006558B1">
        <w:rPr>
          <w:rFonts w:asciiTheme="majorHAnsi" w:hAnsiTheme="majorHAnsi"/>
          <w:spacing w:val="-2"/>
        </w:rPr>
        <w:t>23</w:t>
      </w:r>
      <w:r w:rsidRPr="006558B1">
        <w:rPr>
          <w:rFonts w:asciiTheme="majorHAnsi" w:hAnsiTheme="majorHAnsi"/>
          <w:spacing w:val="-2"/>
        </w:rPr>
        <w:t xml:space="preserve">), </w:t>
      </w:r>
      <w:r w:rsidRPr="006558B1">
        <w:rPr>
          <w:rFonts w:asciiTheme="majorHAnsi" w:hAnsiTheme="majorHAnsi"/>
          <w:spacing w:val="-2"/>
        </w:rPr>
        <w:t xml:space="preserve">the latest monthly snapshot of hard goods </w:t>
      </w:r>
      <w:r w:rsidRPr="006558B1">
        <w:rPr>
          <w:rFonts w:asciiTheme="majorHAnsi" w:hAnsiTheme="majorHAnsi"/>
          <w:spacing w:val="-2"/>
        </w:rPr>
        <w:lastRenderedPageBreak/>
        <w:t xml:space="preserve">orders </w:t>
      </w:r>
      <w:r w:rsidRPr="006558B1">
        <w:rPr>
          <w:rFonts w:asciiTheme="majorHAnsi" w:hAnsiTheme="majorHAnsi"/>
          <w:spacing w:val="-2"/>
        </w:rPr>
        <w:t>(</w:t>
      </w:r>
      <w:r w:rsidRPr="006558B1">
        <w:rPr>
          <w:rFonts w:asciiTheme="majorHAnsi" w:hAnsiTheme="majorHAnsi"/>
          <w:spacing w:val="-2"/>
        </w:rPr>
        <w:t>4</w:t>
      </w:r>
      <w:r w:rsidRPr="006558B1">
        <w:rPr>
          <w:rFonts w:asciiTheme="majorHAnsi" w:hAnsiTheme="majorHAnsi"/>
          <w:spacing w:val="-2"/>
        </w:rPr>
        <w:t>/</w:t>
      </w:r>
      <w:r w:rsidRPr="006558B1">
        <w:rPr>
          <w:rFonts w:asciiTheme="majorHAnsi" w:hAnsiTheme="majorHAnsi"/>
          <w:spacing w:val="-2"/>
        </w:rPr>
        <w:t>2</w:t>
      </w:r>
      <w:r w:rsidRPr="006558B1">
        <w:rPr>
          <w:rFonts w:asciiTheme="majorHAnsi" w:hAnsiTheme="majorHAnsi"/>
          <w:spacing w:val="-2"/>
        </w:rPr>
        <w:t>5</w:t>
      </w:r>
      <w:r w:rsidRPr="006558B1">
        <w:rPr>
          <w:rFonts w:asciiTheme="majorHAnsi" w:hAnsiTheme="majorHAnsi"/>
          <w:spacing w:val="-2"/>
        </w:rPr>
        <w:t xml:space="preserve">), </w:t>
      </w:r>
      <w:r w:rsidRPr="006558B1">
        <w:rPr>
          <w:rFonts w:asciiTheme="majorHAnsi" w:hAnsiTheme="majorHAnsi"/>
          <w:spacing w:val="-2"/>
        </w:rPr>
        <w:t xml:space="preserve">the final April </w:t>
      </w:r>
      <w:r w:rsidRPr="006558B1">
        <w:rPr>
          <w:rFonts w:asciiTheme="majorHAnsi" w:hAnsiTheme="majorHAnsi"/>
          <w:spacing w:val="-2"/>
        </w:rPr>
        <w:t>University of Michigan consumer sentiment index (4/26), M</w:t>
      </w:r>
      <w:r w:rsidRPr="006558B1">
        <w:rPr>
          <w:rFonts w:asciiTheme="majorHAnsi" w:hAnsiTheme="majorHAnsi"/>
          <w:spacing w:val="-2"/>
        </w:rPr>
        <w:t xml:space="preserve">arch consumer spending (4/29), </w:t>
      </w:r>
      <w:r>
        <w:rPr>
          <w:rFonts w:asciiTheme="majorHAnsi" w:hAnsiTheme="majorHAnsi"/>
          <w:spacing w:val="-2"/>
        </w:rPr>
        <w:t xml:space="preserve">and </w:t>
      </w:r>
      <w:r w:rsidRPr="006558B1">
        <w:rPr>
          <w:rFonts w:asciiTheme="majorHAnsi" w:hAnsiTheme="majorHAnsi"/>
          <w:spacing w:val="-2"/>
        </w:rPr>
        <w:t xml:space="preserve">a new Conference Board consumer confidence index </w:t>
      </w:r>
      <w:r>
        <w:rPr>
          <w:rFonts w:asciiTheme="majorHAnsi" w:hAnsiTheme="majorHAnsi"/>
          <w:spacing w:val="-2"/>
        </w:rPr>
        <w:t xml:space="preserve">and March pending home sales </w:t>
      </w:r>
      <w:r w:rsidRPr="006558B1">
        <w:rPr>
          <w:rFonts w:asciiTheme="majorHAnsi" w:hAnsiTheme="majorHAnsi"/>
          <w:spacing w:val="-2"/>
        </w:rPr>
        <w:t>(</w:t>
      </w:r>
      <w:r w:rsidRPr="006558B1">
        <w:rPr>
          <w:rFonts w:asciiTheme="majorHAnsi" w:hAnsiTheme="majorHAnsi"/>
          <w:spacing w:val="-2"/>
        </w:rPr>
        <w:t>4</w:t>
      </w:r>
      <w:r w:rsidRPr="006558B1">
        <w:rPr>
          <w:rFonts w:asciiTheme="majorHAnsi" w:hAnsiTheme="majorHAnsi"/>
          <w:spacing w:val="-2"/>
        </w:rPr>
        <w:t>/</w:t>
      </w:r>
      <w:r w:rsidRPr="006558B1">
        <w:rPr>
          <w:rFonts w:asciiTheme="majorHAnsi" w:hAnsiTheme="majorHAnsi"/>
          <w:spacing w:val="-2"/>
        </w:rPr>
        <w:t>30</w:t>
      </w:r>
      <w:r w:rsidRPr="006558B1">
        <w:rPr>
          <w:rFonts w:asciiTheme="majorHAnsi" w:hAnsiTheme="majorHAnsi"/>
          <w:spacing w:val="-2"/>
        </w:rPr>
        <w:t>)</w:t>
      </w:r>
      <w:r>
        <w:rPr>
          <w:rFonts w:asciiTheme="majorHAnsi" w:hAnsiTheme="majorHAnsi"/>
          <w:spacing w:val="-2"/>
        </w:rPr>
        <w:t xml:space="preserve">. The Federal Reserve </w:t>
      </w:r>
      <w:r>
        <w:rPr>
          <w:rFonts w:asciiTheme="majorHAnsi" w:hAnsiTheme="majorHAnsi"/>
          <w:spacing w:val="-2"/>
        </w:rPr>
        <w:t>makes</w:t>
      </w:r>
      <w:r>
        <w:rPr>
          <w:rFonts w:asciiTheme="majorHAnsi" w:hAnsiTheme="majorHAnsi"/>
          <w:spacing w:val="-2"/>
        </w:rPr>
        <w:t xml:space="preserve"> its next announcement on interest rates on May 1.</w:t>
      </w:r>
    </w:p>
    <w:p w:rsidR="00775662" w:rsidRDefault="0020095A" w:rsidP="00EE6BF2">
      <w:pPr>
        <w:spacing w:line="276" w:lineRule="auto"/>
        <w:jc w:val="both"/>
        <w:rPr>
          <w:rStyle w:val="st"/>
          <w:rFonts w:asciiTheme="majorHAnsi" w:hAnsiTheme="majorHAnsi"/>
        </w:rPr>
      </w:pPr>
    </w:p>
    <w:p w:rsidR="006D5A63" w:rsidRDefault="0020095A"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825083" cy="268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6D5A63" w:rsidRPr="00DD38C0" w:rsidRDefault="0020095A" w:rsidP="00EE6BF2">
      <w:pPr>
        <w:spacing w:line="276" w:lineRule="auto"/>
        <w:jc w:val="center"/>
        <w:rPr>
          <w:rStyle w:val="st"/>
          <w:rFonts w:asciiTheme="majorHAnsi" w:hAnsiTheme="majorHAnsi"/>
          <w:color w:val="E88E0A"/>
          <w:sz w:val="4"/>
        </w:rPr>
      </w:pPr>
    </w:p>
    <w:p w:rsidR="006D5A63" w:rsidRPr="00CE13AE" w:rsidRDefault="0020095A" w:rsidP="00EE6BF2">
      <w:pPr>
        <w:spacing w:line="276" w:lineRule="auto"/>
        <w:jc w:val="center"/>
        <w:rPr>
          <w:rStyle w:val="st"/>
          <w:rFonts w:asciiTheme="majorHAnsi" w:hAnsiTheme="majorHAnsi"/>
          <w:color w:val="3E7BB6"/>
        </w:rPr>
      </w:pPr>
      <w:r w:rsidRPr="00CE13AE">
        <w:rPr>
          <w:rStyle w:val="st"/>
          <w:rFonts w:asciiTheme="majorHAnsi" w:hAnsiTheme="majorHAnsi"/>
          <w:color w:val="3E7BB6"/>
        </w:rPr>
        <w:t xml:space="preserve">T H E  </w:t>
      </w:r>
      <w:r>
        <w:rPr>
          <w:rStyle w:val="st"/>
          <w:rFonts w:asciiTheme="majorHAnsi" w:hAnsiTheme="majorHAnsi"/>
          <w:color w:val="3E7BB6"/>
        </w:rPr>
        <w:t>M O N T H L Y</w:t>
      </w:r>
      <w:r w:rsidRPr="00CE13AE">
        <w:rPr>
          <w:rStyle w:val="st"/>
          <w:rFonts w:asciiTheme="majorHAnsi" w:hAnsiTheme="majorHAnsi"/>
          <w:color w:val="3E7BB6"/>
        </w:rPr>
        <w:t xml:space="preserve">   R I D D L E</w:t>
      </w:r>
    </w:p>
    <w:p w:rsidR="006D5A63" w:rsidRPr="00DD38C0" w:rsidRDefault="0020095A" w:rsidP="00EE6BF2">
      <w:pPr>
        <w:spacing w:line="276" w:lineRule="auto"/>
        <w:jc w:val="center"/>
        <w:rPr>
          <w:rStyle w:val="st"/>
          <w:rFonts w:asciiTheme="majorHAnsi" w:hAnsiTheme="majorHAnsi"/>
          <w:sz w:val="4"/>
        </w:rPr>
      </w:pPr>
    </w:p>
    <w:p w:rsidR="006D5A63" w:rsidRDefault="0020095A" w:rsidP="00EE6BF2">
      <w:pPr>
        <w:spacing w:line="276" w:lineRule="auto"/>
        <w:jc w:val="center"/>
        <w:rPr>
          <w:rStyle w:val="st"/>
          <w:rFonts w:asciiTheme="majorHAnsi" w:hAnsiTheme="majorHAnsi"/>
        </w:rPr>
      </w:pPr>
      <w:r>
        <w:rPr>
          <w:rFonts w:asciiTheme="majorHAnsi" w:hAnsiTheme="majorHAnsi"/>
          <w:noProof/>
        </w:rPr>
        <w:drawing>
          <wp:inline distT="0" distB="0" distL="0" distR="0">
            <wp:extent cx="776034" cy="955119"/>
            <wp:effectExtent l="0" t="0" r="508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8">
                      <a:extLst>
                        <a:ext uri="{28A0092B-C50C-407E-A947-70E740481C1C}">
                          <a14:useLocalDpi xmlns:a14="http://schemas.microsoft.com/office/drawing/2010/main" val="0"/>
                        </a:ext>
                      </a:extLst>
                    </a:blip>
                    <a:stretch>
                      <a:fillRect/>
                    </a:stretch>
                  </pic:blipFill>
                  <pic:spPr>
                    <a:xfrm>
                      <a:off x="0" y="0"/>
                      <a:ext cx="776034" cy="955119"/>
                    </a:xfrm>
                    <a:prstGeom prst="rect">
                      <a:avLst/>
                    </a:prstGeom>
                  </pic:spPr>
                </pic:pic>
              </a:graphicData>
            </a:graphic>
          </wp:inline>
        </w:drawing>
      </w:r>
    </w:p>
    <w:p w:rsidR="006D5A63" w:rsidRPr="006558B1" w:rsidRDefault="0020095A" w:rsidP="006558B1">
      <w:pPr>
        <w:spacing w:line="276" w:lineRule="auto"/>
        <w:jc w:val="center"/>
        <w:rPr>
          <w:rStyle w:val="st"/>
          <w:rFonts w:asciiTheme="majorHAnsi" w:hAnsiTheme="majorHAnsi"/>
          <w:i/>
          <w:sz w:val="36"/>
        </w:rPr>
      </w:pPr>
      <w:bookmarkStart w:id="3" w:name="_Hlk533572087"/>
      <w:r w:rsidRPr="006558B1">
        <w:rPr>
          <w:rStyle w:val="st"/>
          <w:rFonts w:asciiTheme="majorHAnsi" w:hAnsiTheme="majorHAnsi"/>
          <w:i/>
          <w:sz w:val="36"/>
        </w:rPr>
        <w:t>It is filled with</w:t>
      </w:r>
      <w:r w:rsidRPr="006558B1">
        <w:rPr>
          <w:rStyle w:val="st"/>
          <w:rFonts w:asciiTheme="majorHAnsi" w:hAnsiTheme="majorHAnsi"/>
          <w:i/>
          <w:sz w:val="36"/>
        </w:rPr>
        <w:t xml:space="preserve"> garb, and the price is free; you can take whatever you like and return what you don't need. What is it?</w:t>
      </w:r>
    </w:p>
    <w:bookmarkEnd w:id="3"/>
    <w:p w:rsidR="00237981" w:rsidRPr="00DD38C0" w:rsidRDefault="0020095A" w:rsidP="00EE6BF2">
      <w:pPr>
        <w:spacing w:line="276" w:lineRule="auto"/>
        <w:jc w:val="center"/>
        <w:rPr>
          <w:rStyle w:val="st"/>
          <w:rFonts w:asciiTheme="majorHAnsi" w:hAnsiTheme="majorHAnsi"/>
          <w:i/>
          <w:color w:val="A6A6A6" w:themeColor="background1" w:themeShade="A6"/>
          <w:sz w:val="4"/>
        </w:rPr>
      </w:pPr>
    </w:p>
    <w:p w:rsidR="00237981" w:rsidRPr="00DD38C0" w:rsidRDefault="0020095A" w:rsidP="00EE6BF2">
      <w:pPr>
        <w:spacing w:line="276" w:lineRule="auto"/>
        <w:jc w:val="center"/>
        <w:rPr>
          <w:rStyle w:val="st"/>
          <w:rFonts w:asciiTheme="majorHAnsi" w:hAnsiTheme="majorHAnsi"/>
          <w:i/>
          <w:color w:val="646464"/>
        </w:rPr>
      </w:pPr>
      <w:r w:rsidRPr="00DD38C0">
        <w:rPr>
          <w:rStyle w:val="st"/>
          <w:rFonts w:asciiTheme="majorHAnsi" w:hAnsiTheme="majorHAnsi"/>
          <w:i/>
          <w:color w:val="646464"/>
        </w:rPr>
        <w:t xml:space="preserve">LAST </w:t>
      </w:r>
      <w:r>
        <w:rPr>
          <w:rStyle w:val="st"/>
          <w:rFonts w:asciiTheme="majorHAnsi" w:hAnsiTheme="majorHAnsi"/>
          <w:i/>
          <w:color w:val="646464"/>
        </w:rPr>
        <w:t>MONTH</w:t>
      </w:r>
      <w:r w:rsidRPr="00DD38C0">
        <w:rPr>
          <w:rStyle w:val="st"/>
          <w:rFonts w:asciiTheme="majorHAnsi" w:hAnsiTheme="majorHAnsi"/>
          <w:i/>
          <w:color w:val="646464"/>
        </w:rPr>
        <w:t xml:space="preserve">’S RIDDLE: </w:t>
      </w:r>
      <w:r w:rsidRPr="00744CFE">
        <w:rPr>
          <w:rStyle w:val="st"/>
          <w:rFonts w:asciiTheme="majorHAnsi" w:hAnsiTheme="majorHAnsi"/>
          <w:i/>
          <w:color w:val="646464"/>
        </w:rPr>
        <w:t>What has four legs, bears weight without complaint, and never makes a peep when food is brought its way?</w:t>
      </w:r>
    </w:p>
    <w:p w:rsidR="00237981" w:rsidRPr="00DD38C0" w:rsidRDefault="0020095A" w:rsidP="00EE6BF2">
      <w:pPr>
        <w:spacing w:line="276" w:lineRule="auto"/>
        <w:jc w:val="center"/>
        <w:rPr>
          <w:rStyle w:val="st"/>
          <w:rFonts w:asciiTheme="majorHAnsi" w:hAnsiTheme="majorHAnsi"/>
          <w:i/>
          <w:color w:val="646464"/>
        </w:rPr>
      </w:pPr>
      <w:r>
        <w:rPr>
          <w:rStyle w:val="st"/>
          <w:rFonts w:asciiTheme="majorHAnsi" w:hAnsiTheme="majorHAnsi"/>
          <w:i/>
          <w:color w:val="646464"/>
        </w:rPr>
        <w:t>ANSWER:</w:t>
      </w:r>
      <w:r>
        <w:rPr>
          <w:rStyle w:val="st"/>
          <w:rFonts w:asciiTheme="majorHAnsi" w:hAnsiTheme="majorHAnsi"/>
          <w:i/>
          <w:color w:val="646464"/>
        </w:rPr>
        <w:t xml:space="preserve"> </w:t>
      </w:r>
      <w:r>
        <w:rPr>
          <w:rStyle w:val="st"/>
          <w:rFonts w:asciiTheme="majorHAnsi" w:hAnsiTheme="majorHAnsi"/>
          <w:i/>
          <w:color w:val="646464"/>
        </w:rPr>
        <w:t xml:space="preserve">A </w:t>
      </w:r>
      <w:r>
        <w:rPr>
          <w:rStyle w:val="st"/>
          <w:rFonts w:asciiTheme="majorHAnsi" w:hAnsiTheme="majorHAnsi"/>
          <w:i/>
          <w:color w:val="646464"/>
        </w:rPr>
        <w:t>table</w:t>
      </w:r>
      <w:r w:rsidRPr="0006123D">
        <w:rPr>
          <w:rStyle w:val="st"/>
          <w:rFonts w:asciiTheme="majorHAnsi" w:hAnsiTheme="majorHAnsi"/>
          <w:i/>
          <w:color w:val="646464"/>
        </w:rPr>
        <w:t>.</w:t>
      </w:r>
    </w:p>
    <w:p w:rsidR="00237981" w:rsidRPr="00DD38C0" w:rsidRDefault="0020095A" w:rsidP="00EE6BF2">
      <w:pPr>
        <w:spacing w:line="276" w:lineRule="auto"/>
        <w:jc w:val="center"/>
        <w:rPr>
          <w:rStyle w:val="st"/>
          <w:rFonts w:asciiTheme="majorHAnsi" w:hAnsiTheme="majorHAnsi"/>
          <w:i/>
          <w:color w:val="A6A6A6" w:themeColor="background1" w:themeShade="A6"/>
          <w:sz w:val="4"/>
        </w:rPr>
      </w:pPr>
    </w:p>
    <w:p w:rsidR="00237981" w:rsidRDefault="0020095A" w:rsidP="00EE6BF2">
      <w:pPr>
        <w:spacing w:line="276" w:lineRule="auto"/>
        <w:jc w:val="center"/>
        <w:rPr>
          <w:rStyle w:val="st"/>
          <w:rFonts w:asciiTheme="majorHAnsi" w:hAnsiTheme="majorHAnsi"/>
          <w:i/>
          <w:color w:val="A6A6A6" w:themeColor="background1" w:themeShade="A6"/>
        </w:rPr>
      </w:pPr>
      <w:r w:rsidRPr="004A2938">
        <w:rPr>
          <w:rFonts w:asciiTheme="majorHAnsi" w:hAnsiTheme="majorHAnsi"/>
          <w:noProof/>
          <w:sz w:val="10"/>
        </w:rPr>
        <w:drawing>
          <wp:inline distT="0" distB="0" distL="0" distR="0">
            <wp:extent cx="5825083" cy="268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237981" w:rsidRPr="00DD38C0" w:rsidRDefault="0020095A" w:rsidP="00EE6BF2">
      <w:pPr>
        <w:spacing w:line="276" w:lineRule="auto"/>
        <w:rPr>
          <w:rFonts w:asciiTheme="majorHAnsi" w:hAnsiTheme="majorHAnsi"/>
          <w:color w:val="A6A6A6" w:themeColor="background1" w:themeShade="A6"/>
          <w:sz w:val="2"/>
          <w:szCs w:val="20"/>
        </w:rPr>
      </w:pPr>
    </w:p>
    <w:p w:rsidR="006E3EBF" w:rsidRPr="00425944" w:rsidRDefault="0020095A" w:rsidP="00EE6BF2">
      <w:pPr>
        <w:spacing w:line="276" w:lineRule="auto"/>
        <w:jc w:val="center"/>
        <w:rPr>
          <w:rFonts w:asciiTheme="majorHAnsi" w:hAnsiTheme="majorHAnsi" w:cs="Times New Roman"/>
          <w:sz w:val="2"/>
          <w:szCs w:val="32"/>
        </w:rPr>
      </w:pPr>
      <w:r w:rsidRPr="00237981">
        <w:rPr>
          <w:rFonts w:asciiTheme="majorHAnsi" w:hAnsiTheme="majorHAnsi" w:cs="Times New Roman"/>
          <w:sz w:val="24"/>
          <w:szCs w:val="32"/>
        </w:rPr>
        <w:fldChar w:fldCharType="begin"/>
      </w:r>
      <w:r w:rsidRPr="00237981">
        <w:rPr>
          <w:rFonts w:asciiTheme="majorHAnsi" w:hAnsiTheme="majorHAnsi" w:cs="Times New Roman"/>
          <w:sz w:val="24"/>
          <w:szCs w:val="32"/>
        </w:rPr>
        <w:instrText xml:space="preserve"> MERGEFIELD  representativename  \* MERGEFORMAT </w:instrText>
      </w:r>
      <w:r w:rsidRPr="00237981">
        <w:rPr>
          <w:rFonts w:asciiTheme="majorHAnsi" w:hAnsiTheme="majorHAnsi" w:cs="Times New Roman"/>
          <w:sz w:val="24"/>
          <w:szCs w:val="32"/>
        </w:rPr>
        <w:fldChar w:fldCharType="separate"/>
      </w:r>
      <w:r w:rsidRPr="00237981">
        <w:rPr>
          <w:rFonts w:asciiTheme="majorHAnsi" w:hAnsiTheme="majorHAnsi" w:cs="Times New Roman"/>
          <w:sz w:val="24"/>
          <w:szCs w:val="32"/>
        </w:rPr>
        <w:t>«representativename»</w:t>
      </w:r>
      <w:r w:rsidRPr="00237981">
        <w:rPr>
          <w:rFonts w:asciiTheme="majorHAnsi" w:hAnsiTheme="majorHAnsi" w:cs="Times New Roman"/>
          <w:sz w:val="24"/>
          <w:szCs w:val="32"/>
        </w:rPr>
        <w:fldChar w:fldCharType="end"/>
      </w:r>
      <w:r w:rsidRPr="00237981">
        <w:rPr>
          <w:rFonts w:asciiTheme="majorHAnsi" w:hAnsiTheme="majorHAnsi" w:cs="Times New Roman"/>
          <w:sz w:val="24"/>
          <w:szCs w:val="32"/>
        </w:rPr>
        <w:t xml:space="preserve"> may be reached at </w:t>
      </w:r>
      <w:r w:rsidRPr="00237981">
        <w:rPr>
          <w:rFonts w:asciiTheme="majorHAnsi" w:hAnsiTheme="majorHAnsi" w:cs="Times New Roman"/>
          <w:sz w:val="24"/>
          <w:szCs w:val="32"/>
        </w:rPr>
        <w:fldChar w:fldCharType="begin"/>
      </w:r>
      <w:r w:rsidRPr="00237981">
        <w:rPr>
          <w:rFonts w:asciiTheme="majorHAnsi" w:hAnsiTheme="majorHAnsi" w:cs="Times New Roman"/>
          <w:sz w:val="24"/>
          <w:szCs w:val="32"/>
        </w:rPr>
        <w:instrText xml:space="preserve"> MERGEFIELD  representativephone  \* MERGEFORMAT </w:instrText>
      </w:r>
      <w:r w:rsidRPr="00237981">
        <w:rPr>
          <w:rFonts w:asciiTheme="majorHAnsi" w:hAnsiTheme="majorHAnsi" w:cs="Times New Roman"/>
          <w:sz w:val="24"/>
          <w:szCs w:val="32"/>
        </w:rPr>
        <w:fldChar w:fldCharType="separate"/>
      </w:r>
      <w:r w:rsidRPr="00237981">
        <w:rPr>
          <w:rFonts w:asciiTheme="majorHAnsi" w:hAnsiTheme="majorHAnsi" w:cs="Times New Roman"/>
          <w:sz w:val="24"/>
          <w:szCs w:val="32"/>
        </w:rPr>
        <w:t>«representativephone»</w:t>
      </w:r>
      <w:r w:rsidRPr="00237981">
        <w:rPr>
          <w:rFonts w:asciiTheme="majorHAnsi" w:hAnsiTheme="majorHAnsi" w:cs="Times New Roman"/>
          <w:sz w:val="24"/>
          <w:szCs w:val="32"/>
        </w:rPr>
        <w:fldChar w:fldCharType="end"/>
      </w:r>
      <w:r w:rsidRPr="00237981">
        <w:rPr>
          <w:rFonts w:asciiTheme="majorHAnsi" w:hAnsiTheme="majorHAnsi" w:cs="Times New Roman"/>
          <w:sz w:val="24"/>
          <w:szCs w:val="32"/>
        </w:rPr>
        <w:t xml:space="preserve"> or </w:t>
      </w:r>
      <w:r w:rsidRPr="00237981">
        <w:rPr>
          <w:rFonts w:asciiTheme="majorHAnsi" w:hAnsiTheme="majorHAnsi" w:cs="Times New Roman"/>
          <w:sz w:val="24"/>
          <w:szCs w:val="32"/>
        </w:rPr>
        <w:fldChar w:fldCharType="begin"/>
      </w:r>
      <w:r w:rsidRPr="00237981">
        <w:rPr>
          <w:rFonts w:asciiTheme="majorHAnsi" w:hAnsiTheme="majorHAnsi" w:cs="Times New Roman"/>
          <w:sz w:val="24"/>
          <w:szCs w:val="32"/>
        </w:rPr>
        <w:instrText xml:space="preserve"> MERGEFIELD  representativeemail  \* MERGEFORMAT </w:instrText>
      </w:r>
      <w:r w:rsidRPr="00237981">
        <w:rPr>
          <w:rFonts w:asciiTheme="majorHAnsi" w:hAnsiTheme="majorHAnsi" w:cs="Times New Roman"/>
          <w:sz w:val="24"/>
          <w:szCs w:val="32"/>
        </w:rPr>
        <w:fldChar w:fldCharType="separate"/>
      </w:r>
      <w:r w:rsidRPr="00237981">
        <w:rPr>
          <w:rFonts w:asciiTheme="majorHAnsi" w:hAnsiTheme="majorHAnsi" w:cs="Times New Roman"/>
          <w:sz w:val="24"/>
          <w:szCs w:val="32"/>
        </w:rPr>
        <w:t>«representativeemail»</w:t>
      </w:r>
      <w:r w:rsidRPr="00237981">
        <w:rPr>
          <w:rFonts w:asciiTheme="majorHAnsi" w:hAnsiTheme="majorHAnsi" w:cs="Times New Roman"/>
          <w:sz w:val="24"/>
          <w:szCs w:val="32"/>
        </w:rPr>
        <w:fldChar w:fldCharType="end"/>
      </w:r>
      <w:r w:rsidRPr="00237981">
        <w:rPr>
          <w:rFonts w:asciiTheme="majorHAnsi" w:hAnsiTheme="majorHAnsi" w:cs="Times New Roman"/>
          <w:sz w:val="24"/>
          <w:szCs w:val="32"/>
        </w:rPr>
        <w:t xml:space="preserve"> </w:t>
      </w:r>
      <w:r>
        <w:rPr>
          <w:rFonts w:asciiTheme="majorHAnsi" w:hAnsiTheme="majorHAnsi" w:cs="Times New Roman"/>
          <w:sz w:val="24"/>
          <w:szCs w:val="32"/>
        </w:rPr>
        <w:br/>
      </w:r>
      <w:r w:rsidRPr="00237981">
        <w:rPr>
          <w:rFonts w:asciiTheme="majorHAnsi" w:hAnsiTheme="majorHAnsi" w:cs="Times New Roman"/>
          <w:sz w:val="24"/>
          <w:szCs w:val="32"/>
        </w:rPr>
        <w:fldChar w:fldCharType="begin"/>
      </w:r>
      <w:r w:rsidRPr="00237981">
        <w:rPr>
          <w:rFonts w:asciiTheme="majorHAnsi" w:hAnsiTheme="majorHAnsi" w:cs="Times New Roman"/>
          <w:sz w:val="24"/>
          <w:szCs w:val="32"/>
        </w:rPr>
        <w:instrText xml:space="preserve"> MERGEFIELD  representativewebsite  \* MERGEFORMAT </w:instrText>
      </w:r>
      <w:r w:rsidRPr="00237981">
        <w:rPr>
          <w:rFonts w:asciiTheme="majorHAnsi" w:hAnsiTheme="majorHAnsi" w:cs="Times New Roman"/>
          <w:sz w:val="24"/>
          <w:szCs w:val="32"/>
        </w:rPr>
        <w:fldChar w:fldCharType="separate"/>
      </w:r>
      <w:r w:rsidRPr="00237981">
        <w:rPr>
          <w:rFonts w:asciiTheme="majorHAnsi" w:hAnsiTheme="majorHAnsi" w:cs="Times New Roman"/>
          <w:sz w:val="24"/>
          <w:szCs w:val="32"/>
        </w:rPr>
        <w:t>«representativewebsite»</w:t>
      </w:r>
      <w:r w:rsidRPr="00237981">
        <w:rPr>
          <w:rFonts w:asciiTheme="majorHAnsi" w:hAnsiTheme="majorHAnsi" w:cs="Times New Roman"/>
          <w:sz w:val="24"/>
          <w:szCs w:val="32"/>
        </w:rPr>
        <w:fldChar w:fldCharType="end"/>
      </w:r>
      <w:r>
        <w:rPr>
          <w:rFonts w:asciiTheme="majorHAnsi" w:hAnsiTheme="majorHAnsi" w:cs="Times New Roman"/>
          <w:sz w:val="24"/>
          <w:szCs w:val="32"/>
        </w:rPr>
        <w:br/>
      </w:r>
    </w:p>
    <w:p w:rsidR="00237981" w:rsidRPr="00DD38C0" w:rsidRDefault="0020095A" w:rsidP="00EE6BF2">
      <w:pPr>
        <w:spacing w:line="276" w:lineRule="auto"/>
        <w:jc w:val="center"/>
        <w:rPr>
          <w:rFonts w:asciiTheme="majorHAnsi" w:hAnsiTheme="majorHAnsi" w:cs="Times New Roman"/>
          <w:sz w:val="6"/>
          <w:szCs w:val="32"/>
        </w:rPr>
      </w:pPr>
      <w:r w:rsidRPr="006E3EBF">
        <w:rPr>
          <w:rFonts w:asciiTheme="majorHAnsi" w:hAnsiTheme="majorHAnsi" w:cs="Times New Roman"/>
          <w:b/>
          <w:sz w:val="24"/>
          <w:szCs w:val="32"/>
        </w:rPr>
        <w:t xml:space="preserve">Know someone who could use information like this? </w:t>
      </w:r>
      <w:r>
        <w:rPr>
          <w:rFonts w:asciiTheme="majorHAnsi" w:hAnsiTheme="majorHAnsi" w:cs="Times New Roman"/>
          <w:b/>
          <w:sz w:val="24"/>
          <w:szCs w:val="32"/>
        </w:rPr>
        <w:br/>
      </w:r>
      <w:r>
        <w:rPr>
          <w:rFonts w:asciiTheme="majorHAnsi" w:hAnsiTheme="majorHAnsi" w:cs="Times New Roman"/>
          <w:sz w:val="24"/>
          <w:szCs w:val="32"/>
        </w:rPr>
        <w:t>Please feel free</w:t>
      </w:r>
      <w:r>
        <w:rPr>
          <w:rFonts w:asciiTheme="majorHAnsi" w:hAnsiTheme="majorHAnsi" w:cs="Times New Roman"/>
          <w:sz w:val="24"/>
          <w:szCs w:val="32"/>
        </w:rPr>
        <w:t xml:space="preserve"> to</w:t>
      </w:r>
      <w:r>
        <w:rPr>
          <w:rFonts w:asciiTheme="majorHAnsi" w:hAnsiTheme="majorHAnsi" w:cs="Times New Roman"/>
          <w:sz w:val="24"/>
          <w:szCs w:val="32"/>
        </w:rPr>
        <w:t xml:space="preserve"> send us their contact information via phone or email. (Don’t worry – we’ll request their permission before</w:t>
      </w:r>
      <w:r>
        <w:rPr>
          <w:rFonts w:asciiTheme="majorHAnsi" w:hAnsiTheme="majorHAnsi" w:cs="Times New Roman"/>
          <w:sz w:val="24"/>
          <w:szCs w:val="32"/>
        </w:rPr>
        <w:t xml:space="preserve"> adding them to our mailing list.)</w:t>
      </w:r>
    </w:p>
    <w:p w:rsidR="00237981" w:rsidRDefault="0020095A" w:rsidP="00EE6BF2">
      <w:pPr>
        <w:spacing w:line="276" w:lineRule="auto"/>
        <w:jc w:val="center"/>
        <w:rPr>
          <w:rFonts w:asciiTheme="majorHAnsi" w:hAnsiTheme="majorHAnsi"/>
          <w:color w:val="A6A6A6" w:themeColor="background1" w:themeShade="A6"/>
          <w:sz w:val="20"/>
          <w:szCs w:val="20"/>
        </w:rPr>
      </w:pPr>
      <w:r w:rsidRPr="004A2938">
        <w:rPr>
          <w:rFonts w:asciiTheme="majorHAnsi" w:hAnsiTheme="majorHAnsi"/>
          <w:noProof/>
          <w:sz w:val="10"/>
        </w:rPr>
        <w:drawing>
          <wp:inline distT="0" distB="0" distL="0" distR="0">
            <wp:extent cx="5825083" cy="268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EA0505" w:rsidRPr="00DD38C0" w:rsidRDefault="0020095A" w:rsidP="00EE6BF2">
      <w:pPr>
        <w:spacing w:line="276" w:lineRule="auto"/>
        <w:jc w:val="both"/>
        <w:rPr>
          <w:rFonts w:asciiTheme="majorHAnsi" w:hAnsiTheme="majorHAnsi"/>
          <w:color w:val="646464"/>
          <w:sz w:val="2"/>
          <w:szCs w:val="16"/>
        </w:rPr>
      </w:pPr>
    </w:p>
    <w:p w:rsidR="0020095A" w:rsidRDefault="0020095A" w:rsidP="0020095A">
      <w:pPr>
        <w:rPr>
          <w:rFonts w:ascii="Arial" w:hAnsi="Arial" w:cs="Arial"/>
          <w:i/>
          <w:iCs/>
          <w:color w:val="858F98"/>
          <w:sz w:val="16"/>
          <w:szCs w:val="16"/>
        </w:rPr>
      </w:pPr>
      <w:r>
        <w:rPr>
          <w:rFonts w:ascii="Arial" w:hAnsi="Arial" w:cs="Arial"/>
          <w:i/>
          <w:iCs/>
          <w:color w:val="858F98"/>
          <w:sz w:val="16"/>
          <w:szCs w:val="16"/>
        </w:rPr>
        <w:t xml:space="preserve">Insurance services provided through The Meltzer Group, Inc. (TMG), a subsidiary of NFP Corp. (NFP). Securities offered through </w:t>
      </w:r>
      <w:proofErr w:type="spellStart"/>
      <w:r>
        <w:rPr>
          <w:rFonts w:ascii="Arial" w:hAnsi="Arial" w:cs="Arial"/>
          <w:i/>
          <w:iCs/>
          <w:color w:val="858F98"/>
          <w:sz w:val="16"/>
          <w:szCs w:val="16"/>
        </w:rPr>
        <w:t>Kestra</w:t>
      </w:r>
      <w:proofErr w:type="spellEnd"/>
      <w:r>
        <w:rPr>
          <w:rFonts w:ascii="Arial" w:hAnsi="Arial" w:cs="Arial"/>
          <w:i/>
          <w:iCs/>
          <w:color w:val="858F98"/>
          <w:sz w:val="16"/>
          <w:szCs w:val="16"/>
        </w:rPr>
        <w:t xml:space="preserve"> Investment Services, LLC (</w:t>
      </w:r>
      <w:proofErr w:type="spellStart"/>
      <w:r>
        <w:rPr>
          <w:rFonts w:ascii="Arial" w:hAnsi="Arial" w:cs="Arial"/>
          <w:i/>
          <w:iCs/>
          <w:color w:val="858F98"/>
          <w:sz w:val="16"/>
          <w:szCs w:val="16"/>
        </w:rPr>
        <w:t>Kestra</w:t>
      </w:r>
      <w:proofErr w:type="spellEnd"/>
      <w:r>
        <w:rPr>
          <w:rFonts w:ascii="Arial" w:hAnsi="Arial" w:cs="Arial"/>
          <w:i/>
          <w:iCs/>
          <w:color w:val="858F98"/>
          <w:sz w:val="16"/>
          <w:szCs w:val="16"/>
        </w:rPr>
        <w:t xml:space="preserve"> IS), member FINRA/SIPC. Investment Advisory Services offered through </w:t>
      </w:r>
      <w:proofErr w:type="spellStart"/>
      <w:r>
        <w:rPr>
          <w:rFonts w:ascii="Arial" w:hAnsi="Arial" w:cs="Arial"/>
          <w:i/>
          <w:iCs/>
          <w:color w:val="858F98"/>
          <w:sz w:val="16"/>
          <w:szCs w:val="16"/>
        </w:rPr>
        <w:t>Kestra</w:t>
      </w:r>
      <w:proofErr w:type="spellEnd"/>
      <w:r>
        <w:rPr>
          <w:rFonts w:ascii="Arial" w:hAnsi="Arial" w:cs="Arial"/>
          <w:i/>
          <w:iCs/>
          <w:color w:val="858F98"/>
          <w:sz w:val="16"/>
          <w:szCs w:val="16"/>
        </w:rPr>
        <w:t xml:space="preserve"> Advisory Services, LLC (</w:t>
      </w:r>
      <w:proofErr w:type="spellStart"/>
      <w:r>
        <w:rPr>
          <w:rFonts w:ascii="Arial" w:hAnsi="Arial" w:cs="Arial"/>
          <w:i/>
          <w:iCs/>
          <w:color w:val="858F98"/>
          <w:sz w:val="16"/>
          <w:szCs w:val="16"/>
        </w:rPr>
        <w:t>Kestra</w:t>
      </w:r>
      <w:proofErr w:type="spellEnd"/>
      <w:r>
        <w:rPr>
          <w:rFonts w:ascii="Arial" w:hAnsi="Arial" w:cs="Arial"/>
          <w:i/>
          <w:iCs/>
          <w:color w:val="858F98"/>
          <w:sz w:val="16"/>
          <w:szCs w:val="16"/>
        </w:rPr>
        <w:t xml:space="preserve"> AS), </w:t>
      </w:r>
      <w:proofErr w:type="gramStart"/>
      <w:r>
        <w:rPr>
          <w:rFonts w:ascii="Arial" w:hAnsi="Arial" w:cs="Arial"/>
          <w:i/>
          <w:iCs/>
          <w:color w:val="858F98"/>
          <w:sz w:val="16"/>
          <w:szCs w:val="16"/>
        </w:rPr>
        <w:t>an</w:t>
      </w:r>
      <w:proofErr w:type="gramEnd"/>
      <w:r>
        <w:rPr>
          <w:rFonts w:ascii="Arial" w:hAnsi="Arial" w:cs="Arial"/>
          <w:i/>
          <w:iCs/>
          <w:color w:val="858F98"/>
          <w:sz w:val="16"/>
          <w:szCs w:val="16"/>
        </w:rPr>
        <w:t xml:space="preserve"> affiliate of </w:t>
      </w:r>
      <w:proofErr w:type="spellStart"/>
      <w:r>
        <w:rPr>
          <w:rFonts w:ascii="Arial" w:hAnsi="Arial" w:cs="Arial"/>
          <w:i/>
          <w:iCs/>
          <w:color w:val="858F98"/>
          <w:sz w:val="16"/>
          <w:szCs w:val="16"/>
        </w:rPr>
        <w:t>Kestra</w:t>
      </w:r>
      <w:proofErr w:type="spellEnd"/>
      <w:r>
        <w:rPr>
          <w:rFonts w:ascii="Arial" w:hAnsi="Arial" w:cs="Arial"/>
          <w:i/>
          <w:iCs/>
          <w:color w:val="858F98"/>
          <w:sz w:val="16"/>
          <w:szCs w:val="16"/>
        </w:rPr>
        <w:t xml:space="preserve"> IS. </w:t>
      </w:r>
      <w:proofErr w:type="spellStart"/>
      <w:r>
        <w:rPr>
          <w:rFonts w:ascii="Arial" w:hAnsi="Arial" w:cs="Arial"/>
          <w:i/>
          <w:iCs/>
          <w:color w:val="858F98"/>
          <w:sz w:val="16"/>
          <w:szCs w:val="16"/>
        </w:rPr>
        <w:t>Kestra</w:t>
      </w:r>
      <w:proofErr w:type="spellEnd"/>
      <w:r>
        <w:rPr>
          <w:rFonts w:ascii="Arial" w:hAnsi="Arial" w:cs="Arial"/>
          <w:i/>
          <w:iCs/>
          <w:color w:val="858F98"/>
          <w:sz w:val="16"/>
          <w:szCs w:val="16"/>
        </w:rPr>
        <w:t xml:space="preserve"> IS and </w:t>
      </w:r>
      <w:proofErr w:type="spellStart"/>
      <w:r>
        <w:rPr>
          <w:rFonts w:ascii="Arial" w:hAnsi="Arial" w:cs="Arial"/>
          <w:i/>
          <w:iCs/>
          <w:color w:val="858F98"/>
          <w:sz w:val="16"/>
          <w:szCs w:val="16"/>
        </w:rPr>
        <w:t>Kestra</w:t>
      </w:r>
      <w:proofErr w:type="spellEnd"/>
      <w:r>
        <w:rPr>
          <w:rFonts w:ascii="Arial" w:hAnsi="Arial" w:cs="Arial"/>
          <w:i/>
          <w:iCs/>
          <w:color w:val="858F98"/>
          <w:sz w:val="16"/>
          <w:szCs w:val="16"/>
        </w:rPr>
        <w:t xml:space="preserve"> AS are not affiliated with TMG or NFP. </w:t>
      </w:r>
    </w:p>
    <w:p w:rsidR="00237981" w:rsidRPr="00DD38C0" w:rsidRDefault="0020095A" w:rsidP="00EE6BF2">
      <w:pPr>
        <w:widowControl w:val="0"/>
        <w:autoSpaceDE w:val="0"/>
        <w:autoSpaceDN w:val="0"/>
        <w:adjustRightInd w:val="0"/>
        <w:spacing w:line="276" w:lineRule="auto"/>
        <w:jc w:val="both"/>
        <w:rPr>
          <w:rFonts w:asciiTheme="majorHAnsi" w:hAnsiTheme="majorHAnsi"/>
          <w:color w:val="646464"/>
          <w:sz w:val="16"/>
          <w:szCs w:val="16"/>
        </w:rPr>
      </w:pPr>
      <w:bookmarkStart w:id="4" w:name="_GoBack"/>
      <w:bookmarkEnd w:id="4"/>
      <w:r w:rsidRPr="00DD38C0">
        <w:rPr>
          <w:rFonts w:asciiTheme="majorHAnsi" w:hAnsiTheme="majorHAnsi" w:cs="Arial"/>
          <w:color w:val="646464"/>
          <w:sz w:val="16"/>
          <w:szCs w:val="16"/>
        </w:rPr>
        <w:t>This material was prepared by MarketingPro, Inc., and does not necessarily represent the views of the presenting party, nor their affiliates. The information herein has been derived from sources believed to be accurate. Please note - investing involves ris</w:t>
      </w:r>
      <w:r w:rsidRPr="00DD38C0">
        <w:rPr>
          <w:rFonts w:asciiTheme="majorHAnsi" w:hAnsiTheme="majorHAnsi" w:cs="Arial"/>
          <w:color w:val="646464"/>
          <w:sz w:val="16"/>
          <w:szCs w:val="16"/>
        </w:rPr>
        <w:t>k, and past performance is no guarantee of future results. Investments will fluctuate and when redeemed may be worth more or less than when originally invested. This information should not be construed as investment, tax or legal advice and may not be reli</w:t>
      </w:r>
      <w:r w:rsidRPr="00DD38C0">
        <w:rPr>
          <w:rFonts w:asciiTheme="majorHAnsi" w:hAnsiTheme="majorHAnsi" w:cs="Arial"/>
          <w:color w:val="646464"/>
          <w:sz w:val="16"/>
          <w:szCs w:val="16"/>
        </w:rPr>
        <w:t xml:space="preserve">ed on for the purpose of avoiding any Federal tax penalty. This is neither a solicitation nor recommendation to purchase or sell any investment or insurance product or service, and should not be relied upon as such. </w:t>
      </w:r>
      <w:r w:rsidRPr="00C64077">
        <w:rPr>
          <w:rFonts w:asciiTheme="majorHAnsi" w:hAnsiTheme="majorHAnsi" w:cs="Arial"/>
          <w:color w:val="646464"/>
          <w:sz w:val="16"/>
          <w:szCs w:val="16"/>
        </w:rPr>
        <w:t>All market indices discussed are unmanag</w:t>
      </w:r>
      <w:r w:rsidRPr="00C64077">
        <w:rPr>
          <w:rFonts w:asciiTheme="majorHAnsi" w:hAnsiTheme="majorHAnsi" w:cs="Arial"/>
          <w:color w:val="646464"/>
          <w:sz w:val="16"/>
          <w:szCs w:val="16"/>
        </w:rPr>
        <w:t>ed and are not illustrative of any particular investment. Indices do not incur management fees, costs, or expenses. Investors cannot invest directly in indices</w:t>
      </w:r>
      <w:r w:rsidRPr="001162D1">
        <w:rPr>
          <w:rFonts w:asciiTheme="majorHAnsi" w:hAnsiTheme="majorHAnsi" w:cs="Arial"/>
          <w:color w:val="646464"/>
          <w:sz w:val="16"/>
          <w:szCs w:val="16"/>
        </w:rPr>
        <w:t>.</w:t>
      </w:r>
      <w:r w:rsidRPr="00DD38C0">
        <w:rPr>
          <w:rFonts w:asciiTheme="majorHAnsi" w:hAnsiTheme="majorHAnsi" w:cs="Arial"/>
          <w:color w:val="646464"/>
          <w:sz w:val="16"/>
          <w:szCs w:val="16"/>
        </w:rPr>
        <w:t xml:space="preserve"> All economic and performance data is historical and not indicative of future results.</w:t>
      </w:r>
      <w:r w:rsidRPr="00DD38C0">
        <w:rPr>
          <w:rFonts w:asciiTheme="majorHAnsi" w:hAnsiTheme="majorHAnsi"/>
          <w:color w:val="646464"/>
          <w:sz w:val="16"/>
          <w:szCs w:val="16"/>
        </w:rPr>
        <w:t xml:space="preserve"> The Dow J</w:t>
      </w:r>
      <w:r w:rsidRPr="00DD38C0">
        <w:rPr>
          <w:rFonts w:asciiTheme="majorHAnsi" w:hAnsiTheme="majorHAnsi"/>
          <w:color w:val="646464"/>
          <w:sz w:val="16"/>
          <w:szCs w:val="16"/>
        </w:rPr>
        <w:t xml:space="preserve">ones Industrial Average is a price-weighted index of 30 actively traded blue-chip stocks. The NASDAQ </w:t>
      </w:r>
      <w:r w:rsidRPr="00DD38C0">
        <w:rPr>
          <w:rFonts w:asciiTheme="majorHAnsi" w:hAnsiTheme="majorHAnsi"/>
          <w:color w:val="646464"/>
          <w:sz w:val="16"/>
          <w:szCs w:val="16"/>
        </w:rPr>
        <w:lastRenderedPageBreak/>
        <w:t>Composite Index is a market-weighted index of all over-the-counter common stocks traded on the National Association of Securities Dealers Automated Quotati</w:t>
      </w:r>
      <w:r w:rsidRPr="00DD38C0">
        <w:rPr>
          <w:rFonts w:asciiTheme="majorHAnsi" w:hAnsiTheme="majorHAnsi"/>
          <w:color w:val="646464"/>
          <w:sz w:val="16"/>
          <w:szCs w:val="16"/>
        </w:rPr>
        <w:t>on System. The Standard &amp; Poor's 500 (S&amp;P 500)</w:t>
      </w:r>
      <w:r w:rsidRPr="00DD38C0">
        <w:rPr>
          <w:rFonts w:asciiTheme="majorHAnsi" w:hAnsiTheme="majorHAnsi"/>
          <w:iCs/>
          <w:color w:val="646464"/>
          <w:sz w:val="16"/>
          <w:szCs w:val="16"/>
        </w:rPr>
        <w:t xml:space="preserve"> is a market-cap weighted index composed of the common stocks of 500 leading companies in leading industries of the U.S. economy</w:t>
      </w:r>
      <w:r w:rsidRPr="00DD38C0">
        <w:rPr>
          <w:rFonts w:asciiTheme="majorHAnsi" w:hAnsiTheme="majorHAnsi"/>
          <w:color w:val="646464"/>
          <w:sz w:val="16"/>
          <w:szCs w:val="16"/>
        </w:rPr>
        <w:t xml:space="preserve">. The Russell 2000 Index measures the performance of the small-cap segment of the </w:t>
      </w:r>
      <w:r w:rsidRPr="00DD38C0">
        <w:rPr>
          <w:rFonts w:asciiTheme="majorHAnsi" w:hAnsiTheme="majorHAnsi"/>
          <w:color w:val="646464"/>
          <w:sz w:val="16"/>
          <w:szCs w:val="16"/>
        </w:rPr>
        <w:t>U.S. equity universe. The CBOE Volatility Index</w:t>
      </w:r>
      <w:r w:rsidRPr="00DD38C0">
        <w:rPr>
          <w:rFonts w:asciiTheme="majorHAnsi" w:hAnsiTheme="majorHAnsi"/>
          <w:color w:val="646464"/>
          <w:sz w:val="16"/>
          <w:szCs w:val="16"/>
          <w:vertAlign w:val="superscript"/>
        </w:rPr>
        <w:t>®</w:t>
      </w:r>
      <w:r w:rsidRPr="00DD38C0">
        <w:rPr>
          <w:rFonts w:asciiTheme="majorHAnsi" w:hAnsiTheme="majorHAnsi"/>
          <w:color w:val="646464"/>
          <w:sz w:val="16"/>
          <w:szCs w:val="16"/>
        </w:rPr>
        <w:t xml:space="preserve"> (VIX</w:t>
      </w:r>
      <w:r w:rsidRPr="00DD38C0">
        <w:rPr>
          <w:rFonts w:asciiTheme="majorHAnsi" w:hAnsiTheme="majorHAnsi"/>
          <w:color w:val="646464"/>
          <w:sz w:val="16"/>
          <w:szCs w:val="16"/>
          <w:vertAlign w:val="superscript"/>
        </w:rPr>
        <w:t>®</w:t>
      </w:r>
      <w:r w:rsidRPr="00DD38C0">
        <w:rPr>
          <w:rFonts w:asciiTheme="majorHAnsi" w:hAnsiTheme="majorHAnsi"/>
          <w:color w:val="646464"/>
          <w:sz w:val="16"/>
          <w:szCs w:val="16"/>
        </w:rPr>
        <w:t>) is a key measure of market expectations of near-term volatility conveyed by S&amp;P 500 stock index option prices. NYSE Group, Inc. (NYSE:NYX) operates two securities exchanges: the New York Stock Exchang</w:t>
      </w:r>
      <w:r w:rsidRPr="00DD38C0">
        <w:rPr>
          <w:rFonts w:asciiTheme="majorHAnsi" w:hAnsiTheme="majorHAnsi"/>
          <w:color w:val="646464"/>
          <w:sz w:val="16"/>
          <w:szCs w:val="16"/>
        </w:rPr>
        <w:t>e (the “NYSE”) and NYSE Arca (formerly known as the Archipelago Exchange, or ArcaEx</w:t>
      </w:r>
      <w:r w:rsidRPr="00DD38C0">
        <w:rPr>
          <w:rFonts w:asciiTheme="majorHAnsi" w:hAnsiTheme="majorHAnsi"/>
          <w:color w:val="646464"/>
          <w:sz w:val="16"/>
          <w:szCs w:val="16"/>
          <w:vertAlign w:val="superscript"/>
        </w:rPr>
        <w:t>®</w:t>
      </w:r>
      <w:r w:rsidRPr="00DD38C0">
        <w:rPr>
          <w:rFonts w:asciiTheme="majorHAnsi" w:hAnsiTheme="majorHAnsi"/>
          <w:color w:val="646464"/>
          <w:sz w:val="16"/>
          <w:szCs w:val="16"/>
        </w:rPr>
        <w:t>, and the Pacific Exchange). NYSE Group is a leading provider of securities listing, trading and market data products and services. The New York Mercantile Exchange, Inc. (</w:t>
      </w:r>
      <w:r w:rsidRPr="00DD38C0">
        <w:rPr>
          <w:rFonts w:asciiTheme="majorHAnsi" w:hAnsiTheme="majorHAnsi"/>
          <w:color w:val="646464"/>
          <w:sz w:val="16"/>
          <w:szCs w:val="16"/>
        </w:rPr>
        <w:t xml:space="preserve">NYMEX) is the world's largest physical commodity futures exchange and the preeminent trading forum for energy and precious metals, with trading </w:t>
      </w:r>
      <w:r w:rsidRPr="0049521F">
        <w:rPr>
          <w:rFonts w:asciiTheme="majorHAnsi" w:hAnsiTheme="majorHAnsi"/>
          <w:color w:val="767171" w:themeColor="background2" w:themeShade="80"/>
          <w:sz w:val="16"/>
          <w:szCs w:val="16"/>
        </w:rPr>
        <w:t>conducted through two divisions – the NYMEX Division, home to the energy, platinum, and palladium markets, and t</w:t>
      </w:r>
      <w:r w:rsidRPr="0049521F">
        <w:rPr>
          <w:rFonts w:asciiTheme="majorHAnsi" w:hAnsiTheme="majorHAnsi"/>
          <w:color w:val="767171" w:themeColor="background2" w:themeShade="80"/>
          <w:sz w:val="16"/>
          <w:szCs w:val="16"/>
        </w:rPr>
        <w:t>he COMEX Division, on which all other metals trade.</w:t>
      </w:r>
      <w:r w:rsidRPr="0049521F">
        <w:rPr>
          <w:rFonts w:asciiTheme="majorHAnsi" w:hAnsiTheme="majorHAnsi"/>
          <w:color w:val="767171" w:themeColor="background2" w:themeShade="80"/>
          <w:sz w:val="16"/>
          <w:szCs w:val="16"/>
        </w:rPr>
        <w:t xml:space="preserve"> The SSE Composite Index is an index of all stocks (A shares and B shares) that are traded at the Shanghai Stock Exchange.</w:t>
      </w:r>
      <w:r>
        <w:rPr>
          <w:rFonts w:asciiTheme="majorHAnsi" w:hAnsiTheme="majorHAnsi"/>
          <w:color w:val="767171" w:themeColor="background2" w:themeShade="80"/>
          <w:sz w:val="16"/>
          <w:szCs w:val="16"/>
        </w:rPr>
        <w:t xml:space="preserve"> </w:t>
      </w:r>
      <w:r w:rsidRPr="0049521F">
        <w:rPr>
          <w:rFonts w:asciiTheme="majorHAnsi" w:hAnsiTheme="majorHAnsi"/>
          <w:color w:val="767171" w:themeColor="background2" w:themeShade="80"/>
          <w:sz w:val="16"/>
          <w:szCs w:val="16"/>
        </w:rPr>
        <w:t xml:space="preserve">The Nifty 50 (NTFE 50) is a well-diversified 50-stock index accounting for 13 </w:t>
      </w:r>
      <w:r w:rsidRPr="0049521F">
        <w:rPr>
          <w:rFonts w:asciiTheme="majorHAnsi" w:hAnsiTheme="majorHAnsi"/>
          <w:color w:val="767171" w:themeColor="background2" w:themeShade="80"/>
          <w:sz w:val="16"/>
          <w:szCs w:val="16"/>
        </w:rPr>
        <w:t>sectors of the Indian economy. It is used for a variety of purposes such as benchmarking fund portfolios, index-based derivatives and index funds. The BSE SENSEX (Bombay Stock Exchange Sensitive Index), also-called the BSE 30 (BOMBAY STOCK EXCHANGE) or sim</w:t>
      </w:r>
      <w:r w:rsidRPr="0049521F">
        <w:rPr>
          <w:rFonts w:asciiTheme="majorHAnsi" w:hAnsiTheme="majorHAnsi"/>
          <w:color w:val="767171" w:themeColor="background2" w:themeShade="80"/>
          <w:sz w:val="16"/>
          <w:szCs w:val="16"/>
        </w:rPr>
        <w:t>ply the SENSEX, is a free-float market capitalization-weighted stock market index of 30 well-established and financially sound companies listed on the Bombay Stock Exchange (BSE).</w:t>
      </w:r>
      <w:r>
        <w:rPr>
          <w:rFonts w:asciiTheme="majorHAnsi" w:hAnsiTheme="majorHAnsi"/>
          <w:color w:val="767171" w:themeColor="background2" w:themeShade="80"/>
          <w:sz w:val="16"/>
          <w:szCs w:val="16"/>
        </w:rPr>
        <w:t xml:space="preserve"> </w:t>
      </w:r>
      <w:r w:rsidRPr="0049521F">
        <w:rPr>
          <w:rFonts w:asciiTheme="majorHAnsi" w:hAnsiTheme="majorHAnsi"/>
          <w:color w:val="767171" w:themeColor="background2" w:themeShade="80"/>
          <w:sz w:val="16"/>
          <w:szCs w:val="16"/>
        </w:rPr>
        <w:t>The FTSE 100 Index is a share index of the 100 companies listed on the Londo</w:t>
      </w:r>
      <w:r w:rsidRPr="0049521F">
        <w:rPr>
          <w:rFonts w:asciiTheme="majorHAnsi" w:hAnsiTheme="majorHAnsi"/>
          <w:color w:val="767171" w:themeColor="background2" w:themeShade="80"/>
          <w:sz w:val="16"/>
          <w:szCs w:val="16"/>
        </w:rPr>
        <w:t xml:space="preserve">n Stock Exchange with the highest market capitalization. </w:t>
      </w:r>
      <w:r w:rsidRPr="0049521F">
        <w:rPr>
          <w:rFonts w:asciiTheme="majorHAnsi" w:hAnsiTheme="majorHAnsi"/>
          <w:color w:val="767171" w:themeColor="background2" w:themeShade="80"/>
          <w:sz w:val="16"/>
          <w:szCs w:val="16"/>
        </w:rPr>
        <w:t>The CAC-40 Index is a narrow-based, modified capitalization-weighted index of 40 companies listed on the Paris Bourse</w:t>
      </w:r>
      <w:r>
        <w:rPr>
          <w:rFonts w:asciiTheme="majorHAnsi" w:hAnsiTheme="majorHAnsi"/>
          <w:color w:val="767171" w:themeColor="background2" w:themeShade="80"/>
          <w:sz w:val="16"/>
          <w:szCs w:val="16"/>
        </w:rPr>
        <w:t xml:space="preserve">. </w:t>
      </w:r>
      <w:r w:rsidRPr="0049521F">
        <w:rPr>
          <w:rFonts w:asciiTheme="majorHAnsi" w:hAnsiTheme="majorHAnsi"/>
          <w:color w:val="767171" w:themeColor="background2" w:themeShade="80"/>
          <w:sz w:val="16"/>
          <w:szCs w:val="16"/>
        </w:rPr>
        <w:t>The FTSE TWSE Taiwan 50 Index is a capitalization-weighted index of stocks compr</w:t>
      </w:r>
      <w:r w:rsidRPr="0049521F">
        <w:rPr>
          <w:rFonts w:asciiTheme="majorHAnsi" w:hAnsiTheme="majorHAnsi"/>
          <w:color w:val="767171" w:themeColor="background2" w:themeShade="80"/>
          <w:sz w:val="16"/>
          <w:szCs w:val="16"/>
        </w:rPr>
        <w:t>ises 50 companies listed on the Taiwan Stock Exchange developed by Taiwan Stock Exchange in collaboration with FTSE</w:t>
      </w:r>
      <w:r>
        <w:rPr>
          <w:rFonts w:asciiTheme="majorHAnsi" w:hAnsiTheme="majorHAnsi"/>
          <w:color w:val="767171" w:themeColor="background2" w:themeShade="80"/>
          <w:sz w:val="16"/>
          <w:szCs w:val="16"/>
        </w:rPr>
        <w:t xml:space="preserve">. </w:t>
      </w:r>
      <w:r w:rsidRPr="0049521F">
        <w:rPr>
          <w:rFonts w:asciiTheme="majorHAnsi" w:hAnsiTheme="majorHAnsi"/>
          <w:color w:val="767171" w:themeColor="background2" w:themeShade="80"/>
          <w:sz w:val="16"/>
          <w:szCs w:val="16"/>
        </w:rPr>
        <w:t xml:space="preserve">The DAX 30 is a Blue-Chip stock market index consisting of the 30 major German companies trading on the Frankfurt Stock Exchange. </w:t>
      </w:r>
      <w:r w:rsidRPr="0049521F">
        <w:rPr>
          <w:rFonts w:asciiTheme="majorHAnsi" w:hAnsiTheme="majorHAnsi"/>
          <w:color w:val="767171" w:themeColor="background2" w:themeShade="80"/>
          <w:sz w:val="16"/>
          <w:szCs w:val="16"/>
        </w:rPr>
        <w:t>Establish</w:t>
      </w:r>
      <w:r w:rsidRPr="0049521F">
        <w:rPr>
          <w:rFonts w:asciiTheme="majorHAnsi" w:hAnsiTheme="majorHAnsi"/>
          <w:color w:val="767171" w:themeColor="background2" w:themeShade="80"/>
          <w:sz w:val="16"/>
          <w:szCs w:val="16"/>
        </w:rPr>
        <w:t>ed in January 1980, the All Ordinaries is the oldest index of shares in Australia. It is made up of the share prices for 500 of the largest companies listed on the Australian Securities Exchange.</w:t>
      </w:r>
      <w:r>
        <w:rPr>
          <w:rFonts w:asciiTheme="majorHAnsi" w:hAnsiTheme="majorHAnsi"/>
          <w:color w:val="767171" w:themeColor="background2" w:themeShade="80"/>
          <w:sz w:val="16"/>
          <w:szCs w:val="16"/>
        </w:rPr>
        <w:t xml:space="preserve"> </w:t>
      </w:r>
      <w:r w:rsidRPr="0049521F">
        <w:rPr>
          <w:rFonts w:asciiTheme="majorHAnsi" w:hAnsiTheme="majorHAnsi"/>
          <w:color w:val="767171" w:themeColor="background2" w:themeShade="80"/>
          <w:sz w:val="16"/>
          <w:szCs w:val="16"/>
        </w:rPr>
        <w:t>The MSCI Emerging Markets Index is a float-adjusted market c</w:t>
      </w:r>
      <w:r w:rsidRPr="0049521F">
        <w:rPr>
          <w:rFonts w:asciiTheme="majorHAnsi" w:hAnsiTheme="majorHAnsi"/>
          <w:color w:val="767171" w:themeColor="background2" w:themeShade="80"/>
          <w:sz w:val="16"/>
          <w:szCs w:val="16"/>
        </w:rPr>
        <w:t>apitalization index consisting of indices in more than 25 emerging economies.</w:t>
      </w:r>
      <w:r w:rsidRPr="0049521F">
        <w:rPr>
          <w:rFonts w:asciiTheme="majorHAnsi" w:hAnsiTheme="majorHAnsi"/>
          <w:color w:val="767171" w:themeColor="background2" w:themeShade="80"/>
          <w:sz w:val="16"/>
          <w:szCs w:val="16"/>
        </w:rPr>
        <w:t xml:space="preserve"> The MSCI World Index is a free-float weighted equity index that includes developed world markets and does not include emerging markets.</w:t>
      </w:r>
      <w:r>
        <w:rPr>
          <w:rFonts w:asciiTheme="majorHAnsi" w:hAnsiTheme="majorHAnsi"/>
          <w:color w:val="767171" w:themeColor="background2" w:themeShade="80"/>
          <w:sz w:val="16"/>
          <w:szCs w:val="16"/>
        </w:rPr>
        <w:t xml:space="preserve"> </w:t>
      </w:r>
      <w:r w:rsidRPr="0049521F">
        <w:rPr>
          <w:rFonts w:asciiTheme="majorHAnsi" w:hAnsiTheme="majorHAnsi"/>
          <w:color w:val="767171" w:themeColor="background2" w:themeShade="80"/>
          <w:sz w:val="16"/>
          <w:szCs w:val="16"/>
        </w:rPr>
        <w:t>The Korea Composite Stock Price Index or K</w:t>
      </w:r>
      <w:r w:rsidRPr="0049521F">
        <w:rPr>
          <w:rFonts w:asciiTheme="majorHAnsi" w:hAnsiTheme="majorHAnsi"/>
          <w:color w:val="767171" w:themeColor="background2" w:themeShade="80"/>
          <w:sz w:val="16"/>
          <w:szCs w:val="16"/>
        </w:rPr>
        <w:t xml:space="preserve">OSPI is the major stock market index of South Korea, representing all common stocks </w:t>
      </w:r>
      <w:r w:rsidRPr="0049521F">
        <w:rPr>
          <w:rFonts w:asciiTheme="majorHAnsi" w:hAnsiTheme="majorHAnsi" w:cstheme="majorHAnsi"/>
          <w:color w:val="767171" w:themeColor="background2" w:themeShade="80"/>
          <w:sz w:val="16"/>
          <w:szCs w:val="16"/>
        </w:rPr>
        <w:t>traded on the Korea Exchange. The FTSE Bursa Malaysia KLCI Index comprises of the largest 30 companies by full market capitalization on Bursa Malaysia's Main Board. The MER</w:t>
      </w:r>
      <w:r w:rsidRPr="0049521F">
        <w:rPr>
          <w:rFonts w:asciiTheme="majorHAnsi" w:hAnsiTheme="majorHAnsi" w:cstheme="majorHAnsi"/>
          <w:color w:val="767171" w:themeColor="background2" w:themeShade="80"/>
          <w:sz w:val="16"/>
          <w:szCs w:val="16"/>
        </w:rPr>
        <w:t>VAL Index (MERcado de VALores, literally Stock Exchange) is the most important index of the Buenos Aires Stock Exchange.</w:t>
      </w:r>
      <w:r w:rsidRPr="0049521F">
        <w:rPr>
          <w:rFonts w:asciiTheme="majorHAnsi" w:hAnsiTheme="majorHAnsi" w:cstheme="majorHAnsi"/>
          <w:color w:val="767171" w:themeColor="background2" w:themeShade="80"/>
          <w:sz w:val="16"/>
          <w:szCs w:val="16"/>
        </w:rPr>
        <w:t xml:space="preserve"> </w:t>
      </w:r>
      <w:r w:rsidRPr="0049521F">
        <w:rPr>
          <w:rFonts w:asciiTheme="majorHAnsi" w:hAnsiTheme="majorHAnsi" w:cstheme="majorHAnsi"/>
          <w:color w:val="767171" w:themeColor="background2" w:themeShade="80"/>
          <w:sz w:val="16"/>
          <w:szCs w:val="16"/>
        </w:rPr>
        <w:t>The U</w:t>
      </w:r>
      <w:r w:rsidRPr="0049521F">
        <w:rPr>
          <w:rFonts w:asciiTheme="majorHAnsi" w:hAnsiTheme="majorHAnsi" w:cstheme="majorHAnsi"/>
          <w:color w:val="767171" w:themeColor="background2" w:themeShade="80"/>
          <w:sz w:val="16"/>
          <w:szCs w:val="16"/>
        </w:rPr>
        <w:t>.</w:t>
      </w:r>
      <w:r w:rsidRPr="0049521F">
        <w:rPr>
          <w:rFonts w:asciiTheme="majorHAnsi" w:hAnsiTheme="majorHAnsi" w:cstheme="majorHAnsi"/>
          <w:color w:val="767171" w:themeColor="background2" w:themeShade="80"/>
          <w:sz w:val="16"/>
          <w:szCs w:val="16"/>
        </w:rPr>
        <w:t>S</w:t>
      </w:r>
      <w:r w:rsidRPr="0049521F">
        <w:rPr>
          <w:rFonts w:asciiTheme="majorHAnsi" w:hAnsiTheme="majorHAnsi" w:cstheme="majorHAnsi"/>
          <w:color w:val="767171" w:themeColor="background2" w:themeShade="80"/>
          <w:sz w:val="16"/>
          <w:szCs w:val="16"/>
        </w:rPr>
        <w:t>.</w:t>
      </w:r>
      <w:r w:rsidRPr="0049521F">
        <w:rPr>
          <w:rFonts w:asciiTheme="majorHAnsi" w:hAnsiTheme="majorHAnsi" w:cstheme="majorHAnsi"/>
          <w:color w:val="767171" w:themeColor="background2" w:themeShade="80"/>
          <w:sz w:val="16"/>
          <w:szCs w:val="16"/>
        </w:rPr>
        <w:t xml:space="preserve"> Dollar Index</w:t>
      </w:r>
      <w:r w:rsidRPr="0049521F">
        <w:rPr>
          <w:rFonts w:asciiTheme="majorHAnsi" w:hAnsiTheme="majorHAnsi"/>
          <w:color w:val="767171" w:themeColor="background2" w:themeShade="80"/>
          <w:sz w:val="16"/>
          <w:szCs w:val="16"/>
        </w:rPr>
        <w:t xml:space="preserve"> </w:t>
      </w:r>
      <w:r w:rsidRPr="002F292D">
        <w:rPr>
          <w:rFonts w:asciiTheme="majorHAnsi" w:hAnsiTheme="majorHAnsi"/>
          <w:color w:val="767171" w:themeColor="background2" w:themeShade="80"/>
          <w:sz w:val="16"/>
          <w:szCs w:val="16"/>
        </w:rPr>
        <w:t xml:space="preserve">measures the performance of the U.S. dollar against a basket of six currencies. </w:t>
      </w:r>
      <w:r w:rsidRPr="002F292D">
        <w:rPr>
          <w:rFonts w:asciiTheme="majorHAnsi" w:hAnsiTheme="majorHAnsi" w:cs="Arial"/>
          <w:color w:val="767171" w:themeColor="background2" w:themeShade="80"/>
          <w:sz w:val="16"/>
          <w:szCs w:val="16"/>
        </w:rPr>
        <w:t>Additional risks are associated w</w:t>
      </w:r>
      <w:r w:rsidRPr="002F292D">
        <w:rPr>
          <w:rFonts w:asciiTheme="majorHAnsi" w:hAnsiTheme="majorHAnsi" w:cs="Arial"/>
          <w:color w:val="767171" w:themeColor="background2" w:themeShade="80"/>
          <w:sz w:val="16"/>
          <w:szCs w:val="16"/>
        </w:rPr>
        <w:t xml:space="preserve">ith international </w:t>
      </w:r>
      <w:r w:rsidRPr="00AB1FB1">
        <w:rPr>
          <w:rFonts w:asciiTheme="majorHAnsi" w:hAnsiTheme="majorHAnsi" w:cs="Arial"/>
          <w:color w:val="767171" w:themeColor="background2" w:themeShade="80"/>
          <w:sz w:val="16"/>
          <w:szCs w:val="16"/>
        </w:rPr>
        <w:t xml:space="preserve">investing, such as currency fluctuations, political and economic instability and differences in accounting standards. This material represents an assessment of the market </w:t>
      </w:r>
      <w:r w:rsidRPr="00DD38C0">
        <w:rPr>
          <w:rFonts w:asciiTheme="majorHAnsi" w:hAnsiTheme="majorHAnsi" w:cs="Arial"/>
          <w:color w:val="646464"/>
          <w:sz w:val="16"/>
          <w:szCs w:val="16"/>
        </w:rPr>
        <w:t>environment at a specific point in time and is not intended to be a</w:t>
      </w:r>
      <w:r w:rsidRPr="00DD38C0">
        <w:rPr>
          <w:rFonts w:asciiTheme="majorHAnsi" w:hAnsiTheme="majorHAnsi" w:cs="Arial"/>
          <w:color w:val="646464"/>
          <w:sz w:val="16"/>
          <w:szCs w:val="16"/>
        </w:rPr>
        <w:t xml:space="preserve"> forecast of future events, or a guarantee of future results. MarketingPro, Inc. is not affiliated with any person or firm that may be providing this information to you. The publisher is not engaged in rendering legal, accounting or other professional serv</w:t>
      </w:r>
      <w:r w:rsidRPr="00DD38C0">
        <w:rPr>
          <w:rFonts w:asciiTheme="majorHAnsi" w:hAnsiTheme="majorHAnsi" w:cs="Arial"/>
          <w:color w:val="646464"/>
          <w:sz w:val="16"/>
          <w:szCs w:val="16"/>
        </w:rPr>
        <w:t>ices. If assistance is needed, the reader is advised to engage the services of a competent professional</w:t>
      </w:r>
      <w:r w:rsidRPr="00DD38C0">
        <w:rPr>
          <w:rFonts w:asciiTheme="majorHAnsi" w:hAnsiTheme="majorHAnsi"/>
          <w:color w:val="646464"/>
          <w:sz w:val="16"/>
          <w:szCs w:val="16"/>
        </w:rPr>
        <w:t>.</w:t>
      </w:r>
    </w:p>
    <w:p w:rsidR="00237981" w:rsidRPr="00DD38C0" w:rsidRDefault="0020095A" w:rsidP="00EE6BF2">
      <w:pPr>
        <w:spacing w:line="276" w:lineRule="auto"/>
        <w:rPr>
          <w:rFonts w:asciiTheme="majorHAnsi" w:hAnsiTheme="majorHAnsi" w:cs="Arial"/>
          <w:color w:val="646464"/>
          <w:sz w:val="16"/>
          <w:szCs w:val="16"/>
        </w:rPr>
      </w:pPr>
      <w:r w:rsidRPr="00DD38C0">
        <w:rPr>
          <w:rFonts w:asciiTheme="majorHAnsi" w:hAnsiTheme="majorHAnsi" w:cs="Arial"/>
          <w:color w:val="646464"/>
          <w:sz w:val="16"/>
          <w:szCs w:val="16"/>
        </w:rPr>
        <w:t>CITATIONS:</w:t>
      </w:r>
    </w:p>
    <w:p w:rsidR="00FC51E8" w:rsidRPr="00FC51E8" w:rsidRDefault="0020095A" w:rsidP="00602C22">
      <w:pPr>
        <w:pStyle w:val="PlainText"/>
        <w:rPr>
          <w:rFonts w:asciiTheme="majorHAnsi" w:eastAsiaTheme="minorHAnsi" w:hAnsiTheme="majorHAnsi" w:cstheme="majorHAnsi"/>
          <w:color w:val="808080" w:themeColor="background1" w:themeShade="80"/>
          <w:sz w:val="16"/>
          <w:szCs w:val="16"/>
        </w:rPr>
      </w:pPr>
      <w:bookmarkStart w:id="5" w:name="_Hlk520808669"/>
      <w:r>
        <w:rPr>
          <w:rFonts w:asciiTheme="majorHAnsi" w:eastAsiaTheme="minorHAnsi" w:hAnsiTheme="majorHAnsi" w:cstheme="majorHAnsi"/>
          <w:color w:val="808080" w:themeColor="background1" w:themeShade="80"/>
          <w:sz w:val="16"/>
          <w:szCs w:val="16"/>
        </w:rPr>
        <w:t>1</w:t>
      </w:r>
      <w:r w:rsidRPr="00FC51E8">
        <w:rPr>
          <w:rFonts w:asciiTheme="majorHAnsi" w:eastAsiaTheme="minorHAnsi" w:hAnsiTheme="majorHAnsi" w:cstheme="majorHAnsi"/>
          <w:color w:val="808080" w:themeColor="background1" w:themeShade="80"/>
          <w:sz w:val="16"/>
          <w:szCs w:val="16"/>
        </w:rPr>
        <w:t xml:space="preserve"> - barchart.com/stocks/indices?viewName=performance [3/29/19]</w:t>
      </w:r>
    </w:p>
    <w:p w:rsidR="00696A9B" w:rsidRPr="00F042D5" w:rsidRDefault="0020095A" w:rsidP="00602C22">
      <w:pPr>
        <w:spacing w:after="0" w:line="240" w:lineRule="auto"/>
        <w:rPr>
          <w:rFonts w:asciiTheme="majorHAnsi" w:hAnsiTheme="majorHAnsi" w:cs="Calibri"/>
          <w:color w:val="767171" w:themeColor="background2" w:themeShade="80"/>
          <w:sz w:val="16"/>
          <w:szCs w:val="16"/>
        </w:rPr>
      </w:pPr>
      <w:r>
        <w:rPr>
          <w:rFonts w:asciiTheme="majorHAnsi" w:hAnsiTheme="majorHAnsi" w:cs="Calibri"/>
          <w:color w:val="767171" w:themeColor="background2" w:themeShade="80"/>
          <w:sz w:val="16"/>
          <w:szCs w:val="16"/>
        </w:rPr>
        <w:t>2</w:t>
      </w:r>
      <w:r w:rsidRPr="008E589A">
        <w:rPr>
          <w:rFonts w:asciiTheme="majorHAnsi" w:hAnsiTheme="majorHAnsi" w:cs="Calibri"/>
          <w:color w:val="767171" w:themeColor="background2" w:themeShade="80"/>
          <w:sz w:val="16"/>
          <w:szCs w:val="16"/>
        </w:rPr>
        <w:t xml:space="preserve"> - </w:t>
      </w:r>
      <w:r w:rsidRPr="005C160D">
        <w:rPr>
          <w:rFonts w:asciiTheme="majorHAnsi" w:hAnsiTheme="majorHAnsi" w:cs="Calibri"/>
          <w:color w:val="767171" w:themeColor="background2" w:themeShade="80"/>
          <w:sz w:val="16"/>
          <w:szCs w:val="16"/>
        </w:rPr>
        <w:t>cbsnews.com/news/fed-rate-hikes-none-in-2019-federal-reserve-projects-no-</w:t>
      </w:r>
      <w:r w:rsidRPr="005C160D">
        <w:rPr>
          <w:rFonts w:asciiTheme="majorHAnsi" w:hAnsiTheme="majorHAnsi" w:cs="Calibri"/>
          <w:color w:val="767171" w:themeColor="background2" w:themeShade="80"/>
          <w:sz w:val="16"/>
          <w:szCs w:val="16"/>
        </w:rPr>
        <w:t xml:space="preserve">rate-hikes-slower-growth-this-year/ </w:t>
      </w:r>
      <w:r w:rsidRPr="008E589A">
        <w:rPr>
          <w:rFonts w:asciiTheme="majorHAnsi" w:hAnsiTheme="majorHAnsi" w:cs="Calibri"/>
          <w:color w:val="767171" w:themeColor="background2" w:themeShade="80"/>
          <w:sz w:val="16"/>
          <w:szCs w:val="16"/>
        </w:rPr>
        <w:t>[3/</w:t>
      </w:r>
      <w:r>
        <w:rPr>
          <w:rFonts w:asciiTheme="majorHAnsi" w:hAnsiTheme="majorHAnsi" w:cs="Calibri"/>
          <w:color w:val="767171" w:themeColor="background2" w:themeShade="80"/>
          <w:sz w:val="16"/>
          <w:szCs w:val="16"/>
        </w:rPr>
        <w:t>20</w:t>
      </w:r>
      <w:r w:rsidRPr="008E589A">
        <w:rPr>
          <w:rFonts w:asciiTheme="majorHAnsi" w:hAnsiTheme="majorHAnsi" w:cs="Calibri"/>
          <w:color w:val="767171" w:themeColor="background2" w:themeShade="80"/>
          <w:sz w:val="16"/>
          <w:szCs w:val="16"/>
        </w:rPr>
        <w:t>/19]</w:t>
      </w:r>
      <w:r w:rsidRPr="00555AB9">
        <w:rPr>
          <w:noProof/>
        </w:rPr>
        <w:t xml:space="preserve">   </w:t>
      </w:r>
    </w:p>
    <w:p w:rsidR="00EF4DEC" w:rsidRPr="00763C64" w:rsidRDefault="0020095A" w:rsidP="00602C22">
      <w:pPr>
        <w:spacing w:after="0" w:line="240" w:lineRule="auto"/>
        <w:rPr>
          <w:rFonts w:asciiTheme="majorHAnsi" w:hAnsiTheme="majorHAnsi" w:cstheme="majorHAnsi"/>
          <w:color w:val="767171" w:themeColor="background2" w:themeShade="80"/>
          <w:sz w:val="16"/>
          <w:szCs w:val="16"/>
        </w:rPr>
      </w:pPr>
      <w:r>
        <w:rPr>
          <w:rFonts w:asciiTheme="majorHAnsi" w:hAnsiTheme="majorHAnsi" w:cstheme="majorHAnsi"/>
          <w:color w:val="767171" w:themeColor="background2" w:themeShade="80"/>
          <w:sz w:val="16"/>
          <w:szCs w:val="16"/>
        </w:rPr>
        <w:t xml:space="preserve">3 - </w:t>
      </w:r>
      <w:r w:rsidRPr="004C7FE7">
        <w:rPr>
          <w:rFonts w:asciiTheme="majorHAnsi" w:hAnsiTheme="majorHAnsi" w:cstheme="majorHAnsi"/>
          <w:color w:val="767171" w:themeColor="background2" w:themeShade="80"/>
          <w:sz w:val="16"/>
          <w:szCs w:val="16"/>
        </w:rPr>
        <w:t xml:space="preserve">bloomberg.com/news/articles/2019-03-22/u-s-treasury-yield-curve-inverts-for-first-time-since-2007 </w:t>
      </w:r>
      <w:r>
        <w:rPr>
          <w:rFonts w:asciiTheme="majorHAnsi" w:hAnsiTheme="majorHAnsi" w:cstheme="majorHAnsi"/>
          <w:color w:val="767171" w:themeColor="background2" w:themeShade="80"/>
          <w:sz w:val="16"/>
          <w:szCs w:val="16"/>
        </w:rPr>
        <w:t>[3/22/19]</w:t>
      </w:r>
    </w:p>
    <w:p w:rsidR="000F20BE" w:rsidRDefault="0020095A" w:rsidP="00602C22">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4</w:t>
      </w:r>
      <w:r w:rsidRPr="00410159">
        <w:rPr>
          <w:rFonts w:asciiTheme="majorHAnsi" w:hAnsiTheme="majorHAnsi" w:cstheme="majorHAnsi"/>
          <w:color w:val="808080" w:themeColor="background1" w:themeShade="80"/>
          <w:sz w:val="16"/>
          <w:szCs w:val="16"/>
        </w:rPr>
        <w:t xml:space="preserve"> -</w:t>
      </w:r>
      <w:r>
        <w:rPr>
          <w:rFonts w:asciiTheme="majorHAnsi" w:hAnsiTheme="majorHAnsi" w:cstheme="majorHAnsi"/>
          <w:color w:val="808080" w:themeColor="background1" w:themeShade="80"/>
          <w:sz w:val="16"/>
          <w:szCs w:val="16"/>
        </w:rPr>
        <w:t xml:space="preserve"> </w:t>
      </w:r>
      <w:r w:rsidRPr="005E5B56">
        <w:rPr>
          <w:rFonts w:asciiTheme="majorHAnsi" w:hAnsiTheme="majorHAnsi" w:cstheme="majorHAnsi"/>
          <w:color w:val="808080" w:themeColor="background1" w:themeShade="80"/>
          <w:sz w:val="16"/>
          <w:szCs w:val="16"/>
        </w:rPr>
        <w:t xml:space="preserve">investors.com/market-trend/stock-market-today/dow-jones-futures-fed-rate-cut-odds-inverted-yield-curve/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3</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2</w:t>
      </w:r>
      <w:r>
        <w:rPr>
          <w:rFonts w:asciiTheme="majorHAnsi" w:hAnsiTheme="majorHAnsi" w:cstheme="majorHAnsi"/>
          <w:color w:val="808080" w:themeColor="background1" w:themeShade="80"/>
          <w:sz w:val="16"/>
          <w:szCs w:val="16"/>
        </w:rPr>
        <w:t>6</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 xml:space="preserve">] </w:t>
      </w:r>
    </w:p>
    <w:bookmarkEnd w:id="5"/>
    <w:p w:rsidR="00ED0E19" w:rsidRDefault="0020095A" w:rsidP="00602C22">
      <w:pPr>
        <w:spacing w:after="0" w:line="240" w:lineRule="auto"/>
        <w:rPr>
          <w:noProof/>
        </w:rPr>
      </w:pPr>
      <w:r>
        <w:rPr>
          <w:rFonts w:asciiTheme="majorHAnsi" w:hAnsiTheme="majorHAnsi" w:cstheme="majorHAnsi"/>
          <w:color w:val="808080" w:themeColor="background1" w:themeShade="80"/>
          <w:sz w:val="16"/>
          <w:szCs w:val="16"/>
        </w:rPr>
        <w:t>5</w:t>
      </w:r>
      <w:r w:rsidRPr="00410159">
        <w:rPr>
          <w:rFonts w:asciiTheme="majorHAnsi" w:hAnsiTheme="majorHAnsi" w:cstheme="majorHAnsi"/>
          <w:color w:val="808080" w:themeColor="background1" w:themeShade="80"/>
          <w:sz w:val="16"/>
          <w:szCs w:val="16"/>
        </w:rPr>
        <w:t xml:space="preserve"> - inv</w:t>
      </w:r>
      <w:r w:rsidRPr="00410159">
        <w:rPr>
          <w:rFonts w:asciiTheme="majorHAnsi" w:hAnsiTheme="majorHAnsi" w:cstheme="majorHAnsi"/>
          <w:color w:val="808080" w:themeColor="background1" w:themeShade="80"/>
          <w:sz w:val="16"/>
          <w:szCs w:val="16"/>
        </w:rPr>
        <w:t>esting.com/economic-calendar/ [</w:t>
      </w:r>
      <w:r>
        <w:rPr>
          <w:rFonts w:asciiTheme="majorHAnsi" w:hAnsiTheme="majorHAnsi" w:cstheme="majorHAnsi"/>
          <w:color w:val="808080" w:themeColor="background1" w:themeShade="80"/>
          <w:sz w:val="16"/>
          <w:szCs w:val="16"/>
        </w:rPr>
        <w:t>3</w:t>
      </w:r>
      <w:r>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29</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w:t>
      </w:r>
      <w:r w:rsidRPr="004E728F">
        <w:rPr>
          <w:noProof/>
        </w:rPr>
        <w:t xml:space="preserve"> </w:t>
      </w:r>
    </w:p>
    <w:p w:rsidR="00FC7EFA" w:rsidRPr="00763C64" w:rsidRDefault="0020095A" w:rsidP="00602C22">
      <w:pPr>
        <w:spacing w:after="0" w:line="240" w:lineRule="auto"/>
        <w:rPr>
          <w:rFonts w:asciiTheme="majorHAnsi" w:hAnsiTheme="majorHAnsi" w:cstheme="majorHAnsi"/>
          <w:color w:val="767171" w:themeColor="background2" w:themeShade="80"/>
          <w:sz w:val="16"/>
          <w:szCs w:val="16"/>
        </w:rPr>
      </w:pPr>
      <w:r w:rsidRPr="003470AB">
        <w:rPr>
          <w:rFonts w:asciiTheme="majorHAnsi" w:hAnsiTheme="majorHAnsi" w:cstheme="majorHAnsi"/>
          <w:color w:val="767171" w:themeColor="background2" w:themeShade="80"/>
          <w:sz w:val="16"/>
          <w:szCs w:val="16"/>
        </w:rPr>
        <w:t xml:space="preserve">6 - </w:t>
      </w:r>
      <w:r w:rsidRPr="00DB7798">
        <w:rPr>
          <w:rFonts w:asciiTheme="majorHAnsi" w:hAnsiTheme="majorHAnsi" w:cstheme="majorHAnsi"/>
          <w:color w:val="767171" w:themeColor="background2" w:themeShade="80"/>
          <w:sz w:val="16"/>
          <w:szCs w:val="16"/>
        </w:rPr>
        <w:t xml:space="preserve">marketwatch.com/tools/calendars/economic </w:t>
      </w:r>
      <w:r w:rsidRPr="003470AB">
        <w:rPr>
          <w:rFonts w:asciiTheme="majorHAnsi" w:hAnsiTheme="majorHAnsi" w:cstheme="majorHAnsi"/>
          <w:color w:val="767171" w:themeColor="background2" w:themeShade="80"/>
          <w:sz w:val="16"/>
          <w:szCs w:val="16"/>
        </w:rPr>
        <w:t>[</w:t>
      </w:r>
      <w:r w:rsidRPr="003470AB">
        <w:rPr>
          <w:rFonts w:asciiTheme="majorHAnsi" w:hAnsiTheme="majorHAnsi" w:cstheme="majorHAnsi"/>
          <w:color w:val="767171" w:themeColor="background2" w:themeShade="80"/>
          <w:sz w:val="16"/>
          <w:szCs w:val="16"/>
        </w:rPr>
        <w:t>3</w:t>
      </w:r>
      <w:r w:rsidRPr="003470AB">
        <w:rPr>
          <w:rFonts w:asciiTheme="majorHAnsi" w:hAnsiTheme="majorHAnsi" w:cstheme="majorHAnsi"/>
          <w:color w:val="767171" w:themeColor="background2" w:themeShade="80"/>
          <w:sz w:val="16"/>
          <w:szCs w:val="16"/>
        </w:rPr>
        <w:t>/</w:t>
      </w:r>
      <w:r>
        <w:rPr>
          <w:rFonts w:asciiTheme="majorHAnsi" w:hAnsiTheme="majorHAnsi" w:cstheme="majorHAnsi"/>
          <w:color w:val="767171" w:themeColor="background2" w:themeShade="80"/>
          <w:sz w:val="16"/>
          <w:szCs w:val="16"/>
        </w:rPr>
        <w:t>29</w:t>
      </w:r>
      <w:r w:rsidRPr="003470AB">
        <w:rPr>
          <w:rFonts w:asciiTheme="majorHAnsi" w:hAnsiTheme="majorHAnsi" w:cstheme="majorHAnsi"/>
          <w:color w:val="767171" w:themeColor="background2" w:themeShade="80"/>
          <w:sz w:val="16"/>
          <w:szCs w:val="16"/>
        </w:rPr>
        <w:t>/19]</w:t>
      </w:r>
    </w:p>
    <w:p w:rsidR="00FC7EFA" w:rsidRPr="00763C64" w:rsidRDefault="0020095A" w:rsidP="00602C22">
      <w:pPr>
        <w:spacing w:after="0" w:line="240" w:lineRule="auto"/>
        <w:rPr>
          <w:rFonts w:asciiTheme="majorHAnsi" w:hAnsiTheme="majorHAnsi" w:cstheme="majorHAnsi"/>
          <w:color w:val="808080" w:themeColor="background1" w:themeShade="80"/>
          <w:spacing w:val="-8"/>
          <w:sz w:val="16"/>
          <w:szCs w:val="16"/>
        </w:rPr>
      </w:pPr>
      <w:r w:rsidRPr="00142A27">
        <w:rPr>
          <w:rFonts w:asciiTheme="majorHAnsi" w:hAnsiTheme="majorHAnsi" w:cstheme="majorHAnsi"/>
          <w:color w:val="808080" w:themeColor="background1" w:themeShade="80"/>
          <w:spacing w:val="-8"/>
          <w:sz w:val="16"/>
          <w:szCs w:val="16"/>
        </w:rPr>
        <w:t xml:space="preserve">7 - </w:t>
      </w:r>
      <w:r w:rsidRPr="00142A27">
        <w:rPr>
          <w:rFonts w:asciiTheme="majorHAnsi" w:hAnsiTheme="majorHAnsi" w:cstheme="majorHAnsi"/>
          <w:color w:val="808080" w:themeColor="background1" w:themeShade="80"/>
          <w:spacing w:val="-8"/>
          <w:sz w:val="16"/>
          <w:szCs w:val="16"/>
        </w:rPr>
        <w:t xml:space="preserve">marketwatch.com/story/us-stock-futures-rise-as-wall-street-looks-to-wrap-up-week-month-and-quarter-with-gains-for-most-indexes-2019-03-29 </w:t>
      </w:r>
      <w:r w:rsidRPr="00142A27">
        <w:rPr>
          <w:rFonts w:asciiTheme="majorHAnsi" w:hAnsiTheme="majorHAnsi" w:cstheme="majorHAnsi"/>
          <w:color w:val="808080" w:themeColor="background1" w:themeShade="80"/>
          <w:spacing w:val="-8"/>
          <w:sz w:val="16"/>
          <w:szCs w:val="16"/>
        </w:rPr>
        <w:t>[</w:t>
      </w:r>
      <w:r w:rsidRPr="00142A27">
        <w:rPr>
          <w:rFonts w:asciiTheme="majorHAnsi" w:hAnsiTheme="majorHAnsi" w:cstheme="majorHAnsi"/>
          <w:color w:val="808080" w:themeColor="background1" w:themeShade="80"/>
          <w:spacing w:val="-8"/>
          <w:sz w:val="16"/>
          <w:szCs w:val="16"/>
        </w:rPr>
        <w:t>3/29</w:t>
      </w:r>
      <w:r w:rsidRPr="00142A27">
        <w:rPr>
          <w:rFonts w:asciiTheme="majorHAnsi" w:hAnsiTheme="majorHAnsi" w:cstheme="majorHAnsi"/>
          <w:color w:val="808080" w:themeColor="background1" w:themeShade="80"/>
          <w:spacing w:val="-8"/>
          <w:sz w:val="16"/>
          <w:szCs w:val="16"/>
        </w:rPr>
        <w:t xml:space="preserve">/19] </w:t>
      </w:r>
    </w:p>
    <w:p w:rsidR="00AB2DE2" w:rsidRPr="00763C64" w:rsidRDefault="0020095A" w:rsidP="00602C22">
      <w:pPr>
        <w:spacing w:after="0" w:line="240" w:lineRule="auto"/>
        <w:rPr>
          <w:rFonts w:asciiTheme="majorHAnsi" w:hAnsiTheme="majorHAnsi" w:cstheme="majorHAnsi"/>
          <w:color w:val="767171" w:themeColor="background2" w:themeShade="80"/>
          <w:sz w:val="16"/>
          <w:szCs w:val="16"/>
        </w:rPr>
      </w:pPr>
      <w:r>
        <w:rPr>
          <w:rFonts w:asciiTheme="majorHAnsi" w:hAnsiTheme="majorHAnsi" w:cstheme="majorHAnsi"/>
          <w:color w:val="767171" w:themeColor="background2" w:themeShade="80"/>
          <w:sz w:val="16"/>
          <w:szCs w:val="16"/>
        </w:rPr>
        <w:t>8</w:t>
      </w:r>
      <w:r w:rsidRPr="007D0856">
        <w:rPr>
          <w:rFonts w:asciiTheme="majorHAnsi" w:hAnsiTheme="majorHAnsi" w:cstheme="majorHAnsi"/>
          <w:color w:val="767171" w:themeColor="background2" w:themeShade="80"/>
          <w:sz w:val="16"/>
          <w:szCs w:val="16"/>
        </w:rPr>
        <w:t xml:space="preserve"> - </w:t>
      </w:r>
      <w:r w:rsidRPr="001F1B10">
        <w:rPr>
          <w:rFonts w:asciiTheme="majorHAnsi" w:hAnsiTheme="majorHAnsi" w:cstheme="majorHAnsi"/>
          <w:color w:val="767171" w:themeColor="background2" w:themeShade="80"/>
          <w:sz w:val="16"/>
          <w:szCs w:val="16"/>
        </w:rPr>
        <w:t xml:space="preserve">nytimes.com/2019/03/29/world/europe/brexit-britain-theresa-may.html </w:t>
      </w:r>
      <w:r w:rsidRPr="007D0856">
        <w:rPr>
          <w:rFonts w:asciiTheme="majorHAnsi" w:hAnsiTheme="majorHAnsi" w:cstheme="majorHAnsi"/>
          <w:color w:val="767171" w:themeColor="background2" w:themeShade="80"/>
          <w:sz w:val="16"/>
          <w:szCs w:val="16"/>
        </w:rPr>
        <w:t>[3/2</w:t>
      </w:r>
      <w:r>
        <w:rPr>
          <w:rFonts w:asciiTheme="majorHAnsi" w:hAnsiTheme="majorHAnsi" w:cstheme="majorHAnsi"/>
          <w:color w:val="767171" w:themeColor="background2" w:themeShade="80"/>
          <w:sz w:val="16"/>
          <w:szCs w:val="16"/>
        </w:rPr>
        <w:t>9</w:t>
      </w:r>
      <w:r w:rsidRPr="007D0856">
        <w:rPr>
          <w:rFonts w:asciiTheme="majorHAnsi" w:hAnsiTheme="majorHAnsi" w:cstheme="majorHAnsi"/>
          <w:color w:val="767171" w:themeColor="background2" w:themeShade="80"/>
          <w:sz w:val="16"/>
          <w:szCs w:val="16"/>
        </w:rPr>
        <w:t>/19]</w:t>
      </w:r>
      <w:r w:rsidRPr="006211E6">
        <w:rPr>
          <w:noProof/>
        </w:rPr>
        <w:t xml:space="preserve"> </w:t>
      </w:r>
    </w:p>
    <w:p w:rsidR="004F50BD" w:rsidRDefault="0020095A" w:rsidP="00602C22">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noProof/>
          <w:color w:val="808080" w:themeColor="background1" w:themeShade="80"/>
          <w:sz w:val="16"/>
          <w:szCs w:val="16"/>
        </w:rPr>
        <w:t>9</w:t>
      </w:r>
      <w:r w:rsidRPr="00410159">
        <w:rPr>
          <w:rFonts w:asciiTheme="majorHAnsi" w:hAnsiTheme="majorHAnsi" w:cstheme="majorHAnsi"/>
          <w:noProof/>
          <w:color w:val="808080" w:themeColor="background1" w:themeShade="80"/>
          <w:sz w:val="16"/>
          <w:szCs w:val="16"/>
        </w:rPr>
        <w:t xml:space="preserve"> -</w:t>
      </w:r>
      <w:r>
        <w:rPr>
          <w:rFonts w:asciiTheme="majorHAnsi" w:hAnsiTheme="majorHAnsi" w:cstheme="majorHAnsi"/>
          <w:noProof/>
          <w:color w:val="808080" w:themeColor="background1" w:themeShade="80"/>
          <w:sz w:val="16"/>
          <w:szCs w:val="16"/>
        </w:rPr>
        <w:t xml:space="preserve"> </w:t>
      </w:r>
      <w:r w:rsidRPr="00816D44">
        <w:rPr>
          <w:rFonts w:asciiTheme="majorHAnsi" w:hAnsiTheme="majorHAnsi" w:cstheme="majorHAnsi"/>
          <w:noProof/>
          <w:color w:val="808080" w:themeColor="background1" w:themeShade="80"/>
          <w:sz w:val="16"/>
          <w:szCs w:val="16"/>
        </w:rPr>
        <w:t xml:space="preserve">nytimes.com/2019/03/07/business/ecb-european-economy-stimulus.html </w:t>
      </w:r>
      <w:r w:rsidRPr="00410159">
        <w:rPr>
          <w:rFonts w:asciiTheme="majorHAnsi" w:hAnsiTheme="majorHAnsi" w:cstheme="majorHAnsi"/>
          <w:noProof/>
          <w:color w:val="808080" w:themeColor="background1" w:themeShade="80"/>
          <w:sz w:val="16"/>
          <w:szCs w:val="16"/>
        </w:rPr>
        <w:t>[</w:t>
      </w:r>
      <w:r>
        <w:rPr>
          <w:rFonts w:asciiTheme="majorHAnsi" w:hAnsiTheme="majorHAnsi" w:cstheme="majorHAnsi"/>
          <w:noProof/>
          <w:color w:val="808080" w:themeColor="background1" w:themeShade="80"/>
          <w:sz w:val="16"/>
          <w:szCs w:val="16"/>
        </w:rPr>
        <w:t>3/</w:t>
      </w:r>
      <w:r>
        <w:rPr>
          <w:rFonts w:asciiTheme="majorHAnsi" w:hAnsiTheme="majorHAnsi" w:cstheme="majorHAnsi"/>
          <w:noProof/>
          <w:color w:val="808080" w:themeColor="background1" w:themeShade="80"/>
          <w:sz w:val="16"/>
          <w:szCs w:val="16"/>
        </w:rPr>
        <w:t>7</w:t>
      </w:r>
      <w:r w:rsidRPr="00410159">
        <w:rPr>
          <w:rFonts w:asciiTheme="majorHAnsi" w:hAnsiTheme="majorHAnsi" w:cstheme="majorHAnsi"/>
          <w:noProof/>
          <w:color w:val="808080" w:themeColor="background1" w:themeShade="80"/>
          <w:sz w:val="16"/>
          <w:szCs w:val="16"/>
        </w:rPr>
        <w:t>/1</w:t>
      </w:r>
      <w:r>
        <w:rPr>
          <w:rFonts w:asciiTheme="majorHAnsi" w:hAnsiTheme="majorHAnsi" w:cstheme="majorHAnsi"/>
          <w:noProof/>
          <w:color w:val="808080" w:themeColor="background1" w:themeShade="80"/>
          <w:sz w:val="16"/>
          <w:szCs w:val="16"/>
        </w:rPr>
        <w:t>9</w:t>
      </w:r>
      <w:r w:rsidRPr="00410159">
        <w:rPr>
          <w:rFonts w:asciiTheme="majorHAnsi" w:hAnsiTheme="majorHAnsi" w:cstheme="majorHAnsi"/>
          <w:noProof/>
          <w:color w:val="808080" w:themeColor="background1" w:themeShade="80"/>
          <w:sz w:val="16"/>
          <w:szCs w:val="16"/>
        </w:rPr>
        <w:t>]</w:t>
      </w:r>
    </w:p>
    <w:p w:rsidR="00BC5ADE" w:rsidRPr="00602C22" w:rsidRDefault="0020095A" w:rsidP="00602C22">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10</w:t>
      </w:r>
      <w:r w:rsidRPr="00410159">
        <w:rPr>
          <w:rFonts w:asciiTheme="majorHAnsi" w:hAnsiTheme="majorHAnsi" w:cstheme="majorHAnsi"/>
          <w:color w:val="808080" w:themeColor="background1" w:themeShade="80"/>
          <w:sz w:val="16"/>
          <w:szCs w:val="16"/>
        </w:rPr>
        <w:t xml:space="preserve"> - markets.on.nytimes.com/research/markets/worldmarkets/worldmarkets.asp</w:t>
      </w:r>
      <w:r w:rsidRPr="00410159">
        <w:rPr>
          <w:rFonts w:asciiTheme="majorHAnsi" w:hAnsiTheme="majorHAnsi" w:cstheme="majorHAnsi"/>
          <w:color w:val="808080" w:themeColor="background1" w:themeShade="80"/>
          <w:sz w:val="16"/>
          <w:szCs w:val="16"/>
        </w:rPr>
        <w:t xml:space="preserve"> [</w:t>
      </w:r>
      <w:r>
        <w:rPr>
          <w:rFonts w:asciiTheme="majorHAnsi" w:hAnsiTheme="majorHAnsi" w:cstheme="majorHAnsi"/>
          <w:color w:val="808080" w:themeColor="background1" w:themeShade="80"/>
          <w:sz w:val="16"/>
          <w:szCs w:val="16"/>
        </w:rPr>
        <w:t>3/29</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w:t>
      </w:r>
    </w:p>
    <w:p w:rsidR="00EA6A6E" w:rsidRPr="00410159" w:rsidRDefault="0020095A" w:rsidP="00602C22">
      <w:pPr>
        <w:spacing w:after="0" w:line="240" w:lineRule="auto"/>
        <w:rPr>
          <w:rFonts w:asciiTheme="majorHAnsi" w:hAnsiTheme="majorHAnsi" w:cstheme="majorHAnsi"/>
          <w:noProof/>
          <w:color w:val="808080" w:themeColor="background1" w:themeShade="80"/>
          <w:sz w:val="16"/>
          <w:szCs w:val="16"/>
        </w:rPr>
      </w:pPr>
      <w:r>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1</w:t>
      </w:r>
      <w:r w:rsidRPr="00410159">
        <w:rPr>
          <w:rFonts w:asciiTheme="majorHAnsi" w:hAnsiTheme="majorHAnsi" w:cstheme="majorHAnsi"/>
          <w:color w:val="808080" w:themeColor="background1" w:themeShade="80"/>
          <w:sz w:val="16"/>
          <w:szCs w:val="16"/>
        </w:rPr>
        <w:t xml:space="preserve"> - msci.com/end-of-day-data-search [</w:t>
      </w:r>
      <w:r>
        <w:rPr>
          <w:rFonts w:asciiTheme="majorHAnsi" w:hAnsiTheme="majorHAnsi" w:cstheme="majorHAnsi"/>
          <w:color w:val="808080" w:themeColor="background1" w:themeShade="80"/>
          <w:sz w:val="16"/>
          <w:szCs w:val="16"/>
        </w:rPr>
        <w:t>3/29</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w:t>
      </w:r>
    </w:p>
    <w:p w:rsidR="00A91622" w:rsidRPr="00696F0C" w:rsidRDefault="0020095A" w:rsidP="00602C22">
      <w:pPr>
        <w:spacing w:after="0" w:line="240" w:lineRule="auto"/>
        <w:rPr>
          <w:rFonts w:asciiTheme="majorHAnsi" w:hAnsiTheme="majorHAnsi" w:cstheme="majorHAnsi"/>
          <w:noProof/>
          <w:color w:val="808080" w:themeColor="background1" w:themeShade="80"/>
          <w:sz w:val="16"/>
          <w:szCs w:val="16"/>
        </w:rPr>
      </w:pPr>
      <w:r w:rsidRPr="00B53DB8">
        <w:rPr>
          <w:rFonts w:asciiTheme="majorHAnsi" w:hAnsiTheme="majorHAnsi" w:cstheme="majorHAnsi"/>
          <w:noProof/>
          <w:color w:val="808080" w:themeColor="background1" w:themeShade="80"/>
          <w:sz w:val="16"/>
          <w:szCs w:val="16"/>
        </w:rPr>
        <w:t>1</w:t>
      </w:r>
      <w:r>
        <w:rPr>
          <w:rFonts w:asciiTheme="majorHAnsi" w:hAnsiTheme="majorHAnsi" w:cstheme="majorHAnsi"/>
          <w:noProof/>
          <w:color w:val="808080" w:themeColor="background1" w:themeShade="80"/>
          <w:sz w:val="16"/>
          <w:szCs w:val="16"/>
        </w:rPr>
        <w:t>2</w:t>
      </w:r>
      <w:r w:rsidRPr="00B53DB8">
        <w:rPr>
          <w:rFonts w:asciiTheme="majorHAnsi" w:hAnsiTheme="majorHAnsi" w:cstheme="majorHAnsi"/>
          <w:noProof/>
          <w:color w:val="808080" w:themeColor="background1" w:themeShade="80"/>
          <w:sz w:val="16"/>
          <w:szCs w:val="16"/>
        </w:rPr>
        <w:t xml:space="preserve"> - money.cnn.com/data/commodities/ [</w:t>
      </w:r>
      <w:r>
        <w:rPr>
          <w:rFonts w:asciiTheme="majorHAnsi" w:hAnsiTheme="majorHAnsi" w:cstheme="majorHAnsi"/>
          <w:noProof/>
          <w:color w:val="808080" w:themeColor="background1" w:themeShade="80"/>
          <w:sz w:val="16"/>
          <w:szCs w:val="16"/>
        </w:rPr>
        <w:t>3/29</w:t>
      </w:r>
      <w:r w:rsidRPr="00B53DB8">
        <w:rPr>
          <w:rFonts w:asciiTheme="majorHAnsi" w:hAnsiTheme="majorHAnsi" w:cstheme="majorHAnsi"/>
          <w:noProof/>
          <w:color w:val="808080" w:themeColor="background1" w:themeShade="80"/>
          <w:sz w:val="16"/>
          <w:szCs w:val="16"/>
        </w:rPr>
        <w:t>/1</w:t>
      </w:r>
      <w:r>
        <w:rPr>
          <w:rFonts w:asciiTheme="majorHAnsi" w:hAnsiTheme="majorHAnsi" w:cstheme="majorHAnsi"/>
          <w:noProof/>
          <w:color w:val="808080" w:themeColor="background1" w:themeShade="80"/>
          <w:sz w:val="16"/>
          <w:szCs w:val="16"/>
        </w:rPr>
        <w:t>9</w:t>
      </w:r>
      <w:r w:rsidRPr="00B53DB8">
        <w:rPr>
          <w:rFonts w:asciiTheme="majorHAnsi" w:hAnsiTheme="majorHAnsi" w:cstheme="majorHAnsi"/>
          <w:noProof/>
          <w:color w:val="808080" w:themeColor="background1" w:themeShade="80"/>
          <w:sz w:val="16"/>
          <w:szCs w:val="16"/>
        </w:rPr>
        <w:t>]</w:t>
      </w:r>
    </w:p>
    <w:p w:rsidR="001251CC" w:rsidRDefault="0020095A" w:rsidP="00602C22">
      <w:pPr>
        <w:spacing w:after="0" w:line="240" w:lineRule="auto"/>
        <w:rPr>
          <w:rFonts w:asciiTheme="majorHAnsi" w:hAnsiTheme="majorHAnsi" w:cstheme="majorHAnsi"/>
          <w:color w:val="808080" w:themeColor="background1" w:themeShade="80"/>
          <w:sz w:val="16"/>
          <w:szCs w:val="16"/>
        </w:rPr>
      </w:pP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3</w:t>
      </w:r>
      <w:r w:rsidRPr="00410159">
        <w:rPr>
          <w:rFonts w:asciiTheme="majorHAnsi" w:hAnsiTheme="majorHAnsi" w:cstheme="majorHAnsi"/>
          <w:color w:val="808080" w:themeColor="background1" w:themeShade="80"/>
          <w:sz w:val="16"/>
          <w:szCs w:val="16"/>
        </w:rPr>
        <w:t xml:space="preserve"> - marketwatch.com/investing/index/dxy/historical [</w:t>
      </w:r>
      <w:r>
        <w:rPr>
          <w:rFonts w:asciiTheme="majorHAnsi" w:hAnsiTheme="majorHAnsi" w:cstheme="majorHAnsi"/>
          <w:color w:val="808080" w:themeColor="background1" w:themeShade="80"/>
          <w:sz w:val="16"/>
          <w:szCs w:val="16"/>
        </w:rPr>
        <w:t>3/29</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 xml:space="preserve">] </w:t>
      </w:r>
    </w:p>
    <w:p w:rsidR="00E41665" w:rsidRDefault="0020095A" w:rsidP="00602C22">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14</w:t>
      </w:r>
      <w:r>
        <w:rPr>
          <w:rFonts w:asciiTheme="majorHAnsi" w:hAnsiTheme="majorHAnsi" w:cstheme="majorHAnsi"/>
          <w:color w:val="808080" w:themeColor="background1" w:themeShade="80"/>
          <w:sz w:val="16"/>
          <w:szCs w:val="16"/>
        </w:rPr>
        <w:t xml:space="preserve"> - </w:t>
      </w:r>
      <w:r w:rsidRPr="005E2681">
        <w:rPr>
          <w:rFonts w:asciiTheme="majorHAnsi" w:hAnsiTheme="majorHAnsi" w:cstheme="majorHAnsi"/>
          <w:color w:val="808080" w:themeColor="background1" w:themeShade="80"/>
          <w:sz w:val="16"/>
          <w:szCs w:val="16"/>
        </w:rPr>
        <w:t xml:space="preserve">nar.realtor/newsroom/existing-home-sales-surge-11-8-percent-in-february </w:t>
      </w:r>
      <w:r>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3</w:t>
      </w:r>
      <w:r>
        <w:rPr>
          <w:rFonts w:asciiTheme="majorHAnsi" w:hAnsiTheme="majorHAnsi" w:cstheme="majorHAnsi"/>
          <w:color w:val="808080" w:themeColor="background1" w:themeShade="80"/>
          <w:sz w:val="16"/>
          <w:szCs w:val="16"/>
        </w:rPr>
        <w:t>/2</w:t>
      </w:r>
      <w:r>
        <w:rPr>
          <w:rFonts w:asciiTheme="majorHAnsi" w:hAnsiTheme="majorHAnsi" w:cstheme="majorHAnsi"/>
          <w:color w:val="808080" w:themeColor="background1" w:themeShade="80"/>
          <w:sz w:val="16"/>
          <w:szCs w:val="16"/>
        </w:rPr>
        <w:t>2</w:t>
      </w:r>
      <w:r>
        <w:rPr>
          <w:rFonts w:asciiTheme="majorHAnsi" w:hAnsiTheme="majorHAnsi" w:cstheme="majorHAnsi"/>
          <w:color w:val="808080" w:themeColor="background1" w:themeShade="80"/>
          <w:sz w:val="16"/>
          <w:szCs w:val="16"/>
        </w:rPr>
        <w:t>/19]</w:t>
      </w:r>
    </w:p>
    <w:p w:rsidR="0087554D" w:rsidRPr="00696F0C" w:rsidRDefault="0020095A" w:rsidP="00602C22">
      <w:pPr>
        <w:spacing w:after="0" w:line="240" w:lineRule="auto"/>
        <w:rPr>
          <w:rFonts w:asciiTheme="majorHAnsi" w:hAnsiTheme="majorHAnsi" w:cs="Calibri"/>
          <w:color w:val="646464"/>
          <w:sz w:val="16"/>
          <w:szCs w:val="16"/>
        </w:rPr>
      </w:pPr>
      <w:r>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5</w:t>
      </w:r>
      <w:r w:rsidRPr="00410159">
        <w:rPr>
          <w:rFonts w:asciiTheme="majorHAnsi" w:hAnsiTheme="majorHAnsi" w:cstheme="majorHAnsi"/>
          <w:color w:val="808080" w:themeColor="background1" w:themeShade="80"/>
          <w:sz w:val="16"/>
          <w:szCs w:val="16"/>
        </w:rPr>
        <w:t xml:space="preserve"> - freddiemac.com/pmms/archive.html [</w:t>
      </w:r>
      <w:r>
        <w:rPr>
          <w:rFonts w:asciiTheme="majorHAnsi" w:hAnsiTheme="majorHAnsi" w:cstheme="majorHAnsi"/>
          <w:color w:val="808080" w:themeColor="background1" w:themeShade="80"/>
          <w:sz w:val="16"/>
          <w:szCs w:val="16"/>
        </w:rPr>
        <w:t>3/2</w:t>
      </w:r>
      <w:r>
        <w:rPr>
          <w:rFonts w:asciiTheme="majorHAnsi" w:hAnsiTheme="majorHAnsi" w:cstheme="majorHAnsi"/>
          <w:color w:val="808080" w:themeColor="background1" w:themeShade="80"/>
          <w:sz w:val="16"/>
          <w:szCs w:val="16"/>
        </w:rPr>
        <w:t>8</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w:t>
      </w:r>
      <w:r w:rsidRPr="00300F0B">
        <w:rPr>
          <w:noProof/>
        </w:rPr>
        <w:t xml:space="preserve"> </w:t>
      </w:r>
    </w:p>
    <w:p w:rsidR="002E4E5F" w:rsidRDefault="0020095A" w:rsidP="00602C22">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16</w:t>
      </w:r>
      <w:r w:rsidRPr="00B46640">
        <w:rPr>
          <w:rFonts w:asciiTheme="majorHAnsi" w:hAnsiTheme="majorHAnsi" w:cstheme="majorHAnsi"/>
          <w:color w:val="808080" w:themeColor="background1" w:themeShade="80"/>
          <w:sz w:val="16"/>
          <w:szCs w:val="16"/>
        </w:rPr>
        <w:t xml:space="preserve"> - markets.wsj.com/us [</w:t>
      </w:r>
      <w:r>
        <w:rPr>
          <w:rFonts w:asciiTheme="majorHAnsi" w:hAnsiTheme="majorHAnsi" w:cstheme="majorHAnsi"/>
          <w:color w:val="808080" w:themeColor="background1" w:themeShade="80"/>
          <w:sz w:val="16"/>
          <w:szCs w:val="16"/>
        </w:rPr>
        <w:t>3</w:t>
      </w:r>
      <w:r w:rsidRPr="00B46640">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29</w:t>
      </w:r>
      <w:r w:rsidRPr="00B46640">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B46640">
        <w:rPr>
          <w:rFonts w:asciiTheme="majorHAnsi" w:hAnsiTheme="majorHAnsi" w:cstheme="majorHAnsi"/>
          <w:color w:val="808080" w:themeColor="background1" w:themeShade="80"/>
          <w:sz w:val="16"/>
          <w:szCs w:val="16"/>
        </w:rPr>
        <w:t>]</w:t>
      </w:r>
      <w:r w:rsidRPr="00F23626">
        <w:rPr>
          <w:noProof/>
        </w:rPr>
        <w:t xml:space="preserve"> </w:t>
      </w:r>
      <w:r w:rsidRPr="00D66948">
        <w:rPr>
          <w:noProof/>
        </w:rPr>
        <w:t xml:space="preserve"> </w:t>
      </w:r>
    </w:p>
    <w:p w:rsidR="00B46640" w:rsidRPr="00410159" w:rsidRDefault="0020095A" w:rsidP="00602C22">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7</w:t>
      </w:r>
      <w:r w:rsidRPr="00B46640">
        <w:rPr>
          <w:rFonts w:asciiTheme="majorHAnsi" w:hAnsiTheme="majorHAnsi" w:cstheme="majorHAnsi"/>
          <w:color w:val="808080" w:themeColor="background1" w:themeShade="80"/>
          <w:sz w:val="16"/>
          <w:szCs w:val="16"/>
        </w:rPr>
        <w:t xml:space="preserve"> - markets.wsj.com/us [12/</w:t>
      </w:r>
      <w:r>
        <w:rPr>
          <w:rFonts w:asciiTheme="majorHAnsi" w:hAnsiTheme="majorHAnsi" w:cstheme="majorHAnsi"/>
          <w:color w:val="808080" w:themeColor="background1" w:themeShade="80"/>
          <w:sz w:val="16"/>
          <w:szCs w:val="16"/>
        </w:rPr>
        <w:t>31</w:t>
      </w:r>
      <w:r w:rsidRPr="00B46640">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8</w:t>
      </w:r>
      <w:r w:rsidRPr="00B46640">
        <w:rPr>
          <w:rFonts w:asciiTheme="majorHAnsi" w:hAnsiTheme="majorHAnsi" w:cstheme="majorHAnsi"/>
          <w:color w:val="808080" w:themeColor="background1" w:themeShade="80"/>
          <w:sz w:val="16"/>
          <w:szCs w:val="16"/>
        </w:rPr>
        <w:t>]</w:t>
      </w:r>
      <w:r w:rsidRPr="00F23626">
        <w:rPr>
          <w:noProof/>
        </w:rPr>
        <w:t xml:space="preserve"> </w:t>
      </w:r>
      <w:r w:rsidRPr="00D66948">
        <w:rPr>
          <w:noProof/>
        </w:rPr>
        <w:t xml:space="preserve"> </w:t>
      </w:r>
    </w:p>
    <w:p w:rsidR="0087554D" w:rsidRPr="00410159" w:rsidRDefault="0020095A" w:rsidP="00602C22">
      <w:pPr>
        <w:spacing w:after="0" w:line="240" w:lineRule="auto"/>
        <w:rPr>
          <w:rStyle w:val="st"/>
          <w:rFonts w:asciiTheme="majorHAnsi" w:hAnsiTheme="majorHAnsi" w:cstheme="majorHAnsi"/>
          <w:color w:val="808080" w:themeColor="background1" w:themeShade="80"/>
          <w:sz w:val="16"/>
          <w:szCs w:val="16"/>
        </w:rPr>
      </w:pPr>
      <w:bookmarkStart w:id="6" w:name="_Hlk533682436"/>
      <w:r>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8</w:t>
      </w:r>
      <w:r w:rsidRPr="00410159">
        <w:rPr>
          <w:rFonts w:asciiTheme="majorHAnsi" w:hAnsiTheme="majorHAnsi" w:cstheme="majorHAnsi"/>
          <w:color w:val="808080" w:themeColor="background1" w:themeShade="80"/>
          <w:sz w:val="16"/>
          <w:szCs w:val="16"/>
        </w:rPr>
        <w:t xml:space="preserve"> - </w:t>
      </w:r>
      <w:r w:rsidRPr="00E62E5E">
        <w:rPr>
          <w:rFonts w:asciiTheme="majorHAnsi" w:hAnsiTheme="majorHAnsi" w:cstheme="majorHAnsi"/>
          <w:color w:val="808080" w:themeColor="background1" w:themeShade="80"/>
          <w:sz w:val="16"/>
          <w:szCs w:val="16"/>
        </w:rPr>
        <w:t xml:space="preserve">treasury.gov/resource-center/data-chart-center/interest-rates/Pages/TextView.aspx?data=yieldAll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3/29</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w:t>
      </w:r>
    </w:p>
    <w:bookmarkEnd w:id="6"/>
    <w:p w:rsidR="009E1D58" w:rsidRPr="00EF4DEC" w:rsidRDefault="0020095A" w:rsidP="003F2BAB">
      <w:pPr>
        <w:spacing w:after="0" w:line="276" w:lineRule="auto"/>
        <w:rPr>
          <w:rFonts w:asciiTheme="majorHAnsi" w:hAnsiTheme="majorHAnsi" w:cstheme="majorHAnsi"/>
          <w:noProof/>
          <w:color w:val="808080" w:themeColor="background1" w:themeShade="80"/>
          <w:sz w:val="16"/>
          <w:szCs w:val="16"/>
        </w:rPr>
      </w:pPr>
    </w:p>
    <w:sectPr w:rsidR="009E1D58" w:rsidRPr="00EF4DEC" w:rsidSect="002B3955">
      <w:pgSz w:w="12240" w:h="15840"/>
      <w:pgMar w:top="1440" w:right="158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64EF1"/>
    <w:multiLevelType w:val="hybridMultilevel"/>
    <w:tmpl w:val="52807AE8"/>
    <w:lvl w:ilvl="0" w:tplc="9FCCFD56">
      <w:start w:val="1"/>
      <w:numFmt w:val="bullet"/>
      <w:lvlText w:val=""/>
      <w:lvlJc w:val="left"/>
      <w:pPr>
        <w:ind w:left="720" w:hanging="360"/>
      </w:pPr>
      <w:rPr>
        <w:rFonts w:ascii="Symbol" w:hAnsi="Symbol" w:hint="default"/>
      </w:rPr>
    </w:lvl>
    <w:lvl w:ilvl="1" w:tplc="64A6B246" w:tentative="1">
      <w:start w:val="1"/>
      <w:numFmt w:val="bullet"/>
      <w:lvlText w:val="o"/>
      <w:lvlJc w:val="left"/>
      <w:pPr>
        <w:ind w:left="1440" w:hanging="360"/>
      </w:pPr>
      <w:rPr>
        <w:rFonts w:ascii="Courier New" w:hAnsi="Courier New" w:cs="Courier New" w:hint="default"/>
      </w:rPr>
    </w:lvl>
    <w:lvl w:ilvl="2" w:tplc="9AB238F4" w:tentative="1">
      <w:start w:val="1"/>
      <w:numFmt w:val="bullet"/>
      <w:lvlText w:val=""/>
      <w:lvlJc w:val="left"/>
      <w:pPr>
        <w:ind w:left="2160" w:hanging="360"/>
      </w:pPr>
      <w:rPr>
        <w:rFonts w:ascii="Wingdings" w:hAnsi="Wingdings" w:hint="default"/>
      </w:rPr>
    </w:lvl>
    <w:lvl w:ilvl="3" w:tplc="51E4F7FC" w:tentative="1">
      <w:start w:val="1"/>
      <w:numFmt w:val="bullet"/>
      <w:lvlText w:val=""/>
      <w:lvlJc w:val="left"/>
      <w:pPr>
        <w:ind w:left="2880" w:hanging="360"/>
      </w:pPr>
      <w:rPr>
        <w:rFonts w:ascii="Symbol" w:hAnsi="Symbol" w:hint="default"/>
      </w:rPr>
    </w:lvl>
    <w:lvl w:ilvl="4" w:tplc="23EA50BC" w:tentative="1">
      <w:start w:val="1"/>
      <w:numFmt w:val="bullet"/>
      <w:lvlText w:val="o"/>
      <w:lvlJc w:val="left"/>
      <w:pPr>
        <w:ind w:left="3600" w:hanging="360"/>
      </w:pPr>
      <w:rPr>
        <w:rFonts w:ascii="Courier New" w:hAnsi="Courier New" w:cs="Courier New" w:hint="default"/>
      </w:rPr>
    </w:lvl>
    <w:lvl w:ilvl="5" w:tplc="AC466408" w:tentative="1">
      <w:start w:val="1"/>
      <w:numFmt w:val="bullet"/>
      <w:lvlText w:val=""/>
      <w:lvlJc w:val="left"/>
      <w:pPr>
        <w:ind w:left="4320" w:hanging="360"/>
      </w:pPr>
      <w:rPr>
        <w:rFonts w:ascii="Wingdings" w:hAnsi="Wingdings" w:hint="default"/>
      </w:rPr>
    </w:lvl>
    <w:lvl w:ilvl="6" w:tplc="2724028A" w:tentative="1">
      <w:start w:val="1"/>
      <w:numFmt w:val="bullet"/>
      <w:lvlText w:val=""/>
      <w:lvlJc w:val="left"/>
      <w:pPr>
        <w:ind w:left="5040" w:hanging="360"/>
      </w:pPr>
      <w:rPr>
        <w:rFonts w:ascii="Symbol" w:hAnsi="Symbol" w:hint="default"/>
      </w:rPr>
    </w:lvl>
    <w:lvl w:ilvl="7" w:tplc="C35428FE" w:tentative="1">
      <w:start w:val="1"/>
      <w:numFmt w:val="bullet"/>
      <w:lvlText w:val="o"/>
      <w:lvlJc w:val="left"/>
      <w:pPr>
        <w:ind w:left="5760" w:hanging="360"/>
      </w:pPr>
      <w:rPr>
        <w:rFonts w:ascii="Courier New" w:hAnsi="Courier New" w:cs="Courier New" w:hint="default"/>
      </w:rPr>
    </w:lvl>
    <w:lvl w:ilvl="8" w:tplc="DE9CCAB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55B"/>
    <w:rsid w:val="0020095A"/>
    <w:rsid w:val="00CD2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AC8A97-0D0B-4759-91A0-DCA855A38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4A2938"/>
  </w:style>
  <w:style w:type="paragraph" w:styleId="ListParagraph">
    <w:name w:val="List Paragraph"/>
    <w:basedOn w:val="Normal"/>
    <w:uiPriority w:val="34"/>
    <w:qFormat/>
    <w:rsid w:val="00B2579B"/>
    <w:pPr>
      <w:ind w:left="720"/>
      <w:contextualSpacing/>
    </w:pPr>
  </w:style>
  <w:style w:type="table" w:styleId="TableGrid">
    <w:name w:val="Table Grid"/>
    <w:basedOn w:val="TableNormal"/>
    <w:uiPriority w:val="39"/>
    <w:rsid w:val="006D5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37981"/>
    <w:pPr>
      <w:autoSpaceDE w:val="0"/>
      <w:autoSpaceDN w:val="0"/>
      <w:adjustRightInd w:val="0"/>
      <w:spacing w:after="480" w:line="420" w:lineRule="exact"/>
    </w:pPr>
    <w:rPr>
      <w:rFonts w:ascii="Georgia" w:eastAsia="Times" w:hAnsi="Georgia" w:cs="Times New Roman"/>
      <w:sz w:val="40"/>
      <w:szCs w:val="24"/>
    </w:rPr>
  </w:style>
  <w:style w:type="character" w:customStyle="1" w:styleId="BodyTextChar">
    <w:name w:val="Body Text Char"/>
    <w:basedOn w:val="DefaultParagraphFont"/>
    <w:link w:val="BodyText"/>
    <w:rsid w:val="00237981"/>
    <w:rPr>
      <w:rFonts w:ascii="Georgia" w:eastAsia="Times" w:hAnsi="Georgia" w:cs="Times New Roman"/>
      <w:sz w:val="40"/>
      <w:szCs w:val="24"/>
    </w:rPr>
  </w:style>
  <w:style w:type="paragraph" w:styleId="PlainText">
    <w:name w:val="Plain Text"/>
    <w:basedOn w:val="Normal"/>
    <w:link w:val="PlainTextChar"/>
    <w:uiPriority w:val="99"/>
    <w:unhideWhenUsed/>
    <w:rsid w:val="00775662"/>
    <w:pPr>
      <w:spacing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775662"/>
    <w:rPr>
      <w:rFonts w:ascii="Consolas" w:eastAsia="Calibri" w:hAnsi="Consolas" w:cs="Consolas"/>
      <w:sz w:val="21"/>
      <w:szCs w:val="21"/>
    </w:rPr>
  </w:style>
  <w:style w:type="paragraph" w:styleId="BalloonText">
    <w:name w:val="Balloon Text"/>
    <w:basedOn w:val="Normal"/>
    <w:link w:val="BalloonTextChar"/>
    <w:uiPriority w:val="99"/>
    <w:semiHidden/>
    <w:unhideWhenUsed/>
    <w:rsid w:val="003010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07A"/>
    <w:rPr>
      <w:rFonts w:ascii="Segoe UI" w:hAnsi="Segoe UI" w:cs="Segoe UI"/>
      <w:sz w:val="18"/>
      <w:szCs w:val="18"/>
    </w:rPr>
  </w:style>
  <w:style w:type="paragraph" w:styleId="NormalWeb">
    <w:name w:val="Normal (Web)"/>
    <w:basedOn w:val="Normal"/>
    <w:uiPriority w:val="99"/>
    <w:semiHidden/>
    <w:unhideWhenUsed/>
    <w:rsid w:val="001C71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2824</Words>
  <Characters>16098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dc:creator>
  <cp:lastModifiedBy>Jarosinski, Brian</cp:lastModifiedBy>
  <cp:revision>3</cp:revision>
  <cp:lastPrinted>2019-04-16T23:52:00Z</cp:lastPrinted>
  <dcterms:created xsi:type="dcterms:W3CDTF">2019-04-01T23:50:00Z</dcterms:created>
  <dcterms:modified xsi:type="dcterms:W3CDTF">2019-04-16T23:53:00Z</dcterms:modified>
</cp:coreProperties>
</file>