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DA6896" w:rsidRPr="00DA6896" w14:paraId="7DB2B271" w14:textId="77777777" w:rsidTr="00DA6896">
        <w:tc>
          <w:tcPr>
            <w:tcW w:w="0" w:type="auto"/>
            <w:tcBorders>
              <w:top w:val="nil"/>
              <w:left w:val="nil"/>
              <w:bottom w:val="nil"/>
              <w:right w:val="nil"/>
            </w:tcBorders>
            <w:shd w:val="clear" w:color="auto" w:fill="FFFFFF"/>
            <w:tcMar>
              <w:top w:w="300" w:type="dxa"/>
              <w:left w:w="0" w:type="dxa"/>
              <w:bottom w:w="360" w:type="dxa"/>
              <w:right w:w="0" w:type="dxa"/>
            </w:tcMar>
            <w:vAlign w:val="center"/>
            <w:hideMark/>
          </w:tcPr>
          <w:p w14:paraId="752092F5" w14:textId="77777777" w:rsidR="00DA6896" w:rsidRPr="00DA6896" w:rsidRDefault="00DA6896" w:rsidP="00DA6896">
            <w:pPr>
              <w:spacing w:before="100" w:beforeAutospacing="1" w:after="100" w:afterAutospacing="1" w:line="240" w:lineRule="auto"/>
              <w:jc w:val="center"/>
              <w:rPr>
                <w:rFonts w:ascii="Helvetica" w:eastAsia="Times New Roman" w:hAnsi="Helvetica" w:cs="Helvetica"/>
                <w:color w:val="333333"/>
                <w:sz w:val="45"/>
                <w:szCs w:val="45"/>
              </w:rPr>
            </w:pPr>
            <w:r w:rsidRPr="00DA6896">
              <w:rPr>
                <w:rFonts w:ascii="Helvetica" w:eastAsia="Times New Roman" w:hAnsi="Helvetica" w:cs="Helvetica"/>
                <w:noProof/>
                <w:color w:val="209BB9"/>
                <w:sz w:val="45"/>
                <w:szCs w:val="45"/>
              </w:rPr>
              <w:drawing>
                <wp:inline distT="0" distB="0" distL="0" distR="0" wp14:anchorId="7DCA8931" wp14:editId="5DFE1835">
                  <wp:extent cx="1905000" cy="619125"/>
                  <wp:effectExtent l="0" t="0" r="0" b="9525"/>
                  <wp:docPr id="1" name="Picture 1">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p>
        </w:tc>
      </w:tr>
      <w:tr w:rsidR="00DA6896" w:rsidRPr="00DA6896" w14:paraId="3B8B1B1D" w14:textId="77777777" w:rsidTr="00DA6896">
        <w:tc>
          <w:tcPr>
            <w:tcW w:w="0" w:type="auto"/>
            <w:tcBorders>
              <w:top w:val="nil"/>
              <w:left w:val="nil"/>
              <w:bottom w:val="nil"/>
              <w:right w:val="nil"/>
            </w:tcBorders>
            <w:shd w:val="clear" w:color="auto" w:fill="auto"/>
            <w:tcMar>
              <w:top w:w="0" w:type="dxa"/>
              <w:left w:w="0" w:type="dxa"/>
              <w:bottom w:w="375" w:type="dxa"/>
              <w:right w:w="0" w:type="dxa"/>
            </w:tcMar>
            <w:vAlign w:val="center"/>
            <w:hideMark/>
          </w:tcPr>
          <w:p w14:paraId="34B0A8D2" w14:textId="77777777" w:rsidR="00DA6896" w:rsidRDefault="00DA6896"/>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DA6896" w:rsidRPr="00DA6896" w14:paraId="5333A3D8" w14:textId="77777777">
              <w:tc>
                <w:tcPr>
                  <w:tcW w:w="0" w:type="auto"/>
                  <w:tcBorders>
                    <w:top w:val="nil"/>
                    <w:left w:val="nil"/>
                    <w:bottom w:val="nil"/>
                    <w:right w:val="nil"/>
                  </w:tcBorders>
                  <w:shd w:val="clear" w:color="auto" w:fill="auto"/>
                  <w:tcMar>
                    <w:top w:w="225" w:type="dxa"/>
                    <w:left w:w="450" w:type="dxa"/>
                    <w:bottom w:w="225" w:type="dxa"/>
                    <w:right w:w="450" w:type="dxa"/>
                  </w:tcMar>
                  <w:vAlign w:val="center"/>
                  <w:hideMark/>
                </w:tcPr>
                <w:p w14:paraId="64D3E0B9" w14:textId="05716433" w:rsidR="00DA6896" w:rsidRPr="00DA6896" w:rsidRDefault="00DA6896" w:rsidP="00DA6896">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Hey </w:t>
                  </w:r>
                  <w:proofErr w:type="gramStart"/>
                  <w:r>
                    <w:rPr>
                      <w:rFonts w:ascii="Arial" w:eastAsia="Times New Roman" w:hAnsi="Arial" w:cs="Arial"/>
                      <w:sz w:val="24"/>
                      <w:szCs w:val="24"/>
                    </w:rPr>
                    <w:t>Friends</w:t>
                  </w:r>
                  <w:proofErr w:type="gramEnd"/>
                  <w:r>
                    <w:rPr>
                      <w:rFonts w:ascii="Arial" w:eastAsia="Times New Roman" w:hAnsi="Arial" w:cs="Arial"/>
                      <w:sz w:val="24"/>
                      <w:szCs w:val="24"/>
                    </w:rPr>
                    <w:t>,</w:t>
                  </w:r>
                </w:p>
                <w:p w14:paraId="4B74998D" w14:textId="438DA344" w:rsidR="00DA6896" w:rsidRPr="00DA6896" w:rsidRDefault="00DA6896" w:rsidP="00DA6896">
                  <w:pPr>
                    <w:spacing w:before="100" w:beforeAutospacing="1" w:after="100" w:afterAutospacing="1" w:line="240" w:lineRule="auto"/>
                    <w:rPr>
                      <w:rFonts w:ascii="Arial" w:eastAsia="Times New Roman" w:hAnsi="Arial" w:cs="Arial"/>
                      <w:sz w:val="26"/>
                      <w:szCs w:val="26"/>
                    </w:rPr>
                  </w:pPr>
                  <w:r w:rsidRPr="00DA6896">
                    <w:rPr>
                      <w:rFonts w:ascii="Arial" w:eastAsia="Times New Roman" w:hAnsi="Arial" w:cs="Arial"/>
                      <w:sz w:val="24"/>
                      <w:szCs w:val="24"/>
                    </w:rPr>
                    <w:t>Here is our weekly market update:</w:t>
                  </w:r>
                </w:p>
              </w:tc>
            </w:tr>
            <w:tr w:rsidR="00DA6896" w:rsidRPr="00DA6896" w14:paraId="229E4185" w14:textId="77777777">
              <w:tc>
                <w:tcPr>
                  <w:tcW w:w="0" w:type="auto"/>
                  <w:tcBorders>
                    <w:top w:val="nil"/>
                    <w:left w:val="nil"/>
                    <w:bottom w:val="nil"/>
                    <w:right w:val="nil"/>
                  </w:tcBorders>
                  <w:shd w:val="clear" w:color="auto" w:fill="auto"/>
                  <w:tcMar>
                    <w:top w:w="225" w:type="dxa"/>
                    <w:left w:w="450" w:type="dxa"/>
                    <w:bottom w:w="0" w:type="dxa"/>
                    <w:right w:w="450" w:type="dxa"/>
                  </w:tcMar>
                  <w:vAlign w:val="center"/>
                  <w:hideMark/>
                </w:tcPr>
                <w:p w14:paraId="7F216557"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color w:val="333333"/>
                      <w:sz w:val="26"/>
                      <w:szCs w:val="26"/>
                    </w:rPr>
                    <w:t>Strong employment reports and rising consumer confidence sent the stock market broadly higher last week.</w:t>
                  </w:r>
                </w:p>
                <w:p w14:paraId="3F39AC92"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color w:val="333333"/>
                      <w:sz w:val="26"/>
                      <w:szCs w:val="26"/>
                    </w:rPr>
                    <w:t>The Dow Jones Industrial Average rose 1.02%, while the Standard &amp; Poor’s 500 picked up 1.67%. The Nasdaq Composite index gained 1.94%. The MSCI EAFE index, which tracks developed overseas stock markets, lost 1.42%.</w:t>
                  </w:r>
                  <w:r w:rsidRPr="00DA6896">
                    <w:rPr>
                      <w:rFonts w:ascii="Arial" w:eastAsia="Times New Roman" w:hAnsi="Arial" w:cs="Arial"/>
                      <w:color w:val="333333"/>
                      <w:sz w:val="18"/>
                      <w:szCs w:val="18"/>
                      <w:vertAlign w:val="superscript"/>
                    </w:rPr>
                    <w:t>1,2,3</w:t>
                  </w:r>
                </w:p>
              </w:tc>
            </w:tr>
            <w:tr w:rsidR="00DA6896" w:rsidRPr="00DA6896" w14:paraId="547F7D02" w14:textId="77777777">
              <w:tc>
                <w:tcPr>
                  <w:tcW w:w="0" w:type="auto"/>
                  <w:tcBorders>
                    <w:top w:val="nil"/>
                    <w:left w:val="nil"/>
                    <w:bottom w:val="nil"/>
                    <w:right w:val="nil"/>
                  </w:tcBorders>
                  <w:shd w:val="clear" w:color="auto" w:fill="auto"/>
                  <w:tcMar>
                    <w:top w:w="225" w:type="dxa"/>
                    <w:left w:w="450" w:type="dxa"/>
                    <w:bottom w:w="450" w:type="dxa"/>
                    <w:right w:w="450" w:type="dxa"/>
                  </w:tcMar>
                  <w:vAlign w:val="center"/>
                  <w:hideMark/>
                </w:tcPr>
                <w:p w14:paraId="2C44550C" w14:textId="77777777" w:rsidR="00DA6896" w:rsidRPr="00DA6896" w:rsidRDefault="00DA6896" w:rsidP="00DA6896">
                  <w:pPr>
                    <w:spacing w:before="100" w:beforeAutospacing="1" w:after="100" w:afterAutospacing="1" w:line="240" w:lineRule="auto"/>
                    <w:rPr>
                      <w:rFonts w:ascii="Times New Roman" w:eastAsia="Times New Roman" w:hAnsi="Times New Roman" w:cs="Times New Roman"/>
                      <w:sz w:val="24"/>
                      <w:szCs w:val="24"/>
                    </w:rPr>
                  </w:pPr>
                  <w:r w:rsidRPr="00DA6896">
                    <w:rPr>
                      <w:rFonts w:ascii="Times New Roman" w:eastAsia="Times New Roman" w:hAnsi="Times New Roman" w:cs="Times New Roman"/>
                      <w:noProof/>
                      <w:sz w:val="24"/>
                      <w:szCs w:val="24"/>
                    </w:rPr>
                    <w:drawing>
                      <wp:inline distT="0" distB="0" distL="0" distR="0" wp14:anchorId="77F38962" wp14:editId="54EA7687">
                        <wp:extent cx="5143500" cy="270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705100"/>
                                </a:xfrm>
                                <a:prstGeom prst="rect">
                                  <a:avLst/>
                                </a:prstGeom>
                                <a:noFill/>
                                <a:ln>
                                  <a:noFill/>
                                </a:ln>
                              </pic:spPr>
                            </pic:pic>
                          </a:graphicData>
                        </a:graphic>
                      </wp:inline>
                    </w:drawing>
                  </w:r>
                </w:p>
              </w:tc>
            </w:tr>
            <w:tr w:rsidR="00DA6896" w:rsidRPr="00DA6896" w14:paraId="1D6B19CA" w14:textId="77777777">
              <w:tc>
                <w:tcPr>
                  <w:tcW w:w="0" w:type="auto"/>
                  <w:tcBorders>
                    <w:top w:val="nil"/>
                    <w:left w:val="nil"/>
                    <w:bottom w:val="nil"/>
                    <w:right w:val="nil"/>
                  </w:tcBorders>
                  <w:shd w:val="clear" w:color="auto" w:fill="auto"/>
                  <w:tcMar>
                    <w:top w:w="225" w:type="dxa"/>
                    <w:left w:w="450" w:type="dxa"/>
                    <w:bottom w:w="450" w:type="dxa"/>
                    <w:right w:w="450" w:type="dxa"/>
                  </w:tcMar>
                  <w:vAlign w:val="center"/>
                  <w:hideMark/>
                </w:tcPr>
                <w:p w14:paraId="39EB92CA" w14:textId="77777777" w:rsidR="00DA6896" w:rsidRPr="00DA6896" w:rsidRDefault="00DA6896" w:rsidP="00DA6896">
                  <w:pPr>
                    <w:spacing w:before="100" w:beforeAutospacing="1" w:after="100" w:afterAutospacing="1" w:line="240" w:lineRule="auto"/>
                    <w:rPr>
                      <w:rFonts w:ascii="Times New Roman" w:eastAsia="Times New Roman" w:hAnsi="Times New Roman" w:cs="Times New Roman"/>
                      <w:sz w:val="24"/>
                      <w:szCs w:val="24"/>
                    </w:rPr>
                  </w:pPr>
                  <w:r w:rsidRPr="00DA6896">
                    <w:rPr>
                      <w:rFonts w:ascii="Times New Roman" w:eastAsia="Times New Roman" w:hAnsi="Times New Roman" w:cs="Times New Roman"/>
                      <w:noProof/>
                      <w:sz w:val="24"/>
                      <w:szCs w:val="24"/>
                    </w:rPr>
                    <w:lastRenderedPageBreak/>
                    <w:drawing>
                      <wp:inline distT="0" distB="0" distL="0" distR="0" wp14:anchorId="41D1F1AF" wp14:editId="2E319BD8">
                        <wp:extent cx="51435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4800600"/>
                                </a:xfrm>
                                <a:prstGeom prst="rect">
                                  <a:avLst/>
                                </a:prstGeom>
                                <a:noFill/>
                                <a:ln>
                                  <a:noFill/>
                                </a:ln>
                              </pic:spPr>
                            </pic:pic>
                          </a:graphicData>
                        </a:graphic>
                      </wp:inline>
                    </w:drawing>
                  </w:r>
                </w:p>
              </w:tc>
            </w:tr>
            <w:tr w:rsidR="00DA6896" w:rsidRPr="00DA6896" w14:paraId="44CE5326" w14:textId="77777777">
              <w:tc>
                <w:tcPr>
                  <w:tcW w:w="0" w:type="auto"/>
                  <w:tcBorders>
                    <w:top w:val="nil"/>
                    <w:left w:val="nil"/>
                    <w:bottom w:val="nil"/>
                    <w:right w:val="nil"/>
                  </w:tcBorders>
                  <w:shd w:val="clear" w:color="auto" w:fill="auto"/>
                  <w:tcMar>
                    <w:top w:w="225" w:type="dxa"/>
                    <w:left w:w="450" w:type="dxa"/>
                    <w:bottom w:w="0" w:type="dxa"/>
                    <w:right w:w="450" w:type="dxa"/>
                  </w:tcMar>
                  <w:vAlign w:val="center"/>
                  <w:hideMark/>
                </w:tcPr>
                <w:p w14:paraId="30C91C05" w14:textId="77777777" w:rsidR="00DA6896" w:rsidRPr="00DA6896" w:rsidRDefault="00DA6896" w:rsidP="00DA6896">
                  <w:pPr>
                    <w:spacing w:after="225" w:line="240" w:lineRule="auto"/>
                    <w:outlineLvl w:val="2"/>
                    <w:rPr>
                      <w:rFonts w:ascii="Arial" w:eastAsia="Times New Roman" w:hAnsi="Arial" w:cs="Arial"/>
                      <w:sz w:val="33"/>
                      <w:szCs w:val="33"/>
                    </w:rPr>
                  </w:pPr>
                  <w:r w:rsidRPr="00DA6896">
                    <w:rPr>
                      <w:rFonts w:ascii="Arial" w:eastAsia="Times New Roman" w:hAnsi="Arial" w:cs="Arial"/>
                      <w:b/>
                      <w:bCs/>
                      <w:color w:val="003366"/>
                      <w:sz w:val="33"/>
                      <w:szCs w:val="33"/>
                    </w:rPr>
                    <w:t>Stocks Rally</w:t>
                  </w:r>
                </w:p>
                <w:p w14:paraId="2E44CA27"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color w:val="333333"/>
                      <w:sz w:val="26"/>
                      <w:szCs w:val="26"/>
                    </w:rPr>
                    <w:t>Rising conviction in the economic recovery and waning inflation worries drove stock prices higher, with the S&amp;P 500 and Nasdaq Composite racing to record closes to begin the week.</w:t>
                  </w:r>
                </w:p>
                <w:p w14:paraId="200C07F2"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color w:val="333333"/>
                      <w:sz w:val="26"/>
                      <w:szCs w:val="26"/>
                    </w:rPr>
                    <w:t>Amid the week-long march higher, market leadership changed hands throughout the five-trading days. The leadership baton alternated between the technology and high-growth companies, which responded to lower bond yields, and cyclical stocks, which rallied on higher oil prices and successful bank stress tests.</w:t>
                  </w:r>
                </w:p>
                <w:p w14:paraId="08999739"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color w:val="333333"/>
                      <w:sz w:val="26"/>
                      <w:szCs w:val="26"/>
                    </w:rPr>
                    <w:t xml:space="preserve">Economic news buoyed investor sentiment as consumer confidence rose and an improving labor market—weekly initial jobless claims came in at a </w:t>
                  </w:r>
                  <w:r w:rsidRPr="00DA6896">
                    <w:rPr>
                      <w:rFonts w:ascii="Arial" w:eastAsia="Times New Roman" w:hAnsi="Arial" w:cs="Arial"/>
                      <w:color w:val="333333"/>
                      <w:sz w:val="26"/>
                      <w:szCs w:val="26"/>
                    </w:rPr>
                    <w:lastRenderedPageBreak/>
                    <w:t>pandemic-era low (364,000), while employers added 850,000 new jobs in June—sent the S&amp;P 500 and Nasdaq Composite to new record highs to close out the week.</w:t>
                  </w:r>
                  <w:r w:rsidRPr="00DA6896">
                    <w:rPr>
                      <w:rFonts w:ascii="Arial" w:eastAsia="Times New Roman" w:hAnsi="Arial" w:cs="Arial"/>
                      <w:color w:val="333333"/>
                      <w:sz w:val="18"/>
                      <w:szCs w:val="18"/>
                      <w:vertAlign w:val="superscript"/>
                    </w:rPr>
                    <w:t>4,</w:t>
                  </w:r>
                  <w:proofErr w:type="gramStart"/>
                  <w:r w:rsidRPr="00DA6896">
                    <w:rPr>
                      <w:rFonts w:ascii="Arial" w:eastAsia="Times New Roman" w:hAnsi="Arial" w:cs="Arial"/>
                      <w:color w:val="333333"/>
                      <w:sz w:val="18"/>
                      <w:szCs w:val="18"/>
                      <w:vertAlign w:val="superscript"/>
                    </w:rPr>
                    <w:t>5</w:t>
                  </w:r>
                  <w:proofErr w:type="gramEnd"/>
                </w:p>
                <w:p w14:paraId="074B240D" w14:textId="77777777" w:rsidR="00DA6896" w:rsidRPr="00DA6896" w:rsidRDefault="00DA6896" w:rsidP="00DA6896">
                  <w:pPr>
                    <w:spacing w:after="225" w:line="240" w:lineRule="auto"/>
                    <w:outlineLvl w:val="2"/>
                    <w:rPr>
                      <w:rFonts w:ascii="Arial" w:eastAsia="Times New Roman" w:hAnsi="Arial" w:cs="Arial"/>
                      <w:sz w:val="33"/>
                      <w:szCs w:val="33"/>
                    </w:rPr>
                  </w:pPr>
                  <w:r w:rsidRPr="00DA6896">
                    <w:rPr>
                      <w:rFonts w:ascii="Arial" w:eastAsia="Times New Roman" w:hAnsi="Arial" w:cs="Arial"/>
                      <w:b/>
                      <w:bCs/>
                      <w:color w:val="003366"/>
                      <w:sz w:val="33"/>
                      <w:szCs w:val="33"/>
                    </w:rPr>
                    <w:t>A Confident Consumer</w:t>
                  </w:r>
                </w:p>
                <w:p w14:paraId="68B2BEFE"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color w:val="333333"/>
                      <w:sz w:val="26"/>
                      <w:szCs w:val="26"/>
                    </w:rPr>
                    <w:t>Market sentiment was lifted by a rise in The Conference Board’s Consumer Confidence Index, which reached its highest level since the onset of the pandemic in March 2020. This was the fourth-straight month of increases in consumer-confidence levels.</w:t>
                  </w:r>
                  <w:r w:rsidRPr="00DA6896">
                    <w:rPr>
                      <w:rFonts w:ascii="Arial" w:eastAsia="Times New Roman" w:hAnsi="Arial" w:cs="Arial"/>
                      <w:color w:val="333333"/>
                      <w:sz w:val="18"/>
                      <w:szCs w:val="18"/>
                      <w:vertAlign w:val="superscript"/>
                    </w:rPr>
                    <w:t>6</w:t>
                  </w:r>
                </w:p>
                <w:p w14:paraId="2C55FFED"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color w:val="333333"/>
                      <w:sz w:val="26"/>
                      <w:szCs w:val="26"/>
                    </w:rPr>
                    <w:t>The consumer outlook for income, business, and labor market conditions over the short-term improved markedly. Interestingly, consumer confidence and buying intentions appear largely unaffected by the possibility of rising inflation. In fact, the survey showed a rise in the number of consumers expecting to purchase homes, automobiles, or home appliances. Vacation intentions also rose.</w:t>
                  </w:r>
                  <w:r w:rsidRPr="00DA6896">
                    <w:rPr>
                      <w:rFonts w:ascii="Arial" w:eastAsia="Times New Roman" w:hAnsi="Arial" w:cs="Arial"/>
                      <w:color w:val="333333"/>
                      <w:sz w:val="18"/>
                      <w:szCs w:val="18"/>
                      <w:vertAlign w:val="superscript"/>
                    </w:rPr>
                    <w:t>6</w:t>
                  </w:r>
                </w:p>
                <w:p w14:paraId="7A47DEEA" w14:textId="77777777" w:rsidR="00DA6896" w:rsidRPr="00DA6896" w:rsidRDefault="00DA6896" w:rsidP="00DA6896">
                  <w:pPr>
                    <w:spacing w:after="225" w:line="240" w:lineRule="auto"/>
                    <w:outlineLvl w:val="2"/>
                    <w:rPr>
                      <w:rFonts w:ascii="Arial" w:eastAsia="Times New Roman" w:hAnsi="Arial" w:cs="Arial"/>
                      <w:sz w:val="33"/>
                      <w:szCs w:val="33"/>
                    </w:rPr>
                  </w:pPr>
                  <w:r w:rsidRPr="00DA6896">
                    <w:rPr>
                      <w:rFonts w:ascii="Arial" w:eastAsia="Times New Roman" w:hAnsi="Arial" w:cs="Arial"/>
                      <w:b/>
                      <w:bCs/>
                      <w:color w:val="003366"/>
                      <w:sz w:val="33"/>
                      <w:szCs w:val="33"/>
                    </w:rPr>
                    <w:t>This Week: Key Economic Data</w:t>
                  </w:r>
                </w:p>
                <w:p w14:paraId="323FC393"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b/>
                      <w:bCs/>
                      <w:color w:val="333333"/>
                      <w:sz w:val="26"/>
                      <w:szCs w:val="26"/>
                    </w:rPr>
                    <w:t>Tuesday:</w:t>
                  </w:r>
                  <w:r w:rsidRPr="00DA6896">
                    <w:rPr>
                      <w:rFonts w:ascii="Arial" w:eastAsia="Times New Roman" w:hAnsi="Arial" w:cs="Arial"/>
                      <w:color w:val="333333"/>
                      <w:sz w:val="26"/>
                      <w:szCs w:val="26"/>
                    </w:rPr>
                    <w:t> ISM (Institute of Supply Management) Services Index.</w:t>
                  </w:r>
                </w:p>
                <w:p w14:paraId="533EAEF3"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b/>
                      <w:bCs/>
                      <w:color w:val="333333"/>
                      <w:sz w:val="26"/>
                      <w:szCs w:val="26"/>
                    </w:rPr>
                    <w:t>Wednesday:</w:t>
                  </w:r>
                  <w:r w:rsidRPr="00DA6896">
                    <w:rPr>
                      <w:rFonts w:ascii="Arial" w:eastAsia="Times New Roman" w:hAnsi="Arial" w:cs="Arial"/>
                      <w:color w:val="333333"/>
                      <w:sz w:val="26"/>
                      <w:szCs w:val="26"/>
                    </w:rPr>
                    <w:t> JOLTS (Job Openings and Labor Turnover Survey) Report. FOMC (Federal Open Market Committee) minutes.</w:t>
                  </w:r>
                </w:p>
                <w:p w14:paraId="26CA843C"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b/>
                      <w:bCs/>
                      <w:color w:val="333333"/>
                      <w:sz w:val="26"/>
                      <w:szCs w:val="26"/>
                    </w:rPr>
                    <w:t>Thursday:</w:t>
                  </w:r>
                  <w:r w:rsidRPr="00DA6896">
                    <w:rPr>
                      <w:rFonts w:ascii="Arial" w:eastAsia="Times New Roman" w:hAnsi="Arial" w:cs="Arial"/>
                      <w:color w:val="333333"/>
                      <w:sz w:val="26"/>
                      <w:szCs w:val="26"/>
                    </w:rPr>
                    <w:t> Jobless Claims.</w:t>
                  </w:r>
                </w:p>
                <w:p w14:paraId="423FB11D"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color w:val="333333"/>
                      <w:sz w:val="18"/>
                      <w:szCs w:val="18"/>
                      <w:vertAlign w:val="superscript"/>
                    </w:rPr>
                    <w:t xml:space="preserve">Source: </w:t>
                  </w:r>
                  <w:proofErr w:type="spellStart"/>
                  <w:r w:rsidRPr="00DA6896">
                    <w:rPr>
                      <w:rFonts w:ascii="Arial" w:eastAsia="Times New Roman" w:hAnsi="Arial" w:cs="Arial"/>
                      <w:color w:val="333333"/>
                      <w:sz w:val="18"/>
                      <w:szCs w:val="18"/>
                      <w:vertAlign w:val="superscript"/>
                    </w:rPr>
                    <w:t>Econoday</w:t>
                  </w:r>
                  <w:proofErr w:type="spellEnd"/>
                  <w:r w:rsidRPr="00DA6896">
                    <w:rPr>
                      <w:rFonts w:ascii="Arial" w:eastAsia="Times New Roman" w:hAnsi="Arial" w:cs="Arial"/>
                      <w:color w:val="333333"/>
                      <w:sz w:val="18"/>
                      <w:szCs w:val="18"/>
                      <w:vertAlign w:val="superscript"/>
                    </w:rPr>
                    <w:t>, July 2, 2021</w:t>
                  </w:r>
                  <w:r w:rsidRPr="00DA6896">
                    <w:rPr>
                      <w:rFonts w:ascii="Arial" w:eastAsia="Times New Roman" w:hAnsi="Arial" w:cs="Arial"/>
                      <w:color w:val="333333"/>
                      <w:sz w:val="18"/>
                      <w:szCs w:val="18"/>
                      <w:vertAlign w:val="superscript"/>
                    </w:rPr>
                    <w:br/>
                    <w:t xml:space="preserve">The </w:t>
                  </w:r>
                  <w:proofErr w:type="spellStart"/>
                  <w:r w:rsidRPr="00DA6896">
                    <w:rPr>
                      <w:rFonts w:ascii="Arial" w:eastAsia="Times New Roman" w:hAnsi="Arial" w:cs="Arial"/>
                      <w:color w:val="333333"/>
                      <w:sz w:val="18"/>
                      <w:szCs w:val="18"/>
                      <w:vertAlign w:val="superscript"/>
                    </w:rPr>
                    <w:t>Econoday</w:t>
                  </w:r>
                  <w:proofErr w:type="spellEnd"/>
                  <w:r w:rsidRPr="00DA6896">
                    <w:rPr>
                      <w:rFonts w:ascii="Arial" w:eastAsia="Times New Roman" w:hAnsi="Arial" w:cs="Arial"/>
                      <w:color w:val="333333"/>
                      <w:sz w:val="18"/>
                      <w:szCs w:val="18"/>
                      <w:vertAlign w:val="superscript"/>
                    </w:rPr>
                    <w:t xml:space="preserve"> economic calendar lists upcoming U.S. economic data releases (including key economic indicators), Federal Reserve policy meetings, and speaking engagements of Federal Reserve officials. The content is developed from sources believed to be providing accurate information. The forecasts or forward-looking statements are based on assumptions and may not materialize. The forecasts also are subject to revision.</w:t>
                  </w:r>
                </w:p>
                <w:p w14:paraId="207A6BAC" w14:textId="77777777" w:rsidR="00DA6896" w:rsidRPr="00DA6896" w:rsidRDefault="00DA6896" w:rsidP="00DA6896">
                  <w:pPr>
                    <w:spacing w:after="225" w:line="240" w:lineRule="auto"/>
                    <w:outlineLvl w:val="2"/>
                    <w:rPr>
                      <w:rFonts w:ascii="Arial" w:eastAsia="Times New Roman" w:hAnsi="Arial" w:cs="Arial"/>
                      <w:sz w:val="33"/>
                      <w:szCs w:val="33"/>
                    </w:rPr>
                  </w:pPr>
                  <w:r w:rsidRPr="00DA6896">
                    <w:rPr>
                      <w:rFonts w:ascii="Arial" w:eastAsia="Times New Roman" w:hAnsi="Arial" w:cs="Arial"/>
                      <w:b/>
                      <w:bCs/>
                      <w:color w:val="003366"/>
                      <w:sz w:val="33"/>
                      <w:szCs w:val="33"/>
                    </w:rPr>
                    <w:t>This Week: Companies Reporting Earnings</w:t>
                  </w:r>
                </w:p>
                <w:p w14:paraId="13815990"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b/>
                      <w:bCs/>
                      <w:color w:val="333333"/>
                      <w:sz w:val="26"/>
                      <w:szCs w:val="26"/>
                    </w:rPr>
                    <w:t>Thursday:</w:t>
                  </w:r>
                  <w:r w:rsidRPr="00DA6896">
                    <w:rPr>
                      <w:rFonts w:ascii="Arial" w:eastAsia="Times New Roman" w:hAnsi="Arial" w:cs="Arial"/>
                      <w:color w:val="333333"/>
                      <w:sz w:val="26"/>
                      <w:szCs w:val="26"/>
                    </w:rPr>
                    <w:t> Helen of Troy Limited (HELE), Levi Strauss &amp; Co. (LEVI).</w:t>
                  </w:r>
                </w:p>
                <w:p w14:paraId="6455A601"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color w:val="333333"/>
                      <w:sz w:val="18"/>
                      <w:szCs w:val="18"/>
                      <w:vertAlign w:val="superscript"/>
                    </w:rPr>
                    <w:t>Source: Zacks, July 2, 2021</w:t>
                  </w:r>
                  <w:r w:rsidRPr="00DA6896">
                    <w:rPr>
                      <w:rFonts w:ascii="Arial" w:eastAsia="Times New Roman" w:hAnsi="Arial" w:cs="Arial"/>
                      <w:color w:val="333333"/>
                      <w:sz w:val="18"/>
                      <w:szCs w:val="18"/>
                      <w:vertAlign w:val="superscript"/>
                    </w:rPr>
                    <w:br/>
                    <w:t>Companies mentioned are for informational purposes only. It should not be considered a solicitation for the purchase or sale of the securities. Investing involves risks, and investment decisions should be based on your own goals, time horizon, and tolerance for risk. The return and principal value of investments will fluctuate as market conditions change. When sold, investments may be worth more or less than their original cost. Companies may reschedule when they report earnings without notice.</w:t>
                  </w:r>
                </w:p>
              </w:tc>
            </w:tr>
            <w:tr w:rsidR="00DA6896" w:rsidRPr="00DA6896" w14:paraId="767FA47C" w14:textId="77777777">
              <w:tc>
                <w:tcPr>
                  <w:tcW w:w="0" w:type="auto"/>
                  <w:tcBorders>
                    <w:top w:val="nil"/>
                    <w:left w:val="nil"/>
                    <w:bottom w:val="nil"/>
                    <w:right w:val="nil"/>
                  </w:tcBorders>
                  <w:shd w:val="clear" w:color="auto" w:fill="auto"/>
                  <w:tcMar>
                    <w:top w:w="225" w:type="dxa"/>
                    <w:left w:w="450" w:type="dxa"/>
                    <w:bottom w:w="450" w:type="dxa"/>
                    <w:right w:w="450" w:type="dxa"/>
                  </w:tcMar>
                  <w:vAlign w:val="center"/>
                  <w:hideMark/>
                </w:tcPr>
                <w:p w14:paraId="3A58AA07" w14:textId="77777777" w:rsidR="00DA6896" w:rsidRPr="00DA6896" w:rsidRDefault="00DA6896" w:rsidP="00DA6896">
                  <w:pPr>
                    <w:spacing w:before="100" w:beforeAutospacing="1" w:after="100" w:afterAutospacing="1" w:line="240" w:lineRule="auto"/>
                    <w:rPr>
                      <w:rFonts w:ascii="Times New Roman" w:eastAsia="Times New Roman" w:hAnsi="Times New Roman" w:cs="Times New Roman"/>
                      <w:sz w:val="24"/>
                      <w:szCs w:val="24"/>
                    </w:rPr>
                  </w:pPr>
                  <w:r w:rsidRPr="00DA6896">
                    <w:rPr>
                      <w:rFonts w:ascii="Times New Roman" w:eastAsia="Times New Roman" w:hAnsi="Times New Roman" w:cs="Times New Roman"/>
                      <w:noProof/>
                      <w:sz w:val="24"/>
                      <w:szCs w:val="24"/>
                    </w:rPr>
                    <w:lastRenderedPageBreak/>
                    <w:drawing>
                      <wp:inline distT="0" distB="0" distL="0" distR="0" wp14:anchorId="40347C12" wp14:editId="388886C5">
                        <wp:extent cx="5143500" cy="1619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1619250"/>
                                </a:xfrm>
                                <a:prstGeom prst="rect">
                                  <a:avLst/>
                                </a:prstGeom>
                                <a:noFill/>
                                <a:ln>
                                  <a:noFill/>
                                </a:ln>
                              </pic:spPr>
                            </pic:pic>
                          </a:graphicData>
                        </a:graphic>
                      </wp:inline>
                    </w:drawing>
                  </w:r>
                </w:p>
              </w:tc>
            </w:tr>
            <w:tr w:rsidR="00DA6896" w:rsidRPr="00DA6896" w14:paraId="17838AB7" w14:textId="77777777">
              <w:tc>
                <w:tcPr>
                  <w:tcW w:w="0" w:type="auto"/>
                  <w:tcBorders>
                    <w:top w:val="nil"/>
                    <w:left w:val="nil"/>
                    <w:bottom w:val="nil"/>
                    <w:right w:val="nil"/>
                  </w:tcBorders>
                  <w:shd w:val="clear" w:color="auto" w:fill="auto"/>
                  <w:tcMar>
                    <w:top w:w="225" w:type="dxa"/>
                    <w:left w:w="450" w:type="dxa"/>
                    <w:bottom w:w="0" w:type="dxa"/>
                    <w:right w:w="450" w:type="dxa"/>
                  </w:tcMar>
                  <w:vAlign w:val="center"/>
                  <w:hideMark/>
                </w:tcPr>
                <w:p w14:paraId="19D61000"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i/>
                      <w:iCs/>
                      <w:color w:val="333333"/>
                      <w:sz w:val="26"/>
                      <w:szCs w:val="26"/>
                    </w:rPr>
                    <w:t xml:space="preserve">“Fight for the things that you care </w:t>
                  </w:r>
                  <w:proofErr w:type="gramStart"/>
                  <w:r w:rsidRPr="00DA6896">
                    <w:rPr>
                      <w:rFonts w:ascii="Arial" w:eastAsia="Times New Roman" w:hAnsi="Arial" w:cs="Arial"/>
                      <w:i/>
                      <w:iCs/>
                      <w:color w:val="333333"/>
                      <w:sz w:val="26"/>
                      <w:szCs w:val="26"/>
                    </w:rPr>
                    <w:t>about, but</w:t>
                  </w:r>
                  <w:proofErr w:type="gramEnd"/>
                  <w:r w:rsidRPr="00DA6896">
                    <w:rPr>
                      <w:rFonts w:ascii="Arial" w:eastAsia="Times New Roman" w:hAnsi="Arial" w:cs="Arial"/>
                      <w:i/>
                      <w:iCs/>
                      <w:color w:val="333333"/>
                      <w:sz w:val="26"/>
                      <w:szCs w:val="26"/>
                    </w:rPr>
                    <w:t xml:space="preserve"> do it in a way that will lead others to join you.”</w:t>
                  </w:r>
                </w:p>
                <w:p w14:paraId="443099A8"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b/>
                      <w:bCs/>
                      <w:color w:val="003366"/>
                      <w:sz w:val="26"/>
                      <w:szCs w:val="26"/>
                    </w:rPr>
                    <w:t>– Ruth Bader Ginsburg</w:t>
                  </w:r>
                </w:p>
              </w:tc>
            </w:tr>
            <w:tr w:rsidR="00DA6896" w:rsidRPr="00DA6896" w14:paraId="77A1D900" w14:textId="77777777">
              <w:tc>
                <w:tcPr>
                  <w:tcW w:w="0" w:type="auto"/>
                  <w:tcBorders>
                    <w:top w:val="nil"/>
                    <w:left w:val="nil"/>
                    <w:bottom w:val="nil"/>
                    <w:right w:val="nil"/>
                  </w:tcBorders>
                  <w:shd w:val="clear" w:color="auto" w:fill="auto"/>
                  <w:tcMar>
                    <w:top w:w="225" w:type="dxa"/>
                    <w:left w:w="450" w:type="dxa"/>
                    <w:bottom w:w="450" w:type="dxa"/>
                    <w:right w:w="450" w:type="dxa"/>
                  </w:tcMar>
                  <w:vAlign w:val="center"/>
                  <w:hideMark/>
                </w:tcPr>
                <w:p w14:paraId="2C6D494D" w14:textId="77777777" w:rsidR="00DA6896" w:rsidRPr="00DA6896" w:rsidRDefault="00DA6896" w:rsidP="00DA6896">
                  <w:pPr>
                    <w:spacing w:before="100" w:beforeAutospacing="1" w:after="100" w:afterAutospacing="1" w:line="240" w:lineRule="auto"/>
                    <w:rPr>
                      <w:rFonts w:ascii="Times New Roman" w:eastAsia="Times New Roman" w:hAnsi="Times New Roman" w:cs="Times New Roman"/>
                      <w:sz w:val="24"/>
                      <w:szCs w:val="24"/>
                    </w:rPr>
                  </w:pPr>
                  <w:r w:rsidRPr="00DA6896">
                    <w:rPr>
                      <w:rFonts w:ascii="Times New Roman" w:eastAsia="Times New Roman" w:hAnsi="Times New Roman" w:cs="Times New Roman"/>
                      <w:noProof/>
                      <w:sz w:val="24"/>
                      <w:szCs w:val="24"/>
                    </w:rPr>
                    <w:drawing>
                      <wp:inline distT="0" distB="0" distL="0" distR="0" wp14:anchorId="68A7114D" wp14:editId="6C4F99BA">
                        <wp:extent cx="5143500" cy="1619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1619250"/>
                                </a:xfrm>
                                <a:prstGeom prst="rect">
                                  <a:avLst/>
                                </a:prstGeom>
                                <a:noFill/>
                                <a:ln>
                                  <a:noFill/>
                                </a:ln>
                              </pic:spPr>
                            </pic:pic>
                          </a:graphicData>
                        </a:graphic>
                      </wp:inline>
                    </w:drawing>
                  </w:r>
                </w:p>
              </w:tc>
            </w:tr>
            <w:tr w:rsidR="00DA6896" w:rsidRPr="00DA6896" w14:paraId="438B329A" w14:textId="77777777">
              <w:tc>
                <w:tcPr>
                  <w:tcW w:w="0" w:type="auto"/>
                  <w:tcBorders>
                    <w:top w:val="nil"/>
                    <w:left w:val="nil"/>
                    <w:bottom w:val="nil"/>
                    <w:right w:val="nil"/>
                  </w:tcBorders>
                  <w:shd w:val="clear" w:color="auto" w:fill="auto"/>
                  <w:tcMar>
                    <w:top w:w="225" w:type="dxa"/>
                    <w:left w:w="450" w:type="dxa"/>
                    <w:bottom w:w="0" w:type="dxa"/>
                    <w:right w:w="450" w:type="dxa"/>
                  </w:tcMar>
                  <w:vAlign w:val="center"/>
                  <w:hideMark/>
                </w:tcPr>
                <w:p w14:paraId="170EC086" w14:textId="77777777" w:rsidR="00DA6896" w:rsidRPr="00DA6896" w:rsidRDefault="00DA6896" w:rsidP="00DA6896">
                  <w:pPr>
                    <w:spacing w:after="225" w:line="240" w:lineRule="auto"/>
                    <w:outlineLvl w:val="2"/>
                    <w:rPr>
                      <w:rFonts w:ascii="Arial" w:eastAsia="Times New Roman" w:hAnsi="Arial" w:cs="Arial"/>
                      <w:sz w:val="33"/>
                      <w:szCs w:val="33"/>
                    </w:rPr>
                  </w:pPr>
                  <w:r w:rsidRPr="00DA6896">
                    <w:rPr>
                      <w:rFonts w:ascii="Arial" w:eastAsia="Times New Roman" w:hAnsi="Arial" w:cs="Arial"/>
                      <w:b/>
                      <w:bCs/>
                      <w:color w:val="003366"/>
                      <w:sz w:val="33"/>
                      <w:szCs w:val="33"/>
                    </w:rPr>
                    <w:t xml:space="preserve">When </w:t>
                  </w:r>
                  <w:proofErr w:type="gramStart"/>
                  <w:r w:rsidRPr="00DA6896">
                    <w:rPr>
                      <w:rFonts w:ascii="Arial" w:eastAsia="Times New Roman" w:hAnsi="Arial" w:cs="Arial"/>
                      <w:b/>
                      <w:bCs/>
                      <w:color w:val="003366"/>
                      <w:sz w:val="33"/>
                      <w:szCs w:val="33"/>
                    </w:rPr>
                    <w:t>Was</w:t>
                  </w:r>
                  <w:proofErr w:type="gramEnd"/>
                  <w:r w:rsidRPr="00DA6896">
                    <w:rPr>
                      <w:rFonts w:ascii="Arial" w:eastAsia="Times New Roman" w:hAnsi="Arial" w:cs="Arial"/>
                      <w:b/>
                      <w:bCs/>
                      <w:color w:val="003366"/>
                      <w:sz w:val="33"/>
                      <w:szCs w:val="33"/>
                    </w:rPr>
                    <w:t xml:space="preserve"> the Last Time You Checked Your Withholding Status?</w:t>
                  </w:r>
                </w:p>
                <w:p w14:paraId="2BFCA155"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color w:val="333333"/>
                      <w:sz w:val="26"/>
                      <w:szCs w:val="26"/>
                    </w:rPr>
                    <w:t xml:space="preserve">Most people check their withholding status at the end of the year or as filing season arrives, but the middle of the year is just as good of a time as any to double-check your withholding status and make sure </w:t>
                  </w:r>
                  <w:proofErr w:type="gramStart"/>
                  <w:r w:rsidRPr="00DA6896">
                    <w:rPr>
                      <w:rFonts w:ascii="Arial" w:eastAsia="Times New Roman" w:hAnsi="Arial" w:cs="Arial"/>
                      <w:color w:val="333333"/>
                      <w:sz w:val="26"/>
                      <w:szCs w:val="26"/>
                    </w:rPr>
                    <w:t>it's</w:t>
                  </w:r>
                  <w:proofErr w:type="gramEnd"/>
                  <w:r w:rsidRPr="00DA6896">
                    <w:rPr>
                      <w:rFonts w:ascii="Arial" w:eastAsia="Times New Roman" w:hAnsi="Arial" w:cs="Arial"/>
                      <w:color w:val="333333"/>
                      <w:sz w:val="26"/>
                      <w:szCs w:val="26"/>
                    </w:rPr>
                    <w:t xml:space="preserve"> accurate. The IRS has a handy tool called the Tax Withholding Estimator, which can help you avoid having too much or too little tax withheld from your wages.</w:t>
                  </w:r>
                </w:p>
                <w:p w14:paraId="15C60CC1"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color w:val="333333"/>
                      <w:sz w:val="26"/>
                      <w:szCs w:val="26"/>
                    </w:rPr>
                    <w:t xml:space="preserve">The tool can also help you determine if you need to fill out a new W-4 to submit to your employer, complete a new W-4P, or make additional payments to the IRS. It does this by estimating your annual income, how </w:t>
                  </w:r>
                  <w:r w:rsidRPr="00DA6896">
                    <w:rPr>
                      <w:rFonts w:ascii="Arial" w:eastAsia="Times New Roman" w:hAnsi="Arial" w:cs="Arial"/>
                      <w:color w:val="333333"/>
                      <w:sz w:val="26"/>
                      <w:szCs w:val="26"/>
                    </w:rPr>
                    <w:lastRenderedPageBreak/>
                    <w:t>many children you are claiming for the child tax credit and earned income tax credit, and other items that may affect your taxes for the year.</w:t>
                  </w:r>
                </w:p>
                <w:p w14:paraId="69E3F78A"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color w:val="333333"/>
                      <w:sz w:val="26"/>
                      <w:szCs w:val="26"/>
                    </w:rPr>
                    <w:t>Before using the Tax Withholding Estimator, gather all necessary documents. This includes your W-2 from your employer, any 1099 forms you have from banks and other payers, and any other forms you need. Gathering as much information as possible will help because the estimator will only be as accurate as the information you enter.</w:t>
                  </w:r>
                </w:p>
                <w:p w14:paraId="699C6882"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color w:val="333333"/>
                      <w:sz w:val="26"/>
                      <w:szCs w:val="26"/>
                    </w:rPr>
                    <w:t>* This information is not intended to be a substitute for specific individualized tax advice. We suggest that you discuss your specific tax issues with a qualified tax professional.</w:t>
                  </w:r>
                </w:p>
                <w:p w14:paraId="30623B56"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color w:val="333333"/>
                      <w:sz w:val="26"/>
                      <w:szCs w:val="26"/>
                    </w:rPr>
                    <w:t>Tip adapted from IRS.gov</w:t>
                  </w:r>
                  <w:r w:rsidRPr="00DA6896">
                    <w:rPr>
                      <w:rFonts w:ascii="Arial" w:eastAsia="Times New Roman" w:hAnsi="Arial" w:cs="Arial"/>
                      <w:color w:val="333333"/>
                      <w:sz w:val="18"/>
                      <w:szCs w:val="18"/>
                      <w:vertAlign w:val="superscript"/>
                    </w:rPr>
                    <w:t>7</w:t>
                  </w:r>
                </w:p>
              </w:tc>
            </w:tr>
            <w:tr w:rsidR="00DA6896" w:rsidRPr="00DA6896" w14:paraId="643EA6D9" w14:textId="77777777">
              <w:tc>
                <w:tcPr>
                  <w:tcW w:w="0" w:type="auto"/>
                  <w:tcBorders>
                    <w:top w:val="nil"/>
                    <w:left w:val="nil"/>
                    <w:bottom w:val="nil"/>
                    <w:right w:val="nil"/>
                  </w:tcBorders>
                  <w:shd w:val="clear" w:color="auto" w:fill="auto"/>
                  <w:tcMar>
                    <w:top w:w="225" w:type="dxa"/>
                    <w:left w:w="450" w:type="dxa"/>
                    <w:bottom w:w="450" w:type="dxa"/>
                    <w:right w:w="450" w:type="dxa"/>
                  </w:tcMar>
                  <w:vAlign w:val="center"/>
                  <w:hideMark/>
                </w:tcPr>
                <w:p w14:paraId="4E21080D" w14:textId="77777777" w:rsidR="00DA6896" w:rsidRPr="00DA6896" w:rsidRDefault="00DA6896" w:rsidP="00DA6896">
                  <w:pPr>
                    <w:spacing w:before="100" w:beforeAutospacing="1" w:after="100" w:afterAutospacing="1" w:line="240" w:lineRule="auto"/>
                    <w:rPr>
                      <w:rFonts w:ascii="Times New Roman" w:eastAsia="Times New Roman" w:hAnsi="Times New Roman" w:cs="Times New Roman"/>
                      <w:sz w:val="24"/>
                      <w:szCs w:val="24"/>
                    </w:rPr>
                  </w:pPr>
                  <w:r w:rsidRPr="00DA6896">
                    <w:rPr>
                      <w:rFonts w:ascii="Times New Roman" w:eastAsia="Times New Roman" w:hAnsi="Times New Roman" w:cs="Times New Roman"/>
                      <w:noProof/>
                      <w:sz w:val="24"/>
                      <w:szCs w:val="24"/>
                    </w:rPr>
                    <w:lastRenderedPageBreak/>
                    <w:drawing>
                      <wp:inline distT="0" distB="0" distL="0" distR="0" wp14:anchorId="44C95DD8" wp14:editId="7C22093F">
                        <wp:extent cx="5143500" cy="1619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1619250"/>
                                </a:xfrm>
                                <a:prstGeom prst="rect">
                                  <a:avLst/>
                                </a:prstGeom>
                                <a:noFill/>
                                <a:ln>
                                  <a:noFill/>
                                </a:ln>
                              </pic:spPr>
                            </pic:pic>
                          </a:graphicData>
                        </a:graphic>
                      </wp:inline>
                    </w:drawing>
                  </w:r>
                </w:p>
              </w:tc>
            </w:tr>
            <w:tr w:rsidR="00DA6896" w:rsidRPr="00DA6896" w14:paraId="7BA24E0A" w14:textId="77777777">
              <w:tc>
                <w:tcPr>
                  <w:tcW w:w="0" w:type="auto"/>
                  <w:tcBorders>
                    <w:top w:val="nil"/>
                    <w:left w:val="nil"/>
                    <w:bottom w:val="nil"/>
                    <w:right w:val="nil"/>
                  </w:tcBorders>
                  <w:shd w:val="clear" w:color="auto" w:fill="auto"/>
                  <w:tcMar>
                    <w:top w:w="225" w:type="dxa"/>
                    <w:left w:w="450" w:type="dxa"/>
                    <w:bottom w:w="0" w:type="dxa"/>
                    <w:right w:w="450" w:type="dxa"/>
                  </w:tcMar>
                  <w:vAlign w:val="center"/>
                  <w:hideMark/>
                </w:tcPr>
                <w:p w14:paraId="5293C1A6" w14:textId="77777777" w:rsidR="00DA6896" w:rsidRPr="00DA6896" w:rsidRDefault="00DA6896" w:rsidP="00DA6896">
                  <w:pPr>
                    <w:spacing w:after="225" w:line="240" w:lineRule="auto"/>
                    <w:outlineLvl w:val="2"/>
                    <w:rPr>
                      <w:rFonts w:ascii="Arial" w:eastAsia="Times New Roman" w:hAnsi="Arial" w:cs="Arial"/>
                      <w:sz w:val="33"/>
                      <w:szCs w:val="33"/>
                    </w:rPr>
                  </w:pPr>
                  <w:r w:rsidRPr="00DA6896">
                    <w:rPr>
                      <w:rFonts w:ascii="Arial" w:eastAsia="Times New Roman" w:hAnsi="Arial" w:cs="Arial"/>
                      <w:b/>
                      <w:bCs/>
                      <w:color w:val="003366"/>
                      <w:sz w:val="33"/>
                      <w:szCs w:val="33"/>
                    </w:rPr>
                    <w:t>Strength Training Strategies for Every Level</w:t>
                  </w:r>
                </w:p>
                <w:p w14:paraId="0978EFF3"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color w:val="333333"/>
                      <w:sz w:val="26"/>
                      <w:szCs w:val="26"/>
                    </w:rPr>
                    <w:t>If you want to build muscle mass, sometimes the best strategies are the simplest ones. For example, getting great at the "big four" exercises can help you build a strong (literally) foundation. These four moves are the squat, deadlift, bench press, and shoulder press. With these simple movements, you can work some of your body's major muscle groups.</w:t>
                  </w:r>
                </w:p>
                <w:p w14:paraId="7F99ED4E"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color w:val="333333"/>
                      <w:sz w:val="26"/>
                      <w:szCs w:val="26"/>
                    </w:rPr>
                    <w:t xml:space="preserve">Another strategy is to mainly stick with dumbbells and barbells. Sure, all the fancy machines in the gym look fun and enticing, but to master the foundational movements with free weights is a </w:t>
                  </w:r>
                  <w:proofErr w:type="gramStart"/>
                  <w:r w:rsidRPr="00DA6896">
                    <w:rPr>
                      <w:rFonts w:ascii="Arial" w:eastAsia="Times New Roman" w:hAnsi="Arial" w:cs="Arial"/>
                      <w:color w:val="333333"/>
                      <w:sz w:val="26"/>
                      <w:szCs w:val="26"/>
                    </w:rPr>
                    <w:t>skill in itself</w:t>
                  </w:r>
                  <w:proofErr w:type="gramEnd"/>
                  <w:r w:rsidRPr="00DA6896">
                    <w:rPr>
                      <w:rFonts w:ascii="Arial" w:eastAsia="Times New Roman" w:hAnsi="Arial" w:cs="Arial"/>
                      <w:color w:val="333333"/>
                      <w:sz w:val="26"/>
                      <w:szCs w:val="26"/>
                    </w:rPr>
                    <w:t xml:space="preserve">. Free weight and bodyweight training are some of the most effective exercises and </w:t>
                  </w:r>
                  <w:proofErr w:type="gramStart"/>
                  <w:r w:rsidRPr="00DA6896">
                    <w:rPr>
                      <w:rFonts w:ascii="Arial" w:eastAsia="Times New Roman" w:hAnsi="Arial" w:cs="Arial"/>
                      <w:color w:val="333333"/>
                      <w:sz w:val="26"/>
                      <w:szCs w:val="26"/>
                    </w:rPr>
                    <w:t>they're</w:t>
                  </w:r>
                  <w:proofErr w:type="gramEnd"/>
                  <w:r w:rsidRPr="00DA6896">
                    <w:rPr>
                      <w:rFonts w:ascii="Arial" w:eastAsia="Times New Roman" w:hAnsi="Arial" w:cs="Arial"/>
                      <w:color w:val="333333"/>
                      <w:sz w:val="26"/>
                      <w:szCs w:val="26"/>
                    </w:rPr>
                    <w:t xml:space="preserve"> also the simplest.</w:t>
                  </w:r>
                </w:p>
                <w:p w14:paraId="4F31B3BC"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color w:val="333333"/>
                      <w:sz w:val="26"/>
                      <w:szCs w:val="26"/>
                    </w:rPr>
                    <w:t xml:space="preserve">Lastly, maintain a log and track your progress. Even doing one more rep or lifting 5 more pounds counts as progress. These achievements will </w:t>
                  </w:r>
                  <w:r w:rsidRPr="00DA6896">
                    <w:rPr>
                      <w:rFonts w:ascii="Arial" w:eastAsia="Times New Roman" w:hAnsi="Arial" w:cs="Arial"/>
                      <w:color w:val="333333"/>
                      <w:sz w:val="26"/>
                      <w:szCs w:val="26"/>
                    </w:rPr>
                    <w:lastRenderedPageBreak/>
                    <w:t>keep you motivated and will make it easier to track your progress as you get stronger.</w:t>
                  </w:r>
                </w:p>
                <w:p w14:paraId="40C90A70"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color w:val="333333"/>
                      <w:sz w:val="26"/>
                      <w:szCs w:val="26"/>
                    </w:rPr>
                    <w:t>Tip adapted from Men's Journal</w:t>
                  </w:r>
                  <w:r w:rsidRPr="00DA6896">
                    <w:rPr>
                      <w:rFonts w:ascii="Arial" w:eastAsia="Times New Roman" w:hAnsi="Arial" w:cs="Arial"/>
                      <w:color w:val="333333"/>
                      <w:sz w:val="18"/>
                      <w:szCs w:val="18"/>
                      <w:vertAlign w:val="superscript"/>
                    </w:rPr>
                    <w:t>8</w:t>
                  </w:r>
                </w:p>
              </w:tc>
            </w:tr>
            <w:tr w:rsidR="00DA6896" w:rsidRPr="00DA6896" w14:paraId="2D7B8E0F" w14:textId="77777777">
              <w:tc>
                <w:tcPr>
                  <w:tcW w:w="0" w:type="auto"/>
                  <w:tcBorders>
                    <w:top w:val="nil"/>
                    <w:left w:val="nil"/>
                    <w:bottom w:val="nil"/>
                    <w:right w:val="nil"/>
                  </w:tcBorders>
                  <w:shd w:val="clear" w:color="auto" w:fill="auto"/>
                  <w:tcMar>
                    <w:top w:w="225" w:type="dxa"/>
                    <w:left w:w="450" w:type="dxa"/>
                    <w:bottom w:w="450" w:type="dxa"/>
                    <w:right w:w="450" w:type="dxa"/>
                  </w:tcMar>
                  <w:vAlign w:val="center"/>
                  <w:hideMark/>
                </w:tcPr>
                <w:p w14:paraId="1C98D04B" w14:textId="77777777" w:rsidR="00DA6896" w:rsidRPr="00DA6896" w:rsidRDefault="00DA6896" w:rsidP="00DA6896">
                  <w:pPr>
                    <w:spacing w:before="100" w:beforeAutospacing="1" w:after="100" w:afterAutospacing="1" w:line="240" w:lineRule="auto"/>
                    <w:rPr>
                      <w:rFonts w:ascii="Times New Roman" w:eastAsia="Times New Roman" w:hAnsi="Times New Roman" w:cs="Times New Roman"/>
                      <w:sz w:val="24"/>
                      <w:szCs w:val="24"/>
                    </w:rPr>
                  </w:pPr>
                  <w:r w:rsidRPr="00DA6896">
                    <w:rPr>
                      <w:rFonts w:ascii="Times New Roman" w:eastAsia="Times New Roman" w:hAnsi="Times New Roman" w:cs="Times New Roman"/>
                      <w:noProof/>
                      <w:sz w:val="24"/>
                      <w:szCs w:val="24"/>
                    </w:rPr>
                    <w:lastRenderedPageBreak/>
                    <w:drawing>
                      <wp:inline distT="0" distB="0" distL="0" distR="0" wp14:anchorId="40C9B7AA" wp14:editId="1597BF50">
                        <wp:extent cx="5143500" cy="1619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1619250"/>
                                </a:xfrm>
                                <a:prstGeom prst="rect">
                                  <a:avLst/>
                                </a:prstGeom>
                                <a:noFill/>
                                <a:ln>
                                  <a:noFill/>
                                </a:ln>
                              </pic:spPr>
                            </pic:pic>
                          </a:graphicData>
                        </a:graphic>
                      </wp:inline>
                    </w:drawing>
                  </w:r>
                </w:p>
              </w:tc>
            </w:tr>
            <w:tr w:rsidR="00DA6896" w:rsidRPr="00DA6896" w14:paraId="5A6B7449" w14:textId="77777777">
              <w:tc>
                <w:tcPr>
                  <w:tcW w:w="0" w:type="auto"/>
                  <w:tcBorders>
                    <w:top w:val="nil"/>
                    <w:left w:val="nil"/>
                    <w:bottom w:val="nil"/>
                    <w:right w:val="nil"/>
                  </w:tcBorders>
                  <w:shd w:val="clear" w:color="auto" w:fill="auto"/>
                  <w:tcMar>
                    <w:top w:w="225" w:type="dxa"/>
                    <w:left w:w="450" w:type="dxa"/>
                    <w:bottom w:w="0" w:type="dxa"/>
                    <w:right w:w="450" w:type="dxa"/>
                  </w:tcMar>
                  <w:vAlign w:val="center"/>
                  <w:hideMark/>
                </w:tcPr>
                <w:p w14:paraId="7805B3DB"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color w:val="333333"/>
                      <w:sz w:val="26"/>
                      <w:szCs w:val="26"/>
                    </w:rPr>
                    <w:t>What 11-letter word must always be spelled incorrectly?</w:t>
                  </w:r>
                </w:p>
                <w:p w14:paraId="0DD1D3AB" w14:textId="77777777" w:rsidR="00DA6896" w:rsidRPr="00DA6896" w:rsidRDefault="00DA6896" w:rsidP="00DA6896">
                  <w:pPr>
                    <w:spacing w:after="225" w:line="240" w:lineRule="auto"/>
                    <w:rPr>
                      <w:rFonts w:ascii="Arial" w:eastAsia="Times New Roman" w:hAnsi="Arial" w:cs="Arial"/>
                      <w:sz w:val="26"/>
                      <w:szCs w:val="26"/>
                    </w:rPr>
                  </w:pPr>
                </w:p>
                <w:p w14:paraId="45B20B61"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i/>
                      <w:iCs/>
                      <w:color w:val="333333"/>
                      <w:sz w:val="26"/>
                      <w:szCs w:val="26"/>
                    </w:rPr>
                    <w:t>Last week’s riddle: Can you write down eight eights so that they add up to one thousand? Answer: 888 + 88 + 8 + 8 + 8 = 1000.</w:t>
                  </w:r>
                </w:p>
              </w:tc>
            </w:tr>
            <w:tr w:rsidR="00DA6896" w:rsidRPr="00DA6896" w14:paraId="594FD602" w14:textId="77777777">
              <w:tc>
                <w:tcPr>
                  <w:tcW w:w="0" w:type="auto"/>
                  <w:tcBorders>
                    <w:top w:val="nil"/>
                    <w:left w:val="nil"/>
                    <w:bottom w:val="nil"/>
                    <w:right w:val="nil"/>
                  </w:tcBorders>
                  <w:shd w:val="clear" w:color="auto" w:fill="auto"/>
                  <w:tcMar>
                    <w:top w:w="225" w:type="dxa"/>
                    <w:left w:w="450" w:type="dxa"/>
                    <w:bottom w:w="450" w:type="dxa"/>
                    <w:right w:w="450" w:type="dxa"/>
                  </w:tcMar>
                  <w:vAlign w:val="center"/>
                  <w:hideMark/>
                </w:tcPr>
                <w:p w14:paraId="6758EB82" w14:textId="77777777" w:rsidR="00DA6896" w:rsidRPr="00DA6896" w:rsidRDefault="00DA6896" w:rsidP="00DA6896">
                  <w:pPr>
                    <w:spacing w:before="100" w:beforeAutospacing="1" w:after="100" w:afterAutospacing="1" w:line="240" w:lineRule="auto"/>
                    <w:rPr>
                      <w:rFonts w:ascii="Times New Roman" w:eastAsia="Times New Roman" w:hAnsi="Times New Roman" w:cs="Times New Roman"/>
                      <w:sz w:val="24"/>
                      <w:szCs w:val="24"/>
                    </w:rPr>
                  </w:pPr>
                  <w:r w:rsidRPr="00DA6896">
                    <w:rPr>
                      <w:rFonts w:ascii="Times New Roman" w:eastAsia="Times New Roman" w:hAnsi="Times New Roman" w:cs="Times New Roman"/>
                      <w:noProof/>
                      <w:sz w:val="24"/>
                      <w:szCs w:val="24"/>
                    </w:rPr>
                    <w:drawing>
                      <wp:inline distT="0" distB="0" distL="0" distR="0" wp14:anchorId="79932FA2" wp14:editId="1E97564F">
                        <wp:extent cx="5143500" cy="1619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1619250"/>
                                </a:xfrm>
                                <a:prstGeom prst="rect">
                                  <a:avLst/>
                                </a:prstGeom>
                                <a:noFill/>
                                <a:ln>
                                  <a:noFill/>
                                </a:ln>
                              </pic:spPr>
                            </pic:pic>
                          </a:graphicData>
                        </a:graphic>
                      </wp:inline>
                    </w:drawing>
                  </w:r>
                </w:p>
              </w:tc>
            </w:tr>
            <w:tr w:rsidR="00DA6896" w:rsidRPr="00DA6896" w14:paraId="1DA1DBB2" w14:textId="77777777">
              <w:tc>
                <w:tcPr>
                  <w:tcW w:w="0" w:type="auto"/>
                  <w:tcBorders>
                    <w:top w:val="nil"/>
                    <w:left w:val="nil"/>
                    <w:bottom w:val="nil"/>
                    <w:right w:val="nil"/>
                  </w:tcBorders>
                  <w:shd w:val="clear" w:color="auto" w:fill="auto"/>
                  <w:tcMar>
                    <w:top w:w="225" w:type="dxa"/>
                    <w:left w:w="450" w:type="dxa"/>
                    <w:bottom w:w="450" w:type="dxa"/>
                    <w:right w:w="450" w:type="dxa"/>
                  </w:tcMar>
                  <w:vAlign w:val="center"/>
                  <w:hideMark/>
                </w:tcPr>
                <w:p w14:paraId="66D1E743" w14:textId="77777777" w:rsidR="00DA6896" w:rsidRPr="00DA6896" w:rsidRDefault="00DA6896" w:rsidP="00DA6896">
                  <w:pPr>
                    <w:spacing w:before="100" w:beforeAutospacing="1" w:after="100" w:afterAutospacing="1" w:line="240" w:lineRule="auto"/>
                    <w:rPr>
                      <w:rFonts w:ascii="Times New Roman" w:eastAsia="Times New Roman" w:hAnsi="Times New Roman" w:cs="Times New Roman"/>
                      <w:sz w:val="24"/>
                      <w:szCs w:val="24"/>
                    </w:rPr>
                  </w:pPr>
                  <w:r w:rsidRPr="00DA6896">
                    <w:rPr>
                      <w:rFonts w:ascii="Times New Roman" w:eastAsia="Times New Roman" w:hAnsi="Times New Roman" w:cs="Times New Roman"/>
                      <w:noProof/>
                      <w:sz w:val="24"/>
                      <w:szCs w:val="24"/>
                    </w:rPr>
                    <w:lastRenderedPageBreak/>
                    <w:drawing>
                      <wp:inline distT="0" distB="0" distL="0" distR="0" wp14:anchorId="2ED6E34D" wp14:editId="04DAC935">
                        <wp:extent cx="5143500" cy="3429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3429000"/>
                                </a:xfrm>
                                <a:prstGeom prst="rect">
                                  <a:avLst/>
                                </a:prstGeom>
                                <a:noFill/>
                                <a:ln>
                                  <a:noFill/>
                                </a:ln>
                              </pic:spPr>
                            </pic:pic>
                          </a:graphicData>
                        </a:graphic>
                      </wp:inline>
                    </w:drawing>
                  </w:r>
                </w:p>
              </w:tc>
            </w:tr>
            <w:tr w:rsidR="00DA6896" w:rsidRPr="00DA6896" w14:paraId="791641BB" w14:textId="77777777">
              <w:tc>
                <w:tcPr>
                  <w:tcW w:w="0" w:type="auto"/>
                  <w:tcBorders>
                    <w:top w:val="nil"/>
                    <w:left w:val="nil"/>
                    <w:bottom w:val="nil"/>
                    <w:right w:val="nil"/>
                  </w:tcBorders>
                  <w:shd w:val="clear" w:color="auto" w:fill="auto"/>
                  <w:tcMar>
                    <w:top w:w="225" w:type="dxa"/>
                    <w:left w:w="450" w:type="dxa"/>
                    <w:bottom w:w="0" w:type="dxa"/>
                    <w:right w:w="450" w:type="dxa"/>
                  </w:tcMar>
                  <w:vAlign w:val="center"/>
                  <w:hideMark/>
                </w:tcPr>
                <w:p w14:paraId="6575F3C9" w14:textId="77777777" w:rsidR="00DA6896" w:rsidRPr="00DA6896" w:rsidRDefault="00DA6896" w:rsidP="00DA6896">
                  <w:pPr>
                    <w:spacing w:after="225" w:line="240" w:lineRule="auto"/>
                    <w:rPr>
                      <w:rFonts w:ascii="Arial" w:eastAsia="Times New Roman" w:hAnsi="Arial" w:cs="Arial"/>
                      <w:sz w:val="26"/>
                      <w:szCs w:val="26"/>
                    </w:rPr>
                  </w:pPr>
                  <w:proofErr w:type="spellStart"/>
                  <w:r w:rsidRPr="00DA6896">
                    <w:rPr>
                      <w:rFonts w:ascii="Arial" w:eastAsia="Times New Roman" w:hAnsi="Arial" w:cs="Arial"/>
                      <w:i/>
                      <w:iCs/>
                      <w:color w:val="333333"/>
                      <w:sz w:val="26"/>
                      <w:szCs w:val="26"/>
                    </w:rPr>
                    <w:t>Seigantoji</w:t>
                  </w:r>
                  <w:proofErr w:type="spellEnd"/>
                  <w:r w:rsidRPr="00DA6896">
                    <w:rPr>
                      <w:rFonts w:ascii="Arial" w:eastAsia="Times New Roman" w:hAnsi="Arial" w:cs="Arial"/>
                      <w:i/>
                      <w:iCs/>
                      <w:color w:val="333333"/>
                      <w:sz w:val="26"/>
                      <w:szCs w:val="26"/>
                    </w:rPr>
                    <w:t xml:space="preserve"> Temple Pagoda in </w:t>
                  </w:r>
                  <w:proofErr w:type="spellStart"/>
                  <w:r w:rsidRPr="00DA6896">
                    <w:rPr>
                      <w:rFonts w:ascii="Arial" w:eastAsia="Times New Roman" w:hAnsi="Arial" w:cs="Arial"/>
                      <w:i/>
                      <w:iCs/>
                      <w:color w:val="333333"/>
                      <w:sz w:val="26"/>
                      <w:szCs w:val="26"/>
                    </w:rPr>
                    <w:t>Nachikatsuura</w:t>
                  </w:r>
                  <w:proofErr w:type="spellEnd"/>
                  <w:r w:rsidRPr="00DA6896">
                    <w:rPr>
                      <w:rFonts w:ascii="Arial" w:eastAsia="Times New Roman" w:hAnsi="Arial" w:cs="Arial"/>
                      <w:i/>
                      <w:iCs/>
                      <w:color w:val="333333"/>
                      <w:sz w:val="26"/>
                      <w:szCs w:val="26"/>
                    </w:rPr>
                    <w:t>, Wakayama Prefecture, Japan.</w:t>
                  </w:r>
                </w:p>
              </w:tc>
            </w:tr>
            <w:tr w:rsidR="00DA6896" w:rsidRPr="00DA6896" w14:paraId="0B7673F4" w14:textId="77777777">
              <w:tc>
                <w:tcPr>
                  <w:tcW w:w="0" w:type="auto"/>
                  <w:tcBorders>
                    <w:top w:val="nil"/>
                    <w:left w:val="nil"/>
                    <w:bottom w:val="nil"/>
                    <w:right w:val="nil"/>
                  </w:tcBorders>
                  <w:shd w:val="clear" w:color="auto" w:fill="auto"/>
                  <w:tcMar>
                    <w:top w:w="450" w:type="dxa"/>
                    <w:left w:w="0" w:type="dxa"/>
                    <w:bottom w:w="0" w:type="dxa"/>
                    <w:right w:w="0" w:type="dxa"/>
                  </w:tcMar>
                  <w:vAlign w:val="center"/>
                  <w:hideMark/>
                </w:tcPr>
                <w:p w14:paraId="65E4895C" w14:textId="77777777" w:rsidR="00DA6896" w:rsidRPr="00DA6896" w:rsidRDefault="00DA6896" w:rsidP="00DA6896">
                  <w:pPr>
                    <w:spacing w:after="0" w:line="240" w:lineRule="auto"/>
                    <w:rPr>
                      <w:rFonts w:ascii="Arial" w:eastAsia="Times New Roman" w:hAnsi="Arial" w:cs="Arial"/>
                      <w:sz w:val="26"/>
                      <w:szCs w:val="26"/>
                    </w:rPr>
                  </w:pPr>
                </w:p>
              </w:tc>
            </w:tr>
            <w:tr w:rsidR="00DA6896" w:rsidRPr="00DA6896" w14:paraId="3F438E53" w14:textId="77777777">
              <w:tc>
                <w:tcPr>
                  <w:tcW w:w="0" w:type="auto"/>
                  <w:tcBorders>
                    <w:top w:val="nil"/>
                    <w:left w:val="nil"/>
                    <w:bottom w:val="nil"/>
                    <w:right w:val="nil"/>
                  </w:tcBorders>
                  <w:shd w:val="clear" w:color="auto" w:fill="auto"/>
                  <w:tcMar>
                    <w:top w:w="225" w:type="dxa"/>
                    <w:left w:w="450" w:type="dxa"/>
                    <w:bottom w:w="0" w:type="dxa"/>
                    <w:right w:w="450" w:type="dxa"/>
                  </w:tcMar>
                  <w:vAlign w:val="center"/>
                  <w:hideMark/>
                </w:tcPr>
                <w:p w14:paraId="5A4B0FD6" w14:textId="77777777" w:rsidR="00DA6896" w:rsidRPr="00DA6896" w:rsidRDefault="00DA6896" w:rsidP="00DA6896">
                  <w:pPr>
                    <w:spacing w:after="225" w:line="240" w:lineRule="auto"/>
                    <w:rPr>
                      <w:rFonts w:ascii="Arial" w:eastAsia="Times New Roman" w:hAnsi="Arial" w:cs="Arial"/>
                      <w:sz w:val="26"/>
                      <w:szCs w:val="26"/>
                    </w:rPr>
                  </w:pPr>
                </w:p>
                <w:p w14:paraId="0CAB676D" w14:textId="77777777" w:rsidR="00DA6896" w:rsidRPr="00DA6896" w:rsidRDefault="00DA6896" w:rsidP="00DA6896">
                  <w:pPr>
                    <w:spacing w:after="225" w:line="240" w:lineRule="auto"/>
                    <w:outlineLvl w:val="2"/>
                    <w:rPr>
                      <w:rFonts w:ascii="Arial" w:eastAsia="Times New Roman" w:hAnsi="Arial" w:cs="Arial"/>
                      <w:sz w:val="33"/>
                      <w:szCs w:val="33"/>
                    </w:rPr>
                  </w:pPr>
                  <w:r w:rsidRPr="00DA6896">
                    <w:rPr>
                      <w:rFonts w:ascii="Arial" w:eastAsia="Times New Roman" w:hAnsi="Arial" w:cs="Arial"/>
                      <w:b/>
                      <w:bCs/>
                      <w:color w:val="003366"/>
                      <w:sz w:val="33"/>
                      <w:szCs w:val="33"/>
                    </w:rPr>
                    <w:t>Footnotes and Sources</w:t>
                  </w:r>
                </w:p>
                <w:p w14:paraId="26AB7C8B"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sz w:val="18"/>
                      <w:szCs w:val="18"/>
                      <w:vertAlign w:val="superscript"/>
                    </w:rPr>
                    <w:br/>
                    <w:t>1. The Wall Street Journal, July 2, 2021</w:t>
                  </w:r>
                </w:p>
                <w:p w14:paraId="1BD59FF7"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sz w:val="18"/>
                      <w:szCs w:val="18"/>
                      <w:vertAlign w:val="superscript"/>
                    </w:rPr>
                    <w:t>2. The Wall Street Journal, July 2, 2021</w:t>
                  </w:r>
                </w:p>
                <w:p w14:paraId="6D66746F"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sz w:val="18"/>
                      <w:szCs w:val="18"/>
                      <w:vertAlign w:val="superscript"/>
                    </w:rPr>
                    <w:t>3. The Wall Street Journal, July 2, 2021</w:t>
                  </w:r>
                </w:p>
                <w:p w14:paraId="0E8DBEE3"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sz w:val="18"/>
                      <w:szCs w:val="18"/>
                      <w:vertAlign w:val="superscript"/>
                    </w:rPr>
                    <w:t>4. The Wall Street Journal, July 2, 2021</w:t>
                  </w:r>
                </w:p>
                <w:p w14:paraId="6EE0C7FA"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sz w:val="18"/>
                      <w:szCs w:val="18"/>
                      <w:vertAlign w:val="superscript"/>
                    </w:rPr>
                    <w:t>5. CNBC, July 2, 2021</w:t>
                  </w:r>
                </w:p>
                <w:p w14:paraId="4064C6E5"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sz w:val="18"/>
                      <w:szCs w:val="18"/>
                      <w:vertAlign w:val="superscript"/>
                    </w:rPr>
                    <w:t>6. The Conference Board, June 29, 2021</w:t>
                  </w:r>
                </w:p>
                <w:p w14:paraId="752F0971"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sz w:val="18"/>
                      <w:szCs w:val="18"/>
                      <w:vertAlign w:val="superscript"/>
                    </w:rPr>
                    <w:t>7. IRS.gov, February 1, 2021</w:t>
                  </w:r>
                </w:p>
                <w:p w14:paraId="288A347B"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sz w:val="18"/>
                      <w:szCs w:val="18"/>
                      <w:vertAlign w:val="superscript"/>
                    </w:rPr>
                    <w:lastRenderedPageBreak/>
                    <w:t>8. Mensjournal.com, 2021</w:t>
                  </w:r>
                </w:p>
                <w:p w14:paraId="590C130C" w14:textId="77777777" w:rsidR="00DA6896" w:rsidRPr="00DA6896" w:rsidRDefault="00DA6896" w:rsidP="00DA6896">
                  <w:pPr>
                    <w:spacing w:after="225" w:line="240" w:lineRule="auto"/>
                    <w:rPr>
                      <w:rFonts w:ascii="Arial" w:eastAsia="Times New Roman" w:hAnsi="Arial" w:cs="Arial"/>
                      <w:sz w:val="26"/>
                      <w:szCs w:val="26"/>
                    </w:rPr>
                  </w:pPr>
                </w:p>
              </w:tc>
            </w:tr>
            <w:tr w:rsidR="00DA6896" w:rsidRPr="00DA6896" w14:paraId="73F03EBC" w14:textId="77777777">
              <w:tc>
                <w:tcPr>
                  <w:tcW w:w="0" w:type="auto"/>
                  <w:tcBorders>
                    <w:top w:val="nil"/>
                    <w:left w:val="nil"/>
                    <w:bottom w:val="nil"/>
                    <w:right w:val="nil"/>
                  </w:tcBorders>
                  <w:shd w:val="clear" w:color="auto" w:fill="auto"/>
                  <w:tcMar>
                    <w:top w:w="225" w:type="dxa"/>
                    <w:left w:w="450" w:type="dxa"/>
                    <w:bottom w:w="0" w:type="dxa"/>
                    <w:right w:w="450" w:type="dxa"/>
                  </w:tcMar>
                  <w:vAlign w:val="center"/>
                  <w:hideMark/>
                </w:tcPr>
                <w:p w14:paraId="1DB7CD43"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sz w:val="18"/>
                      <w:szCs w:val="18"/>
                      <w:vertAlign w:val="superscript"/>
                    </w:rPr>
                    <w:lastRenderedPageBreak/>
                    <w:t>Investing involves risks, and investment decisions should be based on your own goals, time horizon, and tolerance for risk. The return and principal value of investments will fluctuate as market conditions change. When sold, investments may be worth more or less than their original cost.</w:t>
                  </w:r>
                </w:p>
                <w:p w14:paraId="2F4A4547"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sz w:val="18"/>
                      <w:szCs w:val="18"/>
                      <w:vertAlign w:val="superscript"/>
                    </w:rPr>
                    <w:t>The forecasts or forward-looking statements are based on assumptions, may not materialize, and are subject to revision without notice.</w:t>
                  </w:r>
                </w:p>
                <w:p w14:paraId="4F5088A3"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sz w:val="18"/>
                      <w:szCs w:val="18"/>
                      <w:vertAlign w:val="superscript"/>
                    </w:rPr>
                    <w:t>The market indexes discussed are unmanaged, and generally, considered representative of their respective markets. Index performance is not indicative of the past performance of a particular investment. Indexes do not incur management fees, costs, and expenses. Individuals cannot directly invest in unmanaged indexes. Past performance does not guarantee future results.</w:t>
                  </w:r>
                </w:p>
                <w:p w14:paraId="5F96B8DE"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sz w:val="18"/>
                      <w:szCs w:val="18"/>
                      <w:vertAlign w:val="superscript"/>
                    </w:rPr>
                    <w:t xml:space="preserve">The Dow Jones Industrial Average is an unmanaged index that is generally considered representative of large-capitalization companies on the U.S. stock market. Nasdaq Composite is an index of the common stocks and similar securities listed on the NASDAQ stock market and is considered a broad indicator of the performance of technology and growth companies. The MSCI EAFE Index was created by Morgan Stanley Capital International (MSCI) and serves as a benchmark of the performance of major international equity markets, as represented by 21 major MSCI indexes from Europe, Australia, and Southeast Asia. The S&amp;P 500 Composite Index is an unmanaged group of securities that </w:t>
                  </w:r>
                  <w:proofErr w:type="gramStart"/>
                  <w:r w:rsidRPr="00DA6896">
                    <w:rPr>
                      <w:rFonts w:ascii="Arial" w:eastAsia="Times New Roman" w:hAnsi="Arial" w:cs="Arial"/>
                      <w:sz w:val="18"/>
                      <w:szCs w:val="18"/>
                      <w:vertAlign w:val="superscript"/>
                    </w:rPr>
                    <w:t>are considered to be</w:t>
                  </w:r>
                  <w:proofErr w:type="gramEnd"/>
                  <w:r w:rsidRPr="00DA6896">
                    <w:rPr>
                      <w:rFonts w:ascii="Arial" w:eastAsia="Times New Roman" w:hAnsi="Arial" w:cs="Arial"/>
                      <w:sz w:val="18"/>
                      <w:szCs w:val="18"/>
                      <w:vertAlign w:val="superscript"/>
                    </w:rPr>
                    <w:t xml:space="preserve"> representative of the stock market in general.</w:t>
                  </w:r>
                </w:p>
                <w:p w14:paraId="343F0CD1"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sz w:val="18"/>
                      <w:szCs w:val="18"/>
                      <w:vertAlign w:val="superscript"/>
                    </w:rPr>
                    <w:t>U.S. Treasury Notes are guaranteed by the federal government as to the timely payment of principal and interest. However, if you sell a Treasury Note prior to maturity, it may be worth more or less than the original price paid. Fixed income investments are subject to various risks including changes in interest rates, credit quality, inflation risk, market valuations, prepayments, corporate events, tax ramifications and other factors.</w:t>
                  </w:r>
                </w:p>
                <w:p w14:paraId="71DB848A"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sz w:val="18"/>
                      <w:szCs w:val="18"/>
                      <w:vertAlign w:val="superscript"/>
                    </w:rPr>
                    <w:t>International investments carry additional risks, which include differences in financial reporting standards, currency exchange rates, political risks unique to a specific country, foreign taxes and regulations, and the potential for illiquid markets. These factors may result in greater share price volatility.</w:t>
                  </w:r>
                </w:p>
                <w:p w14:paraId="0D78A170"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sz w:val="18"/>
                      <w:szCs w:val="18"/>
                      <w:vertAlign w:val="superscript"/>
                    </w:rPr>
                    <w:t>Please consult your financial professional for additional information.</w:t>
                  </w:r>
                </w:p>
                <w:p w14:paraId="67D6108A"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sz w:val="18"/>
                      <w:szCs w:val="18"/>
                      <w:vertAlign w:val="superscript"/>
                    </w:rPr>
                    <w:t>This content is developed from sources believed to be providing accurate information. The information in this material is not intended as tax or legal advice. Please consult legal or tax professionals for specific information regarding your individual situation. This material was developed and produced by FMG Suite to provide information on a topic that may be of interest. FMG is not affiliated with the named representative, financial professional, Registered Investment Advisor, Broker-Dealer, nor state- or SEC-registered investment advisory firm. The opinions expressed and material provided are for general information, and they should not be considered a solicitation for the purchase or sale of any security.</w:t>
                  </w:r>
                </w:p>
                <w:p w14:paraId="1A456995" w14:textId="77777777" w:rsidR="00DA6896" w:rsidRPr="00DA6896" w:rsidRDefault="00DA6896" w:rsidP="00DA6896">
                  <w:pPr>
                    <w:spacing w:after="225" w:line="240" w:lineRule="auto"/>
                    <w:rPr>
                      <w:rFonts w:ascii="Arial" w:eastAsia="Times New Roman" w:hAnsi="Arial" w:cs="Arial"/>
                      <w:sz w:val="26"/>
                      <w:szCs w:val="26"/>
                    </w:rPr>
                  </w:pPr>
                  <w:r w:rsidRPr="00DA6896">
                    <w:rPr>
                      <w:rFonts w:ascii="Arial" w:eastAsia="Times New Roman" w:hAnsi="Arial" w:cs="Arial"/>
                      <w:sz w:val="18"/>
                      <w:szCs w:val="18"/>
                      <w:vertAlign w:val="superscript"/>
                    </w:rPr>
                    <w:t>Copyright 2021 FMG Suite.</w:t>
                  </w:r>
                </w:p>
              </w:tc>
            </w:tr>
          </w:tbl>
          <w:p w14:paraId="62A3A8AF" w14:textId="77777777" w:rsidR="00DA6896" w:rsidRPr="00DA6896" w:rsidRDefault="00DA6896" w:rsidP="00DA6896">
            <w:pPr>
              <w:spacing w:before="100" w:beforeAutospacing="1" w:after="100" w:afterAutospacing="1" w:line="240" w:lineRule="auto"/>
              <w:rPr>
                <w:rFonts w:ascii="Times New Roman" w:eastAsia="Times New Roman" w:hAnsi="Times New Roman" w:cs="Times New Roman"/>
                <w:sz w:val="24"/>
                <w:szCs w:val="24"/>
              </w:rPr>
            </w:pPr>
          </w:p>
        </w:tc>
      </w:tr>
    </w:tbl>
    <w:p w14:paraId="629C03B2" w14:textId="77777777" w:rsidR="00DA6896" w:rsidRPr="00DA6896" w:rsidRDefault="00DA6896" w:rsidP="00DA6896">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DA6896" w:rsidRPr="00DA6896" w14:paraId="55D2B10A" w14:textId="77777777" w:rsidTr="00DA6896">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9360"/>
            </w:tblGrid>
            <w:tr w:rsidR="00DA6896" w:rsidRPr="00DA6896" w14:paraId="307C53DC" w14:textId="77777777">
              <w:tc>
                <w:tcPr>
                  <w:tcW w:w="0" w:type="auto"/>
                  <w:tcBorders>
                    <w:top w:val="nil"/>
                    <w:left w:val="nil"/>
                    <w:bottom w:val="nil"/>
                    <w:right w:val="nil"/>
                  </w:tcBorders>
                  <w:shd w:val="clear" w:color="auto" w:fill="auto"/>
                  <w:vAlign w:val="center"/>
                  <w:hideMark/>
                </w:tcPr>
                <w:p w14:paraId="1646AD8A" w14:textId="77777777" w:rsidR="00DA6896" w:rsidRPr="00DA6896" w:rsidRDefault="00DA6896" w:rsidP="00DA6896">
                  <w:pPr>
                    <w:spacing w:before="100" w:beforeAutospacing="1" w:after="100" w:afterAutospacing="1" w:line="375" w:lineRule="atLeast"/>
                    <w:rPr>
                      <w:rFonts w:ascii="Arial" w:eastAsia="Times New Roman" w:hAnsi="Arial" w:cs="Arial"/>
                      <w:color w:val="333333"/>
                      <w:sz w:val="24"/>
                      <w:szCs w:val="24"/>
                    </w:rPr>
                  </w:pPr>
                  <w:r w:rsidRPr="00DA6896">
                    <w:rPr>
                      <w:rFonts w:ascii="Arial" w:eastAsia="Times New Roman" w:hAnsi="Arial" w:cs="Arial"/>
                      <w:b/>
                      <w:bCs/>
                      <w:color w:val="333333"/>
                      <w:sz w:val="24"/>
                      <w:szCs w:val="24"/>
                    </w:rPr>
                    <w:t>Henry Hardy</w:t>
                  </w:r>
                </w:p>
              </w:tc>
            </w:tr>
            <w:tr w:rsidR="00DA6896" w:rsidRPr="00DA6896" w14:paraId="0FB92284" w14:textId="77777777">
              <w:tc>
                <w:tcPr>
                  <w:tcW w:w="0" w:type="auto"/>
                  <w:tcBorders>
                    <w:top w:val="nil"/>
                    <w:left w:val="nil"/>
                    <w:bottom w:val="nil"/>
                    <w:right w:val="nil"/>
                  </w:tcBorders>
                  <w:shd w:val="clear" w:color="auto" w:fill="auto"/>
                  <w:vAlign w:val="center"/>
                  <w:hideMark/>
                </w:tcPr>
                <w:p w14:paraId="2CA9F8C3" w14:textId="77777777" w:rsidR="00DA6896" w:rsidRPr="00DA6896" w:rsidRDefault="00DA6896" w:rsidP="00DA6896">
                  <w:pPr>
                    <w:spacing w:before="100" w:beforeAutospacing="1" w:after="100" w:afterAutospacing="1" w:line="375" w:lineRule="atLeast"/>
                    <w:rPr>
                      <w:rFonts w:ascii="Arial" w:eastAsia="Times New Roman" w:hAnsi="Arial" w:cs="Arial"/>
                      <w:color w:val="333333"/>
                      <w:sz w:val="24"/>
                      <w:szCs w:val="24"/>
                    </w:rPr>
                  </w:pPr>
                  <w:hyperlink r:id="rId14" w:tgtFrame="_blank" w:history="1">
                    <w:r w:rsidRPr="00DA6896">
                      <w:rPr>
                        <w:rFonts w:ascii="Arial" w:eastAsia="Times New Roman" w:hAnsi="Arial" w:cs="Arial"/>
                        <w:color w:val="209BB9"/>
                        <w:sz w:val="24"/>
                        <w:szCs w:val="24"/>
                      </w:rPr>
                      <w:t>rhardy@sagepointadvisor.com</w:t>
                    </w:r>
                  </w:hyperlink>
                </w:p>
              </w:tc>
            </w:tr>
            <w:tr w:rsidR="00DA6896" w:rsidRPr="00DA6896" w14:paraId="2C906F69" w14:textId="77777777">
              <w:tc>
                <w:tcPr>
                  <w:tcW w:w="0" w:type="auto"/>
                  <w:tcBorders>
                    <w:top w:val="nil"/>
                    <w:left w:val="nil"/>
                    <w:bottom w:val="nil"/>
                    <w:right w:val="nil"/>
                  </w:tcBorders>
                  <w:shd w:val="clear" w:color="auto" w:fill="auto"/>
                  <w:tcMar>
                    <w:top w:w="0" w:type="dxa"/>
                    <w:left w:w="0" w:type="dxa"/>
                    <w:bottom w:w="150" w:type="dxa"/>
                    <w:right w:w="0" w:type="dxa"/>
                  </w:tcMar>
                  <w:vAlign w:val="center"/>
                  <w:hideMark/>
                </w:tcPr>
                <w:p w14:paraId="4C6DD4FB" w14:textId="77777777" w:rsidR="00DA6896" w:rsidRPr="00DA6896" w:rsidRDefault="00DA6896" w:rsidP="00DA6896">
                  <w:pPr>
                    <w:spacing w:before="100" w:beforeAutospacing="1" w:after="100" w:afterAutospacing="1" w:line="375" w:lineRule="atLeast"/>
                    <w:rPr>
                      <w:rFonts w:ascii="Arial" w:eastAsia="Times New Roman" w:hAnsi="Arial" w:cs="Arial"/>
                      <w:color w:val="333333"/>
                      <w:sz w:val="24"/>
                      <w:szCs w:val="24"/>
                    </w:rPr>
                  </w:pPr>
                  <w:r w:rsidRPr="00DA6896">
                    <w:rPr>
                      <w:rFonts w:ascii="Arial" w:eastAsia="Times New Roman" w:hAnsi="Arial" w:cs="Arial"/>
                      <w:color w:val="333333"/>
                      <w:sz w:val="24"/>
                      <w:szCs w:val="24"/>
                    </w:rPr>
                    <w:t>(251) 625-2220</w:t>
                  </w:r>
                </w:p>
              </w:tc>
            </w:tr>
            <w:tr w:rsidR="00DA6896" w:rsidRPr="00DA6896" w14:paraId="20F07589" w14:textId="77777777">
              <w:tc>
                <w:tcPr>
                  <w:tcW w:w="0" w:type="auto"/>
                  <w:tcBorders>
                    <w:top w:val="nil"/>
                    <w:left w:val="nil"/>
                    <w:bottom w:val="nil"/>
                    <w:right w:val="nil"/>
                  </w:tcBorders>
                  <w:shd w:val="clear" w:color="auto" w:fill="auto"/>
                  <w:tcMar>
                    <w:top w:w="0" w:type="dxa"/>
                    <w:left w:w="0" w:type="dxa"/>
                    <w:bottom w:w="150" w:type="dxa"/>
                    <w:right w:w="0" w:type="dxa"/>
                  </w:tcMar>
                  <w:vAlign w:val="center"/>
                  <w:hideMark/>
                </w:tcPr>
                <w:p w14:paraId="3C0EDAE6" w14:textId="77777777" w:rsidR="00DA6896" w:rsidRPr="00DA6896" w:rsidRDefault="00DA6896" w:rsidP="00DA6896">
                  <w:pPr>
                    <w:spacing w:before="100" w:beforeAutospacing="1" w:after="100" w:afterAutospacing="1" w:line="375" w:lineRule="atLeast"/>
                    <w:rPr>
                      <w:rFonts w:ascii="Arial" w:eastAsia="Times New Roman" w:hAnsi="Arial" w:cs="Arial"/>
                      <w:color w:val="333333"/>
                      <w:sz w:val="24"/>
                      <w:szCs w:val="24"/>
                    </w:rPr>
                  </w:pPr>
                  <w:r w:rsidRPr="00DA6896">
                    <w:rPr>
                      <w:rFonts w:ascii="Arial" w:eastAsia="Times New Roman" w:hAnsi="Arial" w:cs="Arial"/>
                      <w:color w:val="333333"/>
                      <w:sz w:val="24"/>
                      <w:szCs w:val="24"/>
                    </w:rPr>
                    <w:t>Horizon Financial IFS</w:t>
                  </w:r>
                </w:p>
              </w:tc>
            </w:tr>
            <w:tr w:rsidR="00DA6896" w:rsidRPr="00DA6896" w14:paraId="1425C268" w14:textId="77777777">
              <w:tc>
                <w:tcPr>
                  <w:tcW w:w="0" w:type="auto"/>
                  <w:tcBorders>
                    <w:top w:val="nil"/>
                    <w:left w:val="nil"/>
                    <w:bottom w:val="nil"/>
                    <w:right w:val="nil"/>
                  </w:tcBorders>
                  <w:shd w:val="clear" w:color="auto" w:fill="auto"/>
                  <w:tcMar>
                    <w:top w:w="0" w:type="dxa"/>
                    <w:left w:w="0" w:type="dxa"/>
                    <w:bottom w:w="240" w:type="dxa"/>
                    <w:right w:w="0" w:type="dxa"/>
                  </w:tcMar>
                  <w:vAlign w:val="center"/>
                  <w:hideMark/>
                </w:tcPr>
                <w:p w14:paraId="43D9C34A" w14:textId="77777777" w:rsidR="00DA6896" w:rsidRPr="00DA6896" w:rsidRDefault="00DA6896" w:rsidP="00DA6896">
                  <w:pPr>
                    <w:spacing w:before="100" w:beforeAutospacing="1" w:after="100" w:afterAutospacing="1" w:line="375" w:lineRule="atLeast"/>
                    <w:rPr>
                      <w:rFonts w:ascii="Arial" w:eastAsia="Times New Roman" w:hAnsi="Arial" w:cs="Arial"/>
                      <w:color w:val="209BB9"/>
                      <w:sz w:val="24"/>
                      <w:szCs w:val="24"/>
                    </w:rPr>
                  </w:pPr>
                  <w:hyperlink r:id="rId15" w:tgtFrame="_blank" w:history="1">
                    <w:r w:rsidRPr="00DA6896">
                      <w:rPr>
                        <w:rFonts w:ascii="Arial" w:eastAsia="Times New Roman" w:hAnsi="Arial" w:cs="Arial"/>
                        <w:color w:val="209BB9"/>
                        <w:sz w:val="24"/>
                        <w:szCs w:val="24"/>
                      </w:rPr>
                      <w:t>https://www.horizonfinancialifs.com/</w:t>
                    </w:r>
                  </w:hyperlink>
                </w:p>
              </w:tc>
            </w:tr>
            <w:tr w:rsidR="00DA6896" w:rsidRPr="00DA6896" w14:paraId="676328EA" w14:textId="77777777">
              <w:tc>
                <w:tcPr>
                  <w:tcW w:w="0" w:type="auto"/>
                  <w:tcBorders>
                    <w:top w:val="nil"/>
                    <w:left w:val="nil"/>
                    <w:bottom w:val="nil"/>
                    <w:right w:val="nil"/>
                  </w:tcBorders>
                  <w:shd w:val="clear" w:color="auto" w:fill="auto"/>
                  <w:tcMar>
                    <w:top w:w="0" w:type="dxa"/>
                    <w:left w:w="0" w:type="dxa"/>
                    <w:bottom w:w="90" w:type="dxa"/>
                    <w:right w:w="0" w:type="dxa"/>
                  </w:tcMar>
                  <w:vAlign w:val="center"/>
                  <w:hideMark/>
                </w:tcPr>
                <w:tbl>
                  <w:tblPr>
                    <w:tblW w:w="0" w:type="auto"/>
                    <w:tblCellMar>
                      <w:left w:w="0" w:type="dxa"/>
                      <w:right w:w="0" w:type="dxa"/>
                    </w:tblCellMar>
                    <w:tblLook w:val="04A0" w:firstRow="1" w:lastRow="0" w:firstColumn="1" w:lastColumn="0" w:noHBand="0" w:noVBand="1"/>
                  </w:tblPr>
                  <w:tblGrid>
                    <w:gridCol w:w="330"/>
                    <w:gridCol w:w="150"/>
                  </w:tblGrid>
                  <w:tr w:rsidR="00DA6896" w:rsidRPr="00DA6896" w14:paraId="1E436BD2" w14:textId="77777777">
                    <w:tc>
                      <w:tcPr>
                        <w:tcW w:w="270" w:type="dxa"/>
                        <w:tcBorders>
                          <w:top w:val="nil"/>
                          <w:left w:val="nil"/>
                          <w:bottom w:val="nil"/>
                          <w:right w:val="nil"/>
                        </w:tcBorders>
                        <w:shd w:val="clear" w:color="auto" w:fill="auto"/>
                        <w:hideMark/>
                      </w:tcPr>
                      <w:p w14:paraId="079FBF11" w14:textId="77777777" w:rsidR="00DA6896" w:rsidRPr="00DA6896" w:rsidRDefault="00DA6896" w:rsidP="00DA6896">
                        <w:pPr>
                          <w:spacing w:before="100" w:beforeAutospacing="1" w:after="100" w:afterAutospacing="1" w:line="270" w:lineRule="atLeast"/>
                          <w:rPr>
                            <w:rFonts w:ascii="Times New Roman" w:eastAsia="Times New Roman" w:hAnsi="Times New Roman" w:cs="Times New Roman"/>
                            <w:sz w:val="24"/>
                            <w:szCs w:val="24"/>
                          </w:rPr>
                        </w:pPr>
                        <w:r w:rsidRPr="00DA6896">
                          <w:rPr>
                            <w:rFonts w:ascii="Times New Roman" w:eastAsia="Times New Roman" w:hAnsi="Times New Roman" w:cs="Times New Roman"/>
                            <w:noProof/>
                            <w:color w:val="333333"/>
                            <w:sz w:val="24"/>
                            <w:szCs w:val="24"/>
                          </w:rPr>
                          <w:drawing>
                            <wp:inline distT="0" distB="0" distL="0" distR="0" wp14:anchorId="5865ADA0" wp14:editId="4FC2B5E1">
                              <wp:extent cx="209550" cy="209550"/>
                              <wp:effectExtent l="0" t="0" r="0" b="0"/>
                              <wp:docPr id="10" name="Picture 10" descr="fb">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b">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0" w:type="dxa"/>
                        <w:tcBorders>
                          <w:top w:val="nil"/>
                          <w:left w:val="nil"/>
                          <w:bottom w:val="nil"/>
                          <w:right w:val="nil"/>
                        </w:tcBorders>
                        <w:shd w:val="clear" w:color="auto" w:fill="auto"/>
                        <w:vAlign w:val="center"/>
                        <w:hideMark/>
                      </w:tcPr>
                      <w:p w14:paraId="167193E5" w14:textId="77777777" w:rsidR="00DA6896" w:rsidRPr="00DA6896" w:rsidRDefault="00DA6896" w:rsidP="00DA6896">
                        <w:pPr>
                          <w:spacing w:before="100" w:beforeAutospacing="1" w:after="100" w:afterAutospacing="1" w:line="270" w:lineRule="atLeast"/>
                          <w:rPr>
                            <w:rFonts w:ascii="Times New Roman" w:eastAsia="Times New Roman" w:hAnsi="Times New Roman" w:cs="Times New Roman"/>
                            <w:sz w:val="24"/>
                            <w:szCs w:val="24"/>
                          </w:rPr>
                        </w:pPr>
                      </w:p>
                    </w:tc>
                  </w:tr>
                </w:tbl>
                <w:p w14:paraId="1B8C1089" w14:textId="77777777" w:rsidR="00DA6896" w:rsidRPr="00DA6896" w:rsidRDefault="00DA6896" w:rsidP="00DA6896">
                  <w:pPr>
                    <w:spacing w:before="100" w:beforeAutospacing="1" w:after="100" w:afterAutospacing="1" w:line="240" w:lineRule="auto"/>
                    <w:rPr>
                      <w:rFonts w:ascii="Times New Roman" w:eastAsia="Times New Roman" w:hAnsi="Times New Roman" w:cs="Times New Roman"/>
                      <w:sz w:val="24"/>
                      <w:szCs w:val="24"/>
                    </w:rPr>
                  </w:pPr>
                </w:p>
              </w:tc>
            </w:tr>
          </w:tbl>
          <w:p w14:paraId="62258E58" w14:textId="77777777" w:rsidR="00DA6896" w:rsidRPr="00DA6896" w:rsidRDefault="00DA6896" w:rsidP="00DA6896">
            <w:pPr>
              <w:spacing w:before="100" w:beforeAutospacing="1" w:after="100" w:afterAutospacing="1" w:line="240" w:lineRule="auto"/>
              <w:rPr>
                <w:rFonts w:ascii="Times New Roman" w:eastAsia="Times New Roman" w:hAnsi="Times New Roman" w:cs="Times New Roman"/>
                <w:b/>
                <w:bCs/>
                <w:sz w:val="24"/>
                <w:szCs w:val="24"/>
              </w:rPr>
            </w:pPr>
          </w:p>
        </w:tc>
      </w:tr>
    </w:tbl>
    <w:p w14:paraId="0EDEBC21" w14:textId="77777777" w:rsidR="00DA6896" w:rsidRPr="00DA6896" w:rsidRDefault="00DA6896" w:rsidP="00DA6896">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6225"/>
        <w:gridCol w:w="285"/>
        <w:gridCol w:w="2850"/>
      </w:tblGrid>
      <w:tr w:rsidR="00DA6896" w:rsidRPr="00DA6896" w14:paraId="6B1ACA29" w14:textId="77777777" w:rsidTr="00DA6896">
        <w:trPr>
          <w:trHeight w:val="300"/>
        </w:trPr>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6225"/>
            </w:tblGrid>
            <w:tr w:rsidR="00DA6896" w:rsidRPr="00DA6896" w14:paraId="38480833" w14:textId="77777777">
              <w:tc>
                <w:tcPr>
                  <w:tcW w:w="0" w:type="auto"/>
                  <w:tcBorders>
                    <w:top w:val="nil"/>
                    <w:left w:val="nil"/>
                    <w:bottom w:val="nil"/>
                    <w:right w:val="nil"/>
                  </w:tcBorders>
                  <w:shd w:val="clear" w:color="auto" w:fill="auto"/>
                  <w:vAlign w:val="center"/>
                  <w:hideMark/>
                </w:tcPr>
                <w:p w14:paraId="11E3FC42" w14:textId="77777777" w:rsidR="00DA6896" w:rsidRPr="00DA6896" w:rsidRDefault="00DA6896" w:rsidP="00DA6896">
                  <w:pPr>
                    <w:spacing w:after="180" w:line="195" w:lineRule="atLeast"/>
                    <w:rPr>
                      <w:rFonts w:ascii="Arial" w:eastAsia="Times New Roman" w:hAnsi="Arial" w:cs="Arial"/>
                      <w:color w:val="333333"/>
                      <w:sz w:val="15"/>
                      <w:szCs w:val="15"/>
                    </w:rPr>
                  </w:pPr>
                  <w:r w:rsidRPr="00DA6896">
                    <w:rPr>
                      <w:rFonts w:ascii="Arial" w:eastAsia="Times New Roman" w:hAnsi="Arial" w:cs="Arial"/>
                      <w:color w:val="333333"/>
                      <w:sz w:val="15"/>
                      <w:szCs w:val="15"/>
                    </w:rPr>
                    <w:t xml:space="preserve">Securities and investment advisory services offered through </w:t>
                  </w:r>
                  <w:proofErr w:type="spellStart"/>
                  <w:r w:rsidRPr="00DA6896">
                    <w:rPr>
                      <w:rFonts w:ascii="Arial" w:eastAsia="Times New Roman" w:hAnsi="Arial" w:cs="Arial"/>
                      <w:color w:val="333333"/>
                      <w:sz w:val="15"/>
                      <w:szCs w:val="15"/>
                    </w:rPr>
                    <w:t>SagePoint</w:t>
                  </w:r>
                  <w:proofErr w:type="spellEnd"/>
                  <w:r w:rsidRPr="00DA6896">
                    <w:rPr>
                      <w:rFonts w:ascii="Arial" w:eastAsia="Times New Roman" w:hAnsi="Arial" w:cs="Arial"/>
                      <w:color w:val="333333"/>
                      <w:sz w:val="15"/>
                      <w:szCs w:val="15"/>
                    </w:rPr>
                    <w:t xml:space="preserve"> Financial Services, Inc. (SPF), member </w:t>
                  </w:r>
                  <w:hyperlink r:id="rId18" w:history="1">
                    <w:r w:rsidRPr="00DA6896">
                      <w:rPr>
                        <w:rFonts w:ascii="Arial" w:eastAsia="Times New Roman" w:hAnsi="Arial" w:cs="Arial"/>
                        <w:color w:val="209BB9"/>
                        <w:sz w:val="15"/>
                        <w:szCs w:val="15"/>
                      </w:rPr>
                      <w:t>FINRA</w:t>
                    </w:r>
                  </w:hyperlink>
                  <w:r w:rsidRPr="00DA6896">
                    <w:rPr>
                      <w:rFonts w:ascii="Arial" w:eastAsia="Times New Roman" w:hAnsi="Arial" w:cs="Arial"/>
                      <w:color w:val="333333"/>
                      <w:sz w:val="15"/>
                      <w:szCs w:val="15"/>
                    </w:rPr>
                    <w:t>/</w:t>
                  </w:r>
                  <w:hyperlink r:id="rId19" w:history="1">
                    <w:r w:rsidRPr="00DA6896">
                      <w:rPr>
                        <w:rFonts w:ascii="Arial" w:eastAsia="Times New Roman" w:hAnsi="Arial" w:cs="Arial"/>
                        <w:color w:val="209BB9"/>
                        <w:sz w:val="15"/>
                        <w:szCs w:val="15"/>
                      </w:rPr>
                      <w:t>SIPC</w:t>
                    </w:r>
                  </w:hyperlink>
                  <w:r w:rsidRPr="00DA6896">
                    <w:rPr>
                      <w:rFonts w:ascii="Arial" w:eastAsia="Times New Roman" w:hAnsi="Arial" w:cs="Arial"/>
                      <w:color w:val="333333"/>
                      <w:sz w:val="15"/>
                      <w:szCs w:val="15"/>
                    </w:rPr>
                    <w:t>. SPF is separately owned and other entities and/or marketing names, products or services referenced here are independent of SPF. SPF does not provide tax or legal advice.</w:t>
                  </w:r>
                </w:p>
                <w:p w14:paraId="72512147" w14:textId="77777777" w:rsidR="00DA6896" w:rsidRPr="00DA6896" w:rsidRDefault="00DA6896" w:rsidP="00DA6896">
                  <w:pPr>
                    <w:spacing w:after="180" w:line="195" w:lineRule="atLeast"/>
                    <w:rPr>
                      <w:rFonts w:ascii="Arial" w:eastAsia="Times New Roman" w:hAnsi="Arial" w:cs="Arial"/>
                      <w:color w:val="333333"/>
                      <w:sz w:val="15"/>
                      <w:szCs w:val="15"/>
                    </w:rPr>
                  </w:pPr>
                  <w:r w:rsidRPr="00DA6896">
                    <w:rPr>
                      <w:rFonts w:ascii="Arial" w:eastAsia="Times New Roman" w:hAnsi="Arial" w:cs="Arial"/>
                      <w:color w:val="333333"/>
                      <w:sz w:val="15"/>
                      <w:szCs w:val="15"/>
                    </w:rPr>
                    <w:t>This communication is strictly intended for individuals residing in the states of AL, GA. No offers may be made or accepted from any resident outside the specific state(s) referenced.</w:t>
                  </w:r>
                </w:p>
                <w:p w14:paraId="2D768E90" w14:textId="77777777" w:rsidR="00DA6896" w:rsidRPr="00DA6896" w:rsidRDefault="00DA6896" w:rsidP="00DA6896">
                  <w:pPr>
                    <w:spacing w:after="180" w:line="195" w:lineRule="atLeast"/>
                    <w:rPr>
                      <w:rFonts w:ascii="Arial" w:eastAsia="Times New Roman" w:hAnsi="Arial" w:cs="Arial"/>
                      <w:color w:val="333333"/>
                      <w:sz w:val="15"/>
                      <w:szCs w:val="15"/>
                    </w:rPr>
                  </w:pPr>
                  <w:r w:rsidRPr="00DA6896">
                    <w:rPr>
                      <w:rFonts w:ascii="Arial" w:eastAsia="Times New Roman" w:hAnsi="Arial" w:cs="Arial"/>
                      <w:color w:val="333333"/>
                      <w:sz w:val="15"/>
                      <w:szCs w:val="15"/>
                    </w:rPr>
                    <w:lastRenderedPageBreak/>
                    <w:t>PLEASE NOTE: The information being provided is strictly as a courtesy. When you link to any of the web sites provided here, you are leaving this web site. We make no representation as to the completeness or accuracy of information provided at these web sites.</w:t>
                  </w:r>
                </w:p>
              </w:tc>
            </w:tr>
          </w:tbl>
          <w:p w14:paraId="3E6F56DB" w14:textId="77777777" w:rsidR="00DA6896" w:rsidRPr="00DA6896" w:rsidRDefault="00DA6896" w:rsidP="00DA6896">
            <w:pPr>
              <w:spacing w:before="100" w:beforeAutospacing="1" w:after="100" w:afterAutospacing="1" w:line="240" w:lineRule="auto"/>
              <w:rPr>
                <w:rFonts w:ascii="Times New Roman" w:eastAsia="Times New Roman" w:hAnsi="Times New Roman" w:cs="Times New Roman"/>
                <w:b/>
                <w:bCs/>
                <w:sz w:val="24"/>
                <w:szCs w:val="24"/>
              </w:rPr>
            </w:pPr>
          </w:p>
        </w:tc>
        <w:tc>
          <w:tcPr>
            <w:tcW w:w="285" w:type="dxa"/>
            <w:shd w:val="clear" w:color="auto" w:fill="auto"/>
            <w:vAlign w:val="center"/>
            <w:hideMark/>
          </w:tcPr>
          <w:p w14:paraId="5063F097" w14:textId="77777777" w:rsidR="00DA6896" w:rsidRPr="00DA6896" w:rsidRDefault="00DA6896" w:rsidP="00DA6896">
            <w:pPr>
              <w:spacing w:before="100" w:beforeAutospacing="1" w:after="100" w:afterAutospacing="1" w:line="240" w:lineRule="auto"/>
              <w:rPr>
                <w:rFonts w:ascii="Times New Roman" w:eastAsia="Times New Roman" w:hAnsi="Times New Roman" w:cs="Times New Roman"/>
                <w:sz w:val="20"/>
                <w:szCs w:val="20"/>
              </w:rPr>
            </w:pPr>
          </w:p>
        </w:tc>
        <w:tc>
          <w:tcPr>
            <w:tcW w:w="2850" w:type="dxa"/>
            <w:shd w:val="clear" w:color="auto" w:fill="auto"/>
            <w:hideMark/>
          </w:tcPr>
          <w:tbl>
            <w:tblPr>
              <w:tblW w:w="5000" w:type="pct"/>
              <w:tblCellMar>
                <w:left w:w="0" w:type="dxa"/>
                <w:right w:w="0" w:type="dxa"/>
              </w:tblCellMar>
              <w:tblLook w:val="04A0" w:firstRow="1" w:lastRow="0" w:firstColumn="1" w:lastColumn="0" w:noHBand="0" w:noVBand="1"/>
            </w:tblPr>
            <w:tblGrid>
              <w:gridCol w:w="2850"/>
            </w:tblGrid>
            <w:tr w:rsidR="00DA6896" w:rsidRPr="00DA6896" w14:paraId="3318D177" w14:textId="77777777">
              <w:tc>
                <w:tcPr>
                  <w:tcW w:w="0" w:type="auto"/>
                  <w:tcBorders>
                    <w:top w:val="nil"/>
                    <w:left w:val="nil"/>
                    <w:bottom w:val="nil"/>
                    <w:right w:val="nil"/>
                  </w:tcBorders>
                  <w:shd w:val="clear" w:color="auto" w:fill="auto"/>
                  <w:tcMar>
                    <w:top w:w="0" w:type="dxa"/>
                    <w:left w:w="0" w:type="dxa"/>
                    <w:bottom w:w="165" w:type="dxa"/>
                    <w:right w:w="0" w:type="dxa"/>
                  </w:tcMar>
                  <w:vAlign w:val="center"/>
                  <w:hideMark/>
                </w:tcPr>
                <w:p w14:paraId="2511B350" w14:textId="77777777" w:rsidR="00DA6896" w:rsidRPr="00DA6896" w:rsidRDefault="00DA6896" w:rsidP="00DA6896">
                  <w:pPr>
                    <w:spacing w:before="100" w:beforeAutospacing="1" w:after="100" w:afterAutospacing="1" w:line="195" w:lineRule="atLeast"/>
                    <w:rPr>
                      <w:rFonts w:ascii="Arial" w:eastAsia="Times New Roman" w:hAnsi="Arial" w:cs="Arial"/>
                      <w:color w:val="333333"/>
                      <w:sz w:val="15"/>
                      <w:szCs w:val="15"/>
                    </w:rPr>
                  </w:pPr>
                  <w:r w:rsidRPr="00DA6896">
                    <w:rPr>
                      <w:rFonts w:ascii="Arial" w:eastAsia="Times New Roman" w:hAnsi="Arial" w:cs="Arial"/>
                      <w:color w:val="333333"/>
                      <w:sz w:val="15"/>
                      <w:szCs w:val="15"/>
                    </w:rPr>
                    <w:t xml:space="preserve">This informational email is an </w:t>
                  </w:r>
                  <w:proofErr w:type="gramStart"/>
                  <w:r w:rsidRPr="00DA6896">
                    <w:rPr>
                      <w:rFonts w:ascii="Arial" w:eastAsia="Times New Roman" w:hAnsi="Arial" w:cs="Arial"/>
                      <w:color w:val="333333"/>
                      <w:sz w:val="15"/>
                      <w:szCs w:val="15"/>
                    </w:rPr>
                    <w:t>advertisement</w:t>
                  </w:r>
                  <w:proofErr w:type="gramEnd"/>
                  <w:r w:rsidRPr="00DA6896">
                    <w:rPr>
                      <w:rFonts w:ascii="Arial" w:eastAsia="Times New Roman" w:hAnsi="Arial" w:cs="Arial"/>
                      <w:color w:val="333333"/>
                      <w:sz w:val="15"/>
                      <w:szCs w:val="15"/>
                    </w:rPr>
                    <w:t xml:space="preserve"> and you may opt out of receiving future emails. To opt out, please click the "Unsubscribe" link below.</w:t>
                  </w:r>
                </w:p>
              </w:tc>
            </w:tr>
            <w:tr w:rsidR="00DA6896" w:rsidRPr="00DA6896" w14:paraId="60DEA865" w14:textId="77777777">
              <w:tc>
                <w:tcPr>
                  <w:tcW w:w="0" w:type="auto"/>
                  <w:tcBorders>
                    <w:top w:val="nil"/>
                    <w:left w:val="nil"/>
                    <w:bottom w:val="nil"/>
                    <w:right w:val="nil"/>
                  </w:tcBorders>
                  <w:shd w:val="clear" w:color="auto" w:fill="auto"/>
                  <w:tcMar>
                    <w:top w:w="0" w:type="dxa"/>
                    <w:left w:w="0" w:type="dxa"/>
                    <w:bottom w:w="240" w:type="dxa"/>
                    <w:right w:w="0" w:type="dxa"/>
                  </w:tcMar>
                  <w:vAlign w:val="center"/>
                  <w:hideMark/>
                </w:tcPr>
                <w:p w14:paraId="5A288E0E" w14:textId="77777777" w:rsidR="00DA6896" w:rsidRPr="00DA6896" w:rsidRDefault="00DA6896" w:rsidP="00DA6896">
                  <w:pPr>
                    <w:spacing w:before="100" w:beforeAutospacing="1" w:after="100" w:afterAutospacing="1" w:line="195" w:lineRule="atLeast"/>
                    <w:rPr>
                      <w:rFonts w:ascii="Arial" w:eastAsia="Times New Roman" w:hAnsi="Arial" w:cs="Arial"/>
                      <w:color w:val="000000"/>
                      <w:sz w:val="15"/>
                      <w:szCs w:val="15"/>
                    </w:rPr>
                  </w:pPr>
                  <w:r w:rsidRPr="00DA6896">
                    <w:rPr>
                      <w:rFonts w:ascii="Arial" w:eastAsia="Times New Roman" w:hAnsi="Arial" w:cs="Arial"/>
                      <w:color w:val="000000"/>
                      <w:sz w:val="15"/>
                      <w:szCs w:val="15"/>
                    </w:rPr>
                    <w:t>This message was sent by</w:t>
                  </w:r>
                  <w:r w:rsidRPr="00DA6896">
                    <w:rPr>
                      <w:rFonts w:ascii="Arial" w:eastAsia="Times New Roman" w:hAnsi="Arial" w:cs="Arial"/>
                      <w:color w:val="000000"/>
                      <w:sz w:val="15"/>
                      <w:szCs w:val="15"/>
                    </w:rPr>
                    <w:br/>
                    <w:t>Horizon Financial IFS</w:t>
                  </w:r>
                  <w:r w:rsidRPr="00DA6896">
                    <w:rPr>
                      <w:rFonts w:ascii="Arial" w:eastAsia="Times New Roman" w:hAnsi="Arial" w:cs="Arial"/>
                      <w:color w:val="000000"/>
                      <w:sz w:val="15"/>
                      <w:szCs w:val="15"/>
                    </w:rPr>
                    <w:br/>
                    <w:t>(251) 625-2220</w:t>
                  </w:r>
                  <w:r w:rsidRPr="00DA6896">
                    <w:rPr>
                      <w:rFonts w:ascii="Arial" w:eastAsia="Times New Roman" w:hAnsi="Arial" w:cs="Arial"/>
                      <w:color w:val="000000"/>
                      <w:sz w:val="15"/>
                      <w:szCs w:val="15"/>
                    </w:rPr>
                    <w:br/>
                  </w:r>
                  <w:r w:rsidRPr="00DA6896">
                    <w:rPr>
                      <w:rFonts w:ascii="Arial" w:eastAsia="Times New Roman" w:hAnsi="Arial" w:cs="Arial"/>
                      <w:color w:val="000000"/>
                      <w:sz w:val="15"/>
                      <w:szCs w:val="15"/>
                    </w:rPr>
                    <w:lastRenderedPageBreak/>
                    <w:t>1 Timber Way Suite 100</w:t>
                  </w:r>
                  <w:r w:rsidRPr="00DA6896">
                    <w:rPr>
                      <w:rFonts w:ascii="Arial" w:eastAsia="Times New Roman" w:hAnsi="Arial" w:cs="Arial"/>
                      <w:color w:val="000000"/>
                      <w:sz w:val="15"/>
                      <w:szCs w:val="15"/>
                    </w:rPr>
                    <w:br/>
                    <w:t>Daphne, AL 36526</w:t>
                  </w:r>
                </w:p>
              </w:tc>
            </w:tr>
            <w:tr w:rsidR="00DA6896" w:rsidRPr="00DA6896" w14:paraId="64FDC208" w14:textId="77777777">
              <w:tc>
                <w:tcPr>
                  <w:tcW w:w="0" w:type="auto"/>
                  <w:tcBorders>
                    <w:top w:val="nil"/>
                    <w:left w:val="nil"/>
                    <w:bottom w:val="nil"/>
                    <w:right w:val="nil"/>
                  </w:tcBorders>
                  <w:shd w:val="clear" w:color="auto" w:fill="auto"/>
                  <w:vAlign w:val="center"/>
                  <w:hideMark/>
                </w:tcPr>
                <w:p w14:paraId="58EF0774" w14:textId="77777777" w:rsidR="00DA6896" w:rsidRPr="00DA6896" w:rsidRDefault="00DA6896" w:rsidP="00DA6896">
                  <w:pPr>
                    <w:spacing w:before="100" w:beforeAutospacing="1" w:after="100" w:afterAutospacing="1" w:line="195" w:lineRule="atLeast"/>
                    <w:rPr>
                      <w:rFonts w:ascii="Arial" w:eastAsia="Times New Roman" w:hAnsi="Arial" w:cs="Arial"/>
                      <w:color w:val="209BB9"/>
                      <w:sz w:val="15"/>
                      <w:szCs w:val="15"/>
                    </w:rPr>
                  </w:pPr>
                  <w:hyperlink r:id="rId20" w:tgtFrame="_blank" w:history="1">
                    <w:r w:rsidRPr="00DA6896">
                      <w:rPr>
                        <w:rFonts w:ascii="Arial" w:eastAsia="Times New Roman" w:hAnsi="Arial" w:cs="Arial"/>
                        <w:color w:val="209BB9"/>
                        <w:sz w:val="15"/>
                        <w:szCs w:val="15"/>
                      </w:rPr>
                      <w:t>Unsubscribe</w:t>
                    </w:r>
                  </w:hyperlink>
                </w:p>
              </w:tc>
            </w:tr>
          </w:tbl>
          <w:p w14:paraId="7609A563" w14:textId="77777777" w:rsidR="00DA6896" w:rsidRPr="00DA6896" w:rsidRDefault="00DA6896" w:rsidP="00DA6896">
            <w:pPr>
              <w:spacing w:before="100" w:beforeAutospacing="1" w:after="100" w:afterAutospacing="1" w:line="240" w:lineRule="auto"/>
              <w:rPr>
                <w:rFonts w:ascii="Times New Roman" w:eastAsia="Times New Roman" w:hAnsi="Times New Roman" w:cs="Times New Roman"/>
                <w:b/>
                <w:bCs/>
                <w:sz w:val="24"/>
                <w:szCs w:val="24"/>
              </w:rPr>
            </w:pPr>
          </w:p>
        </w:tc>
      </w:tr>
    </w:tbl>
    <w:p w14:paraId="01152AFF" w14:textId="77777777" w:rsidR="00DA6896" w:rsidRDefault="00DA6896"/>
    <w:sectPr w:rsidR="00DA6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896"/>
    <w:rsid w:val="00DA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4962"/>
  <w15:chartTrackingRefBased/>
  <w15:docId w15:val="{C3758269-C6B8-4B45-A82A-BB9DD84D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41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www.finra.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hyperlink" Target="https://www.facebook.com/horizonfinancialifs" TargetMode="External"/><Relationship Id="rId20" Type="http://schemas.openxmlformats.org/officeDocument/2006/relationships/hyperlink" Target="https://www.horizonfinancialifs.com/unsubscribe/%25recipient.ContactIdentifier%25"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s://www.horizonfinancialifs.com/" TargetMode="External"/><Relationship Id="rId10" Type="http://schemas.openxmlformats.org/officeDocument/2006/relationships/image" Target="media/image6.jpeg"/><Relationship Id="rId19" Type="http://schemas.openxmlformats.org/officeDocument/2006/relationships/hyperlink" Target="https://www.sipc.org/" TargetMode="External"/><Relationship Id="rId4" Type="http://schemas.openxmlformats.org/officeDocument/2006/relationships/hyperlink" Target="https://www.horizonfinancialifs.com/" TargetMode="External"/><Relationship Id="rId9" Type="http://schemas.openxmlformats.org/officeDocument/2006/relationships/image" Target="media/image5.jpeg"/><Relationship Id="rId14" Type="http://schemas.openxmlformats.org/officeDocument/2006/relationships/hyperlink" Target="mailto:rhardy@sagepointadviso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1600</Words>
  <Characters>9120</Characters>
  <Application>Microsoft Office Word</Application>
  <DocSecurity>0</DocSecurity>
  <Lines>76</Lines>
  <Paragraphs>21</Paragraphs>
  <ScaleCrop>false</ScaleCrop>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 Church</dc:creator>
  <cp:keywords/>
  <dc:description/>
  <cp:lastModifiedBy>Life Church</cp:lastModifiedBy>
  <cp:revision>1</cp:revision>
  <dcterms:created xsi:type="dcterms:W3CDTF">2021-07-07T19:04:00Z</dcterms:created>
  <dcterms:modified xsi:type="dcterms:W3CDTF">2021-07-07T19:08:00Z</dcterms:modified>
</cp:coreProperties>
</file>