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E23" w:rsidRPr="00AC7561" w:rsidRDefault="00321E23" w:rsidP="00321E23">
      <w:pPr>
        <w:shd w:val="clear" w:color="auto" w:fill="FFFFFF"/>
        <w:spacing w:before="100" w:beforeAutospacing="1" w:after="100" w:afterAutospacing="1"/>
        <w:jc w:val="center"/>
        <w:rPr>
          <w:rFonts w:asciiTheme="minorHAnsi" w:hAnsiTheme="minorHAnsi" w:cstheme="minorHAnsi"/>
          <w:color w:val="000000"/>
          <w:sz w:val="22"/>
          <w:szCs w:val="22"/>
        </w:rPr>
      </w:pPr>
      <w:r w:rsidRPr="00AC7561">
        <w:rPr>
          <w:rFonts w:asciiTheme="minorHAnsi" w:hAnsiTheme="minorHAnsi" w:cstheme="minorHAnsi"/>
          <w:b/>
          <w:bCs/>
          <w:color w:val="000000"/>
          <w:sz w:val="22"/>
          <w:szCs w:val="22"/>
        </w:rPr>
        <w:t>New tax legislation requires planning</w:t>
      </w:r>
    </w:p>
    <w:p w:rsidR="00321E23" w:rsidRPr="00AC7561" w:rsidRDefault="00321E23" w:rsidP="00321E23">
      <w:pPr>
        <w:shd w:val="clear" w:color="auto" w:fill="FFFFFF"/>
        <w:spacing w:before="100" w:beforeAutospacing="1" w:after="100" w:afterAutospacing="1"/>
        <w:rPr>
          <w:rFonts w:asciiTheme="minorHAnsi" w:hAnsiTheme="minorHAnsi" w:cstheme="minorHAnsi"/>
          <w:color w:val="000000"/>
          <w:sz w:val="22"/>
          <w:szCs w:val="22"/>
        </w:rPr>
      </w:pPr>
      <w:r w:rsidRPr="00AC7561">
        <w:rPr>
          <w:rFonts w:asciiTheme="minorHAnsi" w:hAnsiTheme="minorHAnsi" w:cstheme="minorHAnsi"/>
          <w:sz w:val="22"/>
          <w:szCs w:val="22"/>
        </w:rPr>
        <w:t xml:space="preserve">Though many </w:t>
      </w:r>
      <w:r w:rsidR="0053427B" w:rsidRPr="00AC7561">
        <w:rPr>
          <w:rFonts w:asciiTheme="minorHAnsi" w:hAnsiTheme="minorHAnsi" w:cstheme="minorHAnsi"/>
          <w:sz w:val="22"/>
          <w:szCs w:val="22"/>
        </w:rPr>
        <w:t>dentists</w:t>
      </w:r>
      <w:r w:rsidRPr="00AC7561">
        <w:rPr>
          <w:rFonts w:asciiTheme="minorHAnsi" w:hAnsiTheme="minorHAnsi" w:cstheme="minorHAnsi"/>
          <w:sz w:val="22"/>
          <w:szCs w:val="22"/>
        </w:rPr>
        <w:t xml:space="preserve"> appreciate the income tax cuts in the Tax Cuts and Jobs Act (TCJA) passed late last year, others are skeptical that it will simplify their tax planning. With every simplification, there are many more tax issues that still require planning to realize extra tax benefits. Here are seven of them:</w:t>
      </w:r>
    </w:p>
    <w:p w:rsidR="00321E23" w:rsidRPr="00AC7561" w:rsidRDefault="00321E23" w:rsidP="00791D39">
      <w:pPr>
        <w:widowControl w:val="0"/>
        <w:numPr>
          <w:ilvl w:val="0"/>
          <w:numId w:val="17"/>
        </w:numPr>
        <w:autoSpaceDE w:val="0"/>
        <w:autoSpaceDN w:val="0"/>
        <w:adjustRightInd w:val="0"/>
        <w:ind w:left="662" w:hanging="302"/>
        <w:rPr>
          <w:rFonts w:asciiTheme="minorHAnsi" w:hAnsiTheme="minorHAnsi" w:cstheme="minorHAnsi"/>
          <w:sz w:val="22"/>
          <w:szCs w:val="22"/>
        </w:rPr>
      </w:pPr>
      <w:r w:rsidRPr="00AC7561">
        <w:rPr>
          <w:rFonts w:asciiTheme="minorHAnsi" w:hAnsiTheme="minorHAnsi" w:cstheme="minorHAnsi"/>
          <w:b/>
          <w:bCs/>
          <w:sz w:val="22"/>
          <w:szCs w:val="22"/>
        </w:rPr>
        <w:t>Planning for all the moving parts</w:t>
      </w:r>
      <w:r w:rsidRPr="00AC7561">
        <w:rPr>
          <w:rFonts w:asciiTheme="minorHAnsi" w:hAnsiTheme="minorHAnsi" w:cstheme="minorHAnsi"/>
          <w:sz w:val="22"/>
          <w:szCs w:val="22"/>
        </w:rPr>
        <w:br/>
        <w:t xml:space="preserve">In many ways, the TCJA gives with one hand and takes away with the other. The </w:t>
      </w:r>
      <w:r w:rsidR="008B4B92" w:rsidRPr="00AC7561">
        <w:rPr>
          <w:rFonts w:asciiTheme="minorHAnsi" w:hAnsiTheme="minorHAnsi" w:cstheme="minorHAnsi"/>
          <w:sz w:val="22"/>
          <w:szCs w:val="22"/>
        </w:rPr>
        <w:t>“</w:t>
      </w:r>
      <w:r w:rsidRPr="00AC7561">
        <w:rPr>
          <w:rFonts w:asciiTheme="minorHAnsi" w:hAnsiTheme="minorHAnsi" w:cstheme="minorHAnsi"/>
          <w:sz w:val="22"/>
          <w:szCs w:val="22"/>
        </w:rPr>
        <w:t>giving hand</w:t>
      </w:r>
      <w:r w:rsidR="008B4B92" w:rsidRPr="00AC7561">
        <w:rPr>
          <w:rFonts w:asciiTheme="minorHAnsi" w:hAnsiTheme="minorHAnsi" w:cstheme="minorHAnsi"/>
          <w:sz w:val="22"/>
          <w:szCs w:val="22"/>
        </w:rPr>
        <w:t>”</w:t>
      </w:r>
      <w:r w:rsidRPr="00AC7561">
        <w:rPr>
          <w:rFonts w:asciiTheme="minorHAnsi" w:hAnsiTheme="minorHAnsi" w:cstheme="minorHAnsi"/>
          <w:sz w:val="22"/>
          <w:szCs w:val="22"/>
        </w:rPr>
        <w:t xml:space="preserve"> provides a lower income tax rate structure and a higher standard deduction, while the </w:t>
      </w:r>
      <w:r w:rsidR="008B4B92" w:rsidRPr="00AC7561">
        <w:rPr>
          <w:rFonts w:asciiTheme="minorHAnsi" w:hAnsiTheme="minorHAnsi" w:cstheme="minorHAnsi"/>
          <w:sz w:val="22"/>
          <w:szCs w:val="22"/>
        </w:rPr>
        <w:t>“</w:t>
      </w:r>
      <w:r w:rsidRPr="00AC7561">
        <w:rPr>
          <w:rFonts w:asciiTheme="minorHAnsi" w:hAnsiTheme="minorHAnsi" w:cstheme="minorHAnsi"/>
          <w:sz w:val="22"/>
          <w:szCs w:val="22"/>
        </w:rPr>
        <w:t>taking hand</w:t>
      </w:r>
      <w:r w:rsidR="008B4B92" w:rsidRPr="00AC7561">
        <w:rPr>
          <w:rFonts w:asciiTheme="minorHAnsi" w:hAnsiTheme="minorHAnsi" w:cstheme="minorHAnsi"/>
          <w:sz w:val="22"/>
          <w:szCs w:val="22"/>
        </w:rPr>
        <w:t>”</w:t>
      </w:r>
      <w:r w:rsidRPr="00AC7561">
        <w:rPr>
          <w:rFonts w:asciiTheme="minorHAnsi" w:hAnsiTheme="minorHAnsi" w:cstheme="minorHAnsi"/>
          <w:sz w:val="22"/>
          <w:szCs w:val="22"/>
        </w:rPr>
        <w:t xml:space="preserve"> gets rid of personal exemptions, suspends many itemized deductions and limits deductions that remain. There are many variables that determine whether you come out ahead or behind and a tax planning session can help you figure it all out.</w:t>
      </w:r>
      <w:r w:rsidRPr="00AC7561">
        <w:rPr>
          <w:rFonts w:asciiTheme="minorHAnsi" w:hAnsiTheme="minorHAnsi" w:cstheme="minorHAnsi"/>
          <w:sz w:val="22"/>
          <w:szCs w:val="22"/>
        </w:rPr>
        <w:br/>
      </w:r>
    </w:p>
    <w:p w:rsidR="00321E23" w:rsidRPr="00AC7561" w:rsidRDefault="00321E23" w:rsidP="00791D39">
      <w:pPr>
        <w:widowControl w:val="0"/>
        <w:numPr>
          <w:ilvl w:val="0"/>
          <w:numId w:val="17"/>
        </w:numPr>
        <w:autoSpaceDE w:val="0"/>
        <w:autoSpaceDN w:val="0"/>
        <w:adjustRightInd w:val="0"/>
        <w:ind w:left="662" w:hanging="302"/>
        <w:rPr>
          <w:rFonts w:asciiTheme="minorHAnsi" w:hAnsiTheme="minorHAnsi" w:cstheme="minorHAnsi"/>
          <w:sz w:val="22"/>
          <w:szCs w:val="22"/>
        </w:rPr>
      </w:pPr>
      <w:r w:rsidRPr="00AC7561">
        <w:rPr>
          <w:rFonts w:asciiTheme="minorHAnsi" w:hAnsiTheme="minorHAnsi" w:cstheme="minorHAnsi"/>
          <w:b/>
          <w:bCs/>
          <w:sz w:val="22"/>
          <w:szCs w:val="22"/>
        </w:rPr>
        <w:t>Getting creative and flexible about itemizing</w:t>
      </w:r>
      <w:r w:rsidRPr="00AC7561">
        <w:rPr>
          <w:rFonts w:asciiTheme="minorHAnsi" w:hAnsiTheme="minorHAnsi" w:cstheme="minorHAnsi"/>
          <w:sz w:val="22"/>
          <w:szCs w:val="22"/>
        </w:rPr>
        <w:br/>
        <w:t>Many itemized deductions remain the same, others were eliminated completely and some have new limits. For example, while charitable contributions are still a qualified deduction, there is now a $10,000 combined cap on state, local and property tax deductions. The new constraints mean considering creative solutions to maximize these deductions. One idea is to make better use of the donation of appreciated stock as part of your charitable giving.</w:t>
      </w:r>
      <w:r w:rsidRPr="00AC7561">
        <w:rPr>
          <w:rFonts w:asciiTheme="minorHAnsi" w:hAnsiTheme="minorHAnsi" w:cstheme="minorHAnsi"/>
          <w:sz w:val="22"/>
          <w:szCs w:val="22"/>
        </w:rPr>
        <w:br/>
      </w:r>
    </w:p>
    <w:p w:rsidR="00321E23" w:rsidRPr="00AC7561" w:rsidRDefault="00321E23" w:rsidP="00791D39">
      <w:pPr>
        <w:widowControl w:val="0"/>
        <w:numPr>
          <w:ilvl w:val="0"/>
          <w:numId w:val="17"/>
        </w:numPr>
        <w:autoSpaceDE w:val="0"/>
        <w:autoSpaceDN w:val="0"/>
        <w:adjustRightInd w:val="0"/>
        <w:ind w:left="662" w:hanging="302"/>
        <w:rPr>
          <w:rFonts w:asciiTheme="minorHAnsi" w:hAnsiTheme="minorHAnsi" w:cstheme="minorHAnsi"/>
          <w:sz w:val="22"/>
          <w:szCs w:val="22"/>
        </w:rPr>
      </w:pPr>
      <w:r w:rsidRPr="00AC7561">
        <w:rPr>
          <w:rFonts w:asciiTheme="minorHAnsi" w:hAnsiTheme="minorHAnsi" w:cstheme="minorHAnsi"/>
          <w:b/>
          <w:bCs/>
          <w:sz w:val="22"/>
          <w:szCs w:val="22"/>
        </w:rPr>
        <w:t xml:space="preserve">Dealing with new complexity in </w:t>
      </w:r>
      <w:r w:rsidR="0053427B" w:rsidRPr="00AC7561">
        <w:rPr>
          <w:rFonts w:asciiTheme="minorHAnsi" w:hAnsiTheme="minorHAnsi" w:cstheme="minorHAnsi"/>
          <w:b/>
          <w:bCs/>
          <w:sz w:val="22"/>
          <w:szCs w:val="22"/>
        </w:rPr>
        <w:t>dental practice</w:t>
      </w:r>
      <w:r w:rsidRPr="00AC7561">
        <w:rPr>
          <w:rFonts w:asciiTheme="minorHAnsi" w:hAnsiTheme="minorHAnsi" w:cstheme="minorHAnsi"/>
          <w:b/>
          <w:bCs/>
          <w:sz w:val="22"/>
          <w:szCs w:val="22"/>
        </w:rPr>
        <w:t xml:space="preserve"> ownership</w:t>
      </w:r>
      <w:r w:rsidRPr="00AC7561">
        <w:rPr>
          <w:rFonts w:asciiTheme="minorHAnsi" w:hAnsiTheme="minorHAnsi" w:cstheme="minorHAnsi"/>
          <w:sz w:val="22"/>
          <w:szCs w:val="22"/>
        </w:rPr>
        <w:br/>
      </w:r>
      <w:r w:rsidR="0053427B" w:rsidRPr="00AC7561">
        <w:rPr>
          <w:rFonts w:asciiTheme="minorHAnsi" w:hAnsiTheme="minorHAnsi" w:cstheme="minorHAnsi"/>
          <w:sz w:val="22"/>
          <w:szCs w:val="22"/>
        </w:rPr>
        <w:t>Dental practice</w:t>
      </w:r>
      <w:r w:rsidRPr="00AC7561">
        <w:rPr>
          <w:rFonts w:asciiTheme="minorHAnsi" w:hAnsiTheme="minorHAnsi" w:cstheme="minorHAnsi"/>
          <w:sz w:val="22"/>
          <w:szCs w:val="22"/>
        </w:rPr>
        <w:t xml:space="preserve"> owners and sole proprietors will have to do a complicated calculation to see how much of the 20 percent reduction to pass-through qualified business income they can take. It depends on your expenditures on capital and wages. This calculation can get complicated very quickly.</w:t>
      </w:r>
      <w:r w:rsidRPr="00AC7561">
        <w:rPr>
          <w:rFonts w:asciiTheme="minorHAnsi" w:hAnsiTheme="minorHAnsi" w:cstheme="minorHAnsi"/>
          <w:sz w:val="22"/>
          <w:szCs w:val="22"/>
        </w:rPr>
        <w:br/>
      </w:r>
    </w:p>
    <w:p w:rsidR="00321E23" w:rsidRPr="00AC7561" w:rsidRDefault="00321E23" w:rsidP="00791D39">
      <w:pPr>
        <w:widowControl w:val="0"/>
        <w:numPr>
          <w:ilvl w:val="0"/>
          <w:numId w:val="17"/>
        </w:numPr>
        <w:autoSpaceDE w:val="0"/>
        <w:autoSpaceDN w:val="0"/>
        <w:adjustRightInd w:val="0"/>
        <w:ind w:left="662" w:hanging="302"/>
        <w:rPr>
          <w:rFonts w:asciiTheme="minorHAnsi" w:hAnsiTheme="minorHAnsi" w:cstheme="minorHAnsi"/>
          <w:sz w:val="22"/>
          <w:szCs w:val="22"/>
        </w:rPr>
      </w:pPr>
      <w:r w:rsidRPr="00AC7561">
        <w:rPr>
          <w:rFonts w:asciiTheme="minorHAnsi" w:eastAsia="Times New Roman" w:hAnsiTheme="minorHAnsi" w:cstheme="minorHAnsi"/>
          <w:b/>
          <w:bCs/>
          <w:color w:val="000000"/>
          <w:sz w:val="22"/>
          <w:szCs w:val="22"/>
        </w:rPr>
        <w:t xml:space="preserve">Understanding the newly changed </w:t>
      </w:r>
      <w:r w:rsidR="008B4B92" w:rsidRPr="00AC7561">
        <w:rPr>
          <w:rFonts w:asciiTheme="minorHAnsi" w:eastAsia="Times New Roman" w:hAnsiTheme="minorHAnsi" w:cstheme="minorHAnsi"/>
          <w:b/>
          <w:bCs/>
          <w:color w:val="000000"/>
          <w:sz w:val="22"/>
          <w:szCs w:val="22"/>
        </w:rPr>
        <w:t>“</w:t>
      </w:r>
      <w:r w:rsidRPr="00AC7561">
        <w:rPr>
          <w:rFonts w:asciiTheme="minorHAnsi" w:eastAsia="Times New Roman" w:hAnsiTheme="minorHAnsi" w:cstheme="minorHAnsi"/>
          <w:b/>
          <w:bCs/>
          <w:color w:val="000000"/>
          <w:sz w:val="22"/>
          <w:szCs w:val="22"/>
        </w:rPr>
        <w:t>marriage penalty</w:t>
      </w:r>
      <w:r w:rsidR="008B4B92" w:rsidRPr="00AC7561">
        <w:rPr>
          <w:rFonts w:asciiTheme="minorHAnsi" w:eastAsia="Times New Roman" w:hAnsiTheme="minorHAnsi" w:cstheme="minorHAnsi"/>
          <w:b/>
          <w:bCs/>
          <w:color w:val="000000"/>
          <w:sz w:val="22"/>
          <w:szCs w:val="22"/>
        </w:rPr>
        <w:t>”</w:t>
      </w:r>
      <w:r w:rsidRPr="00AC7561">
        <w:rPr>
          <w:rFonts w:asciiTheme="minorHAnsi" w:eastAsia="Times New Roman" w:hAnsiTheme="minorHAnsi" w:cstheme="minorHAnsi"/>
          <w:b/>
          <w:bCs/>
          <w:color w:val="000000"/>
          <w:sz w:val="22"/>
          <w:szCs w:val="22"/>
        </w:rPr>
        <w:br/>
      </w:r>
      <w:r w:rsidRPr="00AC7561">
        <w:rPr>
          <w:rFonts w:asciiTheme="minorHAnsi" w:hAnsiTheme="minorHAnsi" w:cstheme="minorHAnsi"/>
          <w:sz w:val="22"/>
          <w:szCs w:val="22"/>
        </w:rPr>
        <w:t>The disadvantage for married couples within the tax code is still very much in place, but it is changing. For instance, the marriage penalty that had given unfavorable income tax rates to married joint filers when compared to single individuals goes away in the TCJA for most income levels. But it rears its head again in the $10,000 combined state, local and property tax limitation, which does not double for married joint filers. This is something you</w:t>
      </w:r>
      <w:r w:rsidR="008B4B92" w:rsidRPr="00AC7561">
        <w:rPr>
          <w:rFonts w:asciiTheme="minorHAnsi" w:hAnsiTheme="minorHAnsi" w:cstheme="minorHAnsi"/>
          <w:sz w:val="22"/>
          <w:szCs w:val="22"/>
        </w:rPr>
        <w:t>’</w:t>
      </w:r>
      <w:r w:rsidRPr="00AC7561">
        <w:rPr>
          <w:rFonts w:asciiTheme="minorHAnsi" w:hAnsiTheme="minorHAnsi" w:cstheme="minorHAnsi"/>
          <w:sz w:val="22"/>
          <w:szCs w:val="22"/>
        </w:rPr>
        <w:t>ll have to plan around.</w:t>
      </w:r>
      <w:r w:rsidRPr="00AC7561">
        <w:rPr>
          <w:rFonts w:asciiTheme="minorHAnsi" w:hAnsiTheme="minorHAnsi" w:cstheme="minorHAnsi"/>
          <w:sz w:val="22"/>
          <w:szCs w:val="22"/>
        </w:rPr>
        <w:br/>
      </w:r>
    </w:p>
    <w:p w:rsidR="00321E23" w:rsidRPr="00AC7561" w:rsidRDefault="00321E23" w:rsidP="00791D39">
      <w:pPr>
        <w:widowControl w:val="0"/>
        <w:numPr>
          <w:ilvl w:val="0"/>
          <w:numId w:val="17"/>
        </w:numPr>
        <w:autoSpaceDE w:val="0"/>
        <w:autoSpaceDN w:val="0"/>
        <w:adjustRightInd w:val="0"/>
        <w:ind w:left="662" w:hanging="302"/>
        <w:rPr>
          <w:rFonts w:asciiTheme="minorHAnsi" w:hAnsiTheme="minorHAnsi" w:cstheme="minorHAnsi"/>
          <w:sz w:val="22"/>
          <w:szCs w:val="22"/>
        </w:rPr>
      </w:pPr>
      <w:r w:rsidRPr="00AC7561">
        <w:rPr>
          <w:rFonts w:asciiTheme="minorHAnsi" w:eastAsia="Times New Roman" w:hAnsiTheme="minorHAnsi" w:cstheme="minorHAnsi"/>
          <w:b/>
          <w:bCs/>
          <w:color w:val="000000"/>
          <w:sz w:val="22"/>
          <w:szCs w:val="22"/>
        </w:rPr>
        <w:t>Getting credit for your kids</w:t>
      </w:r>
      <w:r w:rsidRPr="00AC7561">
        <w:rPr>
          <w:rFonts w:asciiTheme="minorHAnsi" w:eastAsia="Times New Roman" w:hAnsiTheme="minorHAnsi" w:cstheme="minorHAnsi"/>
          <w:color w:val="000000"/>
          <w:sz w:val="22"/>
          <w:szCs w:val="22"/>
        </w:rPr>
        <w:br/>
      </w:r>
      <w:r w:rsidRPr="00AC7561">
        <w:rPr>
          <w:rFonts w:asciiTheme="minorHAnsi" w:hAnsiTheme="minorHAnsi" w:cstheme="minorHAnsi"/>
          <w:sz w:val="22"/>
          <w:szCs w:val="22"/>
        </w:rPr>
        <w:t>There are many new tax benefits for parents in the TCJA. The child tax credit doubles to $2,000 and the phaseout threshold jumps to $400,000 from $110,000 previously for joint filers, making it available to more taxpayers. Dependents ineligible for the child tax credit can qualify for a new $500 per-person family tax credit. On top of that, distributions from 529 education savings plans can now be used to pay private school tuition for K-12 students.</w:t>
      </w:r>
      <w:r w:rsidRPr="00AC7561">
        <w:rPr>
          <w:rFonts w:asciiTheme="minorHAnsi" w:hAnsiTheme="minorHAnsi" w:cstheme="minorHAnsi"/>
          <w:sz w:val="22"/>
          <w:szCs w:val="22"/>
        </w:rPr>
        <w:br/>
      </w:r>
    </w:p>
    <w:p w:rsidR="00791D39" w:rsidRPr="00AC7561" w:rsidRDefault="00321E23" w:rsidP="00791D39">
      <w:pPr>
        <w:widowControl w:val="0"/>
        <w:numPr>
          <w:ilvl w:val="0"/>
          <w:numId w:val="17"/>
        </w:numPr>
        <w:autoSpaceDE w:val="0"/>
        <w:autoSpaceDN w:val="0"/>
        <w:adjustRightInd w:val="0"/>
        <w:ind w:left="662" w:hanging="302"/>
        <w:rPr>
          <w:rFonts w:asciiTheme="minorHAnsi" w:hAnsiTheme="minorHAnsi" w:cstheme="minorHAnsi"/>
          <w:sz w:val="22"/>
          <w:szCs w:val="22"/>
        </w:rPr>
      </w:pPr>
      <w:r w:rsidRPr="00AC7561">
        <w:rPr>
          <w:rFonts w:asciiTheme="minorHAnsi" w:eastAsia="Times New Roman" w:hAnsiTheme="minorHAnsi" w:cstheme="minorHAnsi"/>
          <w:b/>
          <w:bCs/>
          <w:color w:val="000000"/>
          <w:sz w:val="22"/>
          <w:szCs w:val="22"/>
        </w:rPr>
        <w:t>Adjusting to disappearing tax breaks</w:t>
      </w:r>
      <w:r w:rsidRPr="00AC7561">
        <w:rPr>
          <w:rFonts w:asciiTheme="minorHAnsi" w:eastAsia="Times New Roman" w:hAnsiTheme="minorHAnsi" w:cstheme="minorHAnsi"/>
          <w:b/>
          <w:bCs/>
          <w:color w:val="000000"/>
          <w:sz w:val="22"/>
          <w:szCs w:val="22"/>
        </w:rPr>
        <w:br/>
      </w:r>
      <w:r w:rsidRPr="00AC7561">
        <w:rPr>
          <w:rFonts w:asciiTheme="minorHAnsi" w:hAnsiTheme="minorHAnsi" w:cstheme="minorHAnsi"/>
          <w:sz w:val="22"/>
          <w:szCs w:val="22"/>
        </w:rPr>
        <w:t>If your tax planning was built on any of the following expiring tax provisions, you</w:t>
      </w:r>
      <w:r w:rsidR="008B4B92" w:rsidRPr="00AC7561">
        <w:rPr>
          <w:rFonts w:asciiTheme="minorHAnsi" w:hAnsiTheme="minorHAnsi" w:cstheme="minorHAnsi"/>
          <w:sz w:val="22"/>
          <w:szCs w:val="22"/>
        </w:rPr>
        <w:t>’</w:t>
      </w:r>
      <w:r w:rsidRPr="00AC7561">
        <w:rPr>
          <w:rFonts w:asciiTheme="minorHAnsi" w:hAnsiTheme="minorHAnsi" w:cstheme="minorHAnsi"/>
          <w:sz w:val="22"/>
          <w:szCs w:val="22"/>
        </w:rPr>
        <w:t>ll have to change your plan: personal exe</w:t>
      </w:r>
      <w:bookmarkStart w:id="0" w:name="_GoBack"/>
      <w:bookmarkEnd w:id="0"/>
      <w:r w:rsidRPr="00AC7561">
        <w:rPr>
          <w:rFonts w:asciiTheme="minorHAnsi" w:hAnsiTheme="minorHAnsi" w:cstheme="minorHAnsi"/>
          <w:sz w:val="22"/>
          <w:szCs w:val="22"/>
        </w:rPr>
        <w:t>mptions; miscellaneous itemized deductions; home equity interest; alimony deductions (expiring in 2019); the additional child tax credit; theft and casualty losses; and the domestic produc</w:t>
      </w:r>
      <w:r w:rsidR="00791D39" w:rsidRPr="00AC7561">
        <w:rPr>
          <w:rFonts w:asciiTheme="minorHAnsi" w:hAnsiTheme="minorHAnsi" w:cstheme="minorHAnsi"/>
          <w:sz w:val="22"/>
          <w:szCs w:val="22"/>
        </w:rPr>
        <w:t>tion activity deduction (DPAD).</w:t>
      </w:r>
    </w:p>
    <w:p w:rsidR="00791D39" w:rsidRPr="00AC7561" w:rsidRDefault="00791D39" w:rsidP="00791D39">
      <w:pPr>
        <w:widowControl w:val="0"/>
        <w:autoSpaceDE w:val="0"/>
        <w:autoSpaceDN w:val="0"/>
        <w:adjustRightInd w:val="0"/>
        <w:ind w:left="630"/>
        <w:rPr>
          <w:rFonts w:asciiTheme="minorHAnsi" w:hAnsiTheme="minorHAnsi" w:cstheme="minorHAnsi"/>
          <w:sz w:val="22"/>
          <w:szCs w:val="22"/>
        </w:rPr>
      </w:pPr>
    </w:p>
    <w:p w:rsidR="00321E23" w:rsidRPr="00AC7561" w:rsidRDefault="00321E23" w:rsidP="00791D39">
      <w:pPr>
        <w:widowControl w:val="0"/>
        <w:numPr>
          <w:ilvl w:val="0"/>
          <w:numId w:val="17"/>
        </w:numPr>
        <w:autoSpaceDE w:val="0"/>
        <w:autoSpaceDN w:val="0"/>
        <w:adjustRightInd w:val="0"/>
        <w:ind w:left="662" w:hanging="302"/>
        <w:rPr>
          <w:rFonts w:asciiTheme="minorHAnsi" w:hAnsiTheme="minorHAnsi" w:cstheme="minorHAnsi"/>
          <w:sz w:val="22"/>
          <w:szCs w:val="22"/>
        </w:rPr>
      </w:pPr>
      <w:r w:rsidRPr="00AC7561">
        <w:rPr>
          <w:rFonts w:asciiTheme="minorHAnsi" w:eastAsia="Times New Roman" w:hAnsiTheme="minorHAnsi" w:cstheme="minorHAnsi"/>
          <w:b/>
          <w:bCs/>
          <w:color w:val="000000"/>
          <w:sz w:val="22"/>
          <w:szCs w:val="22"/>
        </w:rPr>
        <w:lastRenderedPageBreak/>
        <w:t>Facing the old complexities</w:t>
      </w:r>
      <w:r w:rsidRPr="00AC7561">
        <w:rPr>
          <w:rFonts w:asciiTheme="minorHAnsi" w:eastAsia="Times New Roman" w:hAnsiTheme="minorHAnsi" w:cstheme="minorHAnsi"/>
          <w:b/>
          <w:bCs/>
          <w:color w:val="000000"/>
          <w:sz w:val="22"/>
          <w:szCs w:val="22"/>
        </w:rPr>
        <w:br/>
      </w:r>
      <w:r w:rsidRPr="00AC7561">
        <w:rPr>
          <w:rFonts w:asciiTheme="minorHAnsi" w:hAnsiTheme="minorHAnsi" w:cstheme="minorHAnsi"/>
          <w:sz w:val="22"/>
          <w:szCs w:val="22"/>
        </w:rPr>
        <w:t>Many areas of the tax code remain largely the same and contain both potential pitfalls and opportunities to find tax savings</w:t>
      </w:r>
      <w:r w:rsidR="00F637B6" w:rsidRPr="00AC7561">
        <w:rPr>
          <w:rFonts w:asciiTheme="minorHAnsi" w:hAnsiTheme="minorHAnsi" w:cstheme="minorHAnsi"/>
          <w:sz w:val="22"/>
          <w:szCs w:val="22"/>
        </w:rPr>
        <w:t xml:space="preserve">. </w:t>
      </w:r>
      <w:r w:rsidRPr="00AC7561">
        <w:rPr>
          <w:rFonts w:asciiTheme="minorHAnsi" w:hAnsiTheme="minorHAnsi" w:cstheme="minorHAnsi"/>
          <w:sz w:val="22"/>
          <w:szCs w:val="22"/>
        </w:rPr>
        <w:t>Managing capita</w:t>
      </w:r>
      <w:r w:rsidR="00C73EA8" w:rsidRPr="00AC7561">
        <w:rPr>
          <w:rFonts w:asciiTheme="minorHAnsi" w:hAnsiTheme="minorHAnsi" w:cstheme="minorHAnsi"/>
          <w:sz w:val="22"/>
          <w:szCs w:val="22"/>
        </w:rPr>
        <w:t>l gains and tax-loss harvesting,</w:t>
      </w:r>
      <w:r w:rsidRPr="00AC7561">
        <w:rPr>
          <w:rFonts w:asciiTheme="minorHAnsi" w:hAnsiTheme="minorHAnsi" w:cstheme="minorHAnsi"/>
          <w:sz w:val="22"/>
          <w:szCs w:val="22"/>
        </w:rPr>
        <w:t xml:space="preserve"> charitable activity deductions and a tax-advantaged retirement strategy are just a few areas where you can unlock extra value with smart planning.</w:t>
      </w:r>
    </w:p>
    <w:p w:rsidR="006751A1" w:rsidRPr="00AC7561" w:rsidRDefault="00321E23" w:rsidP="0053427B">
      <w:pPr>
        <w:shd w:val="clear" w:color="auto" w:fill="FFFFFF"/>
        <w:spacing w:before="100" w:beforeAutospacing="1" w:after="100" w:afterAutospacing="1"/>
        <w:rPr>
          <w:rFonts w:asciiTheme="minorHAnsi" w:hAnsiTheme="minorHAnsi" w:cstheme="minorHAnsi"/>
          <w:color w:val="000000"/>
          <w:sz w:val="22"/>
          <w:szCs w:val="22"/>
        </w:rPr>
      </w:pPr>
      <w:r w:rsidRPr="00AC7561">
        <w:rPr>
          <w:rFonts w:asciiTheme="minorHAnsi" w:hAnsiTheme="minorHAnsi" w:cstheme="minorHAnsi"/>
          <w:sz w:val="22"/>
          <w:szCs w:val="22"/>
        </w:rPr>
        <w:t>The big changes to tax reform this year may be disconcerting at first, but in change there is opportunity. After the dust settles on the 2017 tax season, get ready to take a detailed look at what 2018 tax reform means for you.</w:t>
      </w:r>
    </w:p>
    <w:sectPr w:rsidR="006751A1" w:rsidRPr="00AC7561" w:rsidSect="00924ED6">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A01" w:rsidRDefault="000F4A01" w:rsidP="00BE4C0B">
      <w:r>
        <w:separator/>
      </w:r>
    </w:p>
  </w:endnote>
  <w:endnote w:type="continuationSeparator" w:id="0">
    <w:p w:rsidR="000F4A01" w:rsidRDefault="000F4A01" w:rsidP="00BE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A01" w:rsidRDefault="000F4A01" w:rsidP="00BE4C0B">
      <w:r>
        <w:separator/>
      </w:r>
    </w:p>
  </w:footnote>
  <w:footnote w:type="continuationSeparator" w:id="0">
    <w:p w:rsidR="000F4A01" w:rsidRDefault="000F4A01" w:rsidP="00BE4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5A4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E74B5"/>
    <w:multiLevelType w:val="multilevel"/>
    <w:tmpl w:val="104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C6C0C"/>
    <w:multiLevelType w:val="multilevel"/>
    <w:tmpl w:val="C9C0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064B9"/>
    <w:multiLevelType w:val="multilevel"/>
    <w:tmpl w:val="AB5C8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551DF"/>
    <w:multiLevelType w:val="multilevel"/>
    <w:tmpl w:val="3AC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66347"/>
    <w:multiLevelType w:val="multilevel"/>
    <w:tmpl w:val="D85E4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B3CF8"/>
    <w:multiLevelType w:val="hybridMultilevel"/>
    <w:tmpl w:val="7BC0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41C65"/>
    <w:multiLevelType w:val="multilevel"/>
    <w:tmpl w:val="159E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7EE1435"/>
    <w:multiLevelType w:val="multilevel"/>
    <w:tmpl w:val="B090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551BF"/>
    <w:multiLevelType w:val="multilevel"/>
    <w:tmpl w:val="B7444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724BF"/>
    <w:multiLevelType w:val="multilevel"/>
    <w:tmpl w:val="F7A0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290DDB"/>
    <w:multiLevelType w:val="multilevel"/>
    <w:tmpl w:val="8656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F52C98"/>
    <w:multiLevelType w:val="multilevel"/>
    <w:tmpl w:val="FAD4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3F222A"/>
    <w:multiLevelType w:val="multilevel"/>
    <w:tmpl w:val="DCAC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740855"/>
    <w:multiLevelType w:val="multilevel"/>
    <w:tmpl w:val="9CFC1E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0E60886"/>
    <w:multiLevelType w:val="multilevel"/>
    <w:tmpl w:val="754C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A570B4"/>
    <w:multiLevelType w:val="multilevel"/>
    <w:tmpl w:val="1844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0"/>
  </w:num>
  <w:num w:numId="4">
    <w:abstractNumId w:val="14"/>
  </w:num>
  <w:num w:numId="5">
    <w:abstractNumId w:val="7"/>
  </w:num>
  <w:num w:numId="6">
    <w:abstractNumId w:val="10"/>
  </w:num>
  <w:num w:numId="7">
    <w:abstractNumId w:val="5"/>
  </w:num>
  <w:num w:numId="8">
    <w:abstractNumId w:val="11"/>
  </w:num>
  <w:num w:numId="9">
    <w:abstractNumId w:val="9"/>
  </w:num>
  <w:num w:numId="10">
    <w:abstractNumId w:val="4"/>
  </w:num>
  <w:num w:numId="11">
    <w:abstractNumId w:val="8"/>
  </w:num>
  <w:num w:numId="12">
    <w:abstractNumId w:val="3"/>
  </w:num>
  <w:num w:numId="13">
    <w:abstractNumId w:val="12"/>
  </w:num>
  <w:num w:numId="14">
    <w:abstractNumId w:val="15"/>
  </w:num>
  <w:num w:numId="15">
    <w:abstractNumId w:val="16"/>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62"/>
    <w:rsid w:val="00026341"/>
    <w:rsid w:val="00037162"/>
    <w:rsid w:val="00042F82"/>
    <w:rsid w:val="0005050E"/>
    <w:rsid w:val="000634ED"/>
    <w:rsid w:val="00074354"/>
    <w:rsid w:val="00074CEA"/>
    <w:rsid w:val="000759ED"/>
    <w:rsid w:val="00097F03"/>
    <w:rsid w:val="000B7677"/>
    <w:rsid w:val="000C2A0D"/>
    <w:rsid w:val="000E7397"/>
    <w:rsid w:val="000F4A01"/>
    <w:rsid w:val="00103889"/>
    <w:rsid w:val="00104251"/>
    <w:rsid w:val="001620E0"/>
    <w:rsid w:val="0019422B"/>
    <w:rsid w:val="001A3BE9"/>
    <w:rsid w:val="002006A2"/>
    <w:rsid w:val="00213103"/>
    <w:rsid w:val="002348BE"/>
    <w:rsid w:val="00235D1B"/>
    <w:rsid w:val="002438A2"/>
    <w:rsid w:val="002560AC"/>
    <w:rsid w:val="00267E40"/>
    <w:rsid w:val="002B0CB5"/>
    <w:rsid w:val="002B42D8"/>
    <w:rsid w:val="002E5F46"/>
    <w:rsid w:val="002F6421"/>
    <w:rsid w:val="003024BA"/>
    <w:rsid w:val="00321E23"/>
    <w:rsid w:val="003269C1"/>
    <w:rsid w:val="00341831"/>
    <w:rsid w:val="00357A00"/>
    <w:rsid w:val="00357C8B"/>
    <w:rsid w:val="003C1477"/>
    <w:rsid w:val="003F10B7"/>
    <w:rsid w:val="0041016A"/>
    <w:rsid w:val="0042342C"/>
    <w:rsid w:val="00436D8D"/>
    <w:rsid w:val="00470530"/>
    <w:rsid w:val="00481383"/>
    <w:rsid w:val="004A5654"/>
    <w:rsid w:val="004A6E64"/>
    <w:rsid w:val="004D3409"/>
    <w:rsid w:val="00524031"/>
    <w:rsid w:val="005308E5"/>
    <w:rsid w:val="0053427B"/>
    <w:rsid w:val="0054426E"/>
    <w:rsid w:val="005574B2"/>
    <w:rsid w:val="005650DA"/>
    <w:rsid w:val="00591A2F"/>
    <w:rsid w:val="005C1408"/>
    <w:rsid w:val="00622E14"/>
    <w:rsid w:val="00630177"/>
    <w:rsid w:val="00637F20"/>
    <w:rsid w:val="006751A1"/>
    <w:rsid w:val="006A66C0"/>
    <w:rsid w:val="006C54C2"/>
    <w:rsid w:val="006E7419"/>
    <w:rsid w:val="006F4A16"/>
    <w:rsid w:val="007268A5"/>
    <w:rsid w:val="0072707E"/>
    <w:rsid w:val="0078649E"/>
    <w:rsid w:val="0079117B"/>
    <w:rsid w:val="00791D39"/>
    <w:rsid w:val="0079287B"/>
    <w:rsid w:val="00796356"/>
    <w:rsid w:val="007D5A70"/>
    <w:rsid w:val="007F34D7"/>
    <w:rsid w:val="007F37F7"/>
    <w:rsid w:val="00830C16"/>
    <w:rsid w:val="00834242"/>
    <w:rsid w:val="008825A7"/>
    <w:rsid w:val="008A3C8E"/>
    <w:rsid w:val="008B4B92"/>
    <w:rsid w:val="008C3104"/>
    <w:rsid w:val="008C50C8"/>
    <w:rsid w:val="008E66CE"/>
    <w:rsid w:val="008F646B"/>
    <w:rsid w:val="009074C1"/>
    <w:rsid w:val="0091310C"/>
    <w:rsid w:val="00913886"/>
    <w:rsid w:val="00917E0D"/>
    <w:rsid w:val="00924ED6"/>
    <w:rsid w:val="0094061A"/>
    <w:rsid w:val="00941B62"/>
    <w:rsid w:val="0094450D"/>
    <w:rsid w:val="00956BB1"/>
    <w:rsid w:val="00966060"/>
    <w:rsid w:val="009B12E7"/>
    <w:rsid w:val="009B3EEC"/>
    <w:rsid w:val="009C773C"/>
    <w:rsid w:val="009D6555"/>
    <w:rsid w:val="009E2A91"/>
    <w:rsid w:val="00A00C84"/>
    <w:rsid w:val="00A25220"/>
    <w:rsid w:val="00A32B26"/>
    <w:rsid w:val="00A34F44"/>
    <w:rsid w:val="00A357D9"/>
    <w:rsid w:val="00AA0DC8"/>
    <w:rsid w:val="00AC192C"/>
    <w:rsid w:val="00AC53BD"/>
    <w:rsid w:val="00AC7561"/>
    <w:rsid w:val="00B050E8"/>
    <w:rsid w:val="00B73B36"/>
    <w:rsid w:val="00BA30EC"/>
    <w:rsid w:val="00BA55B8"/>
    <w:rsid w:val="00BD07DF"/>
    <w:rsid w:val="00BE4C0B"/>
    <w:rsid w:val="00BF0754"/>
    <w:rsid w:val="00BF793D"/>
    <w:rsid w:val="00C71085"/>
    <w:rsid w:val="00C73EA8"/>
    <w:rsid w:val="00C857A3"/>
    <w:rsid w:val="00CA468E"/>
    <w:rsid w:val="00CB60AF"/>
    <w:rsid w:val="00CD399A"/>
    <w:rsid w:val="00D03861"/>
    <w:rsid w:val="00D15F78"/>
    <w:rsid w:val="00D4230B"/>
    <w:rsid w:val="00D84085"/>
    <w:rsid w:val="00D96AEF"/>
    <w:rsid w:val="00DA3462"/>
    <w:rsid w:val="00DF103F"/>
    <w:rsid w:val="00E1527E"/>
    <w:rsid w:val="00E25520"/>
    <w:rsid w:val="00E722CB"/>
    <w:rsid w:val="00EA1F71"/>
    <w:rsid w:val="00ED2569"/>
    <w:rsid w:val="00ED2CC6"/>
    <w:rsid w:val="00ED40F1"/>
    <w:rsid w:val="00EF3320"/>
    <w:rsid w:val="00F242DF"/>
    <w:rsid w:val="00F614AB"/>
    <w:rsid w:val="00F637B6"/>
    <w:rsid w:val="00F67000"/>
    <w:rsid w:val="00F71BE1"/>
    <w:rsid w:val="00FB2565"/>
    <w:rsid w:val="00FD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F9425DB-9127-4DE7-9801-6FC30266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B62"/>
    <w:pPr>
      <w:spacing w:before="100" w:beforeAutospacing="1" w:after="100" w:afterAutospacing="1"/>
    </w:pPr>
    <w:rPr>
      <w:rFonts w:ascii="Times" w:hAnsi="Times"/>
      <w:sz w:val="20"/>
      <w:szCs w:val="20"/>
    </w:rPr>
  </w:style>
  <w:style w:type="character" w:styleId="Strong">
    <w:name w:val="Strong"/>
    <w:uiPriority w:val="22"/>
    <w:qFormat/>
    <w:rsid w:val="00941B62"/>
    <w:rPr>
      <w:b/>
      <w:bCs/>
    </w:rPr>
  </w:style>
  <w:style w:type="character" w:styleId="Emphasis">
    <w:name w:val="Emphasis"/>
    <w:uiPriority w:val="20"/>
    <w:qFormat/>
    <w:rsid w:val="00941B62"/>
    <w:rPr>
      <w:i/>
      <w:iCs/>
    </w:rPr>
  </w:style>
  <w:style w:type="paragraph" w:styleId="Header">
    <w:name w:val="header"/>
    <w:basedOn w:val="Normal"/>
    <w:link w:val="HeaderChar"/>
    <w:uiPriority w:val="99"/>
    <w:unhideWhenUsed/>
    <w:rsid w:val="00BE4C0B"/>
    <w:pPr>
      <w:tabs>
        <w:tab w:val="center" w:pos="4320"/>
        <w:tab w:val="right" w:pos="8640"/>
      </w:tabs>
    </w:pPr>
  </w:style>
  <w:style w:type="character" w:customStyle="1" w:styleId="HeaderChar">
    <w:name w:val="Header Char"/>
    <w:link w:val="Header"/>
    <w:uiPriority w:val="99"/>
    <w:rsid w:val="00BE4C0B"/>
    <w:rPr>
      <w:sz w:val="24"/>
      <w:szCs w:val="24"/>
    </w:rPr>
  </w:style>
  <w:style w:type="paragraph" w:styleId="Footer">
    <w:name w:val="footer"/>
    <w:basedOn w:val="Normal"/>
    <w:link w:val="FooterChar"/>
    <w:uiPriority w:val="99"/>
    <w:unhideWhenUsed/>
    <w:rsid w:val="00BE4C0B"/>
    <w:pPr>
      <w:tabs>
        <w:tab w:val="center" w:pos="4320"/>
        <w:tab w:val="right" w:pos="8640"/>
      </w:tabs>
    </w:pPr>
  </w:style>
  <w:style w:type="character" w:customStyle="1" w:styleId="FooterChar">
    <w:name w:val="Footer Char"/>
    <w:link w:val="Footer"/>
    <w:uiPriority w:val="99"/>
    <w:rsid w:val="00BE4C0B"/>
    <w:rPr>
      <w:sz w:val="24"/>
      <w:szCs w:val="24"/>
    </w:rPr>
  </w:style>
  <w:style w:type="character" w:styleId="CommentReference">
    <w:name w:val="annotation reference"/>
    <w:uiPriority w:val="99"/>
    <w:semiHidden/>
    <w:unhideWhenUsed/>
    <w:rsid w:val="00F71BE1"/>
    <w:rPr>
      <w:sz w:val="16"/>
      <w:szCs w:val="16"/>
    </w:rPr>
  </w:style>
  <w:style w:type="paragraph" w:styleId="CommentText">
    <w:name w:val="annotation text"/>
    <w:basedOn w:val="Normal"/>
    <w:link w:val="CommentTextChar"/>
    <w:uiPriority w:val="99"/>
    <w:semiHidden/>
    <w:unhideWhenUsed/>
    <w:rsid w:val="00F71BE1"/>
    <w:rPr>
      <w:sz w:val="20"/>
      <w:szCs w:val="20"/>
    </w:rPr>
  </w:style>
  <w:style w:type="character" w:customStyle="1" w:styleId="CommentTextChar">
    <w:name w:val="Comment Text Char"/>
    <w:basedOn w:val="DefaultParagraphFont"/>
    <w:link w:val="CommentText"/>
    <w:uiPriority w:val="99"/>
    <w:semiHidden/>
    <w:rsid w:val="00F71BE1"/>
  </w:style>
  <w:style w:type="paragraph" w:styleId="CommentSubject">
    <w:name w:val="annotation subject"/>
    <w:basedOn w:val="CommentText"/>
    <w:next w:val="CommentText"/>
    <w:link w:val="CommentSubjectChar"/>
    <w:uiPriority w:val="99"/>
    <w:semiHidden/>
    <w:unhideWhenUsed/>
    <w:rsid w:val="00F71BE1"/>
    <w:rPr>
      <w:b/>
      <w:bCs/>
    </w:rPr>
  </w:style>
  <w:style w:type="character" w:customStyle="1" w:styleId="CommentSubjectChar">
    <w:name w:val="Comment Subject Char"/>
    <w:link w:val="CommentSubject"/>
    <w:uiPriority w:val="99"/>
    <w:semiHidden/>
    <w:rsid w:val="00F71BE1"/>
    <w:rPr>
      <w:b/>
      <w:bCs/>
    </w:rPr>
  </w:style>
  <w:style w:type="paragraph" w:styleId="BalloonText">
    <w:name w:val="Balloon Text"/>
    <w:basedOn w:val="Normal"/>
    <w:link w:val="BalloonTextChar"/>
    <w:uiPriority w:val="99"/>
    <w:semiHidden/>
    <w:unhideWhenUsed/>
    <w:rsid w:val="00F71BE1"/>
    <w:rPr>
      <w:rFonts w:ascii="Segoe UI" w:hAnsi="Segoe UI" w:cs="Segoe UI"/>
      <w:sz w:val="18"/>
      <w:szCs w:val="18"/>
    </w:rPr>
  </w:style>
  <w:style w:type="character" w:customStyle="1" w:styleId="BalloonTextChar">
    <w:name w:val="Balloon Text Char"/>
    <w:link w:val="BalloonText"/>
    <w:uiPriority w:val="99"/>
    <w:semiHidden/>
    <w:rsid w:val="00F71BE1"/>
    <w:rPr>
      <w:rFonts w:ascii="Segoe UI" w:hAnsi="Segoe UI" w:cs="Segoe UI"/>
      <w:sz w:val="18"/>
      <w:szCs w:val="18"/>
    </w:rPr>
  </w:style>
  <w:style w:type="paragraph" w:customStyle="1" w:styleId="LightShading-Accent51">
    <w:name w:val="Light Shading - Accent 51"/>
    <w:hidden/>
    <w:uiPriority w:val="99"/>
    <w:semiHidden/>
    <w:rsid w:val="006A66C0"/>
    <w:rPr>
      <w:sz w:val="24"/>
      <w:szCs w:val="24"/>
    </w:rPr>
  </w:style>
  <w:style w:type="character" w:styleId="Hyperlink">
    <w:name w:val="Hyperlink"/>
    <w:uiPriority w:val="99"/>
    <w:unhideWhenUsed/>
    <w:rsid w:val="003C1477"/>
    <w:rPr>
      <w:color w:val="0000FF"/>
      <w:u w:val="single"/>
    </w:rPr>
  </w:style>
  <w:style w:type="character" w:styleId="FollowedHyperlink">
    <w:name w:val="FollowedHyperlink"/>
    <w:uiPriority w:val="99"/>
    <w:semiHidden/>
    <w:unhideWhenUsed/>
    <w:rsid w:val="0079287B"/>
    <w:rPr>
      <w:color w:val="800080"/>
      <w:u w:val="single"/>
    </w:rPr>
  </w:style>
  <w:style w:type="paragraph" w:customStyle="1" w:styleId="MediumList1-Accent41">
    <w:name w:val="Medium List 1 - Accent 41"/>
    <w:hidden/>
    <w:uiPriority w:val="99"/>
    <w:semiHidden/>
    <w:rsid w:val="00F242DF"/>
    <w:rPr>
      <w:sz w:val="24"/>
      <w:szCs w:val="24"/>
    </w:rPr>
  </w:style>
  <w:style w:type="character" w:customStyle="1" w:styleId="apple-converted-space">
    <w:name w:val="apple-converted-space"/>
    <w:rsid w:val="0042342C"/>
  </w:style>
  <w:style w:type="paragraph" w:customStyle="1" w:styleId="DarkList-Accent31">
    <w:name w:val="Dark List - Accent 31"/>
    <w:hidden/>
    <w:uiPriority w:val="99"/>
    <w:semiHidden/>
    <w:rsid w:val="00BD07DF"/>
    <w:rPr>
      <w:sz w:val="24"/>
      <w:szCs w:val="24"/>
    </w:rPr>
  </w:style>
  <w:style w:type="table" w:styleId="TableGrid">
    <w:name w:val="Table Grid"/>
    <w:basedOn w:val="TableNormal"/>
    <w:uiPriority w:val="59"/>
    <w:rsid w:val="00CB6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A32B26"/>
    <w:rPr>
      <w:sz w:val="24"/>
      <w:szCs w:val="24"/>
    </w:rPr>
  </w:style>
  <w:style w:type="paragraph" w:customStyle="1" w:styleId="MediumList2-Accent21">
    <w:name w:val="Medium List 2 - Accent 21"/>
    <w:hidden/>
    <w:uiPriority w:val="99"/>
    <w:semiHidden/>
    <w:rsid w:val="00470530"/>
    <w:rPr>
      <w:sz w:val="24"/>
      <w:szCs w:val="24"/>
    </w:rPr>
  </w:style>
  <w:style w:type="paragraph" w:customStyle="1" w:styleId="ColorfulShading-Accent11">
    <w:name w:val="Colorful Shading - Accent 11"/>
    <w:hidden/>
    <w:uiPriority w:val="99"/>
    <w:semiHidden/>
    <w:rsid w:val="00C73E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6321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Site License</Company>
  <LinksUpToDate>false</LinksUpToDate>
  <CharactersWithSpaces>3632</CharactersWithSpaces>
  <SharedDoc>false</SharedDoc>
  <HLinks>
    <vt:vector size="6" baseType="variant">
      <vt:variant>
        <vt:i4>7471137</vt:i4>
      </vt:variant>
      <vt:variant>
        <vt:i4>0</vt:i4>
      </vt:variant>
      <vt:variant>
        <vt:i4>0</vt:i4>
      </vt:variant>
      <vt:variant>
        <vt:i4>5</vt:i4>
      </vt:variant>
      <vt:variant>
        <vt:lpwstr>https://www.irs.gov/individuals/irs-withholding-calculator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Licensed User</dc:creator>
  <cp:keywords/>
  <dc:description/>
  <cp:lastModifiedBy>Carly Racioppi</cp:lastModifiedBy>
  <cp:revision>4</cp:revision>
  <cp:lastPrinted>2017-12-19T14:50:00Z</cp:lastPrinted>
  <dcterms:created xsi:type="dcterms:W3CDTF">2018-02-26T18:06:00Z</dcterms:created>
  <dcterms:modified xsi:type="dcterms:W3CDTF">2018-03-01T15:59:00Z</dcterms:modified>
</cp:coreProperties>
</file>