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39" w:rsidRPr="007103DF" w:rsidRDefault="007D7A39" w:rsidP="00FE7D39">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 xml:space="preserve">China jolts the markets by devaluing the yuan, aggregate second-quarter earnings top analyst projections, and stocks </w:t>
      </w:r>
      <w:bookmarkStart w:id="0" w:name="_Hlk16256642"/>
      <w:r>
        <w:rPr>
          <w:rFonts w:asciiTheme="majorHAnsi" w:hAnsiTheme="majorHAnsi" w:cs="Times New Roman"/>
          <w:i/>
          <w:sz w:val="28"/>
          <w:szCs w:val="24"/>
        </w:rPr>
        <w:t>retreat for the week</w:t>
      </w:r>
      <w:bookmarkEnd w:id="0"/>
      <w:r w:rsidRPr="007103DF">
        <w:rPr>
          <w:rFonts w:asciiTheme="majorHAnsi" w:hAnsiTheme="majorHAnsi" w:cs="Times New Roman"/>
          <w:i/>
          <w:sz w:val="28"/>
          <w:szCs w:val="24"/>
        </w:rPr>
        <w:t>.</w:t>
      </w:r>
    </w:p>
    <w:p w:rsidR="00FE7D39" w:rsidRPr="00A56786" w:rsidRDefault="007D7A39" w:rsidP="00FE7D39">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FE7D39" w:rsidRDefault="007D7A39" w:rsidP="00FE7D39">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FE7D39" w:rsidRPr="0043614C" w:rsidRDefault="007D7A39" w:rsidP="00FE7D39">
      <w:pPr>
        <w:spacing w:before="160" w:line="276" w:lineRule="auto"/>
        <w:jc w:val="center"/>
        <w:rPr>
          <w:rFonts w:asciiTheme="majorHAnsi" w:hAnsiTheme="majorHAnsi" w:cs="Times New Roman"/>
          <w:color w:val="808080" w:themeColor="background1" w:themeShade="80"/>
          <w:sz w:val="2"/>
          <w:szCs w:val="24"/>
        </w:rPr>
      </w:pPr>
    </w:p>
    <w:p w:rsidR="00FE7D39" w:rsidRPr="001162D1" w:rsidRDefault="007D7A39" w:rsidP="00FE7D39">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bookmarkStart w:id="1" w:name="_GoBack"/>
      <w:bookmarkEnd w:id="1"/>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August 12, 2019</w:t>
      </w:r>
    </w:p>
    <w:p w:rsidR="00FE7D39" w:rsidRPr="0043614C" w:rsidRDefault="007D7A39" w:rsidP="00FE7D39">
      <w:pPr>
        <w:spacing w:before="160" w:line="276" w:lineRule="auto"/>
        <w:jc w:val="center"/>
        <w:rPr>
          <w:rFonts w:asciiTheme="majorHAnsi" w:hAnsiTheme="majorHAnsi" w:cs="Times New Roman"/>
          <w:color w:val="000000" w:themeColor="text1"/>
          <w:sz w:val="4"/>
          <w:szCs w:val="24"/>
        </w:rPr>
      </w:pPr>
    </w:p>
    <w:p w:rsidR="00FE7D39" w:rsidRDefault="007D7A39" w:rsidP="00FE7D39">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FE7D39" w:rsidRPr="003F06B7" w:rsidRDefault="007D7A39" w:rsidP="00FE7D39">
      <w:pPr>
        <w:spacing w:line="276" w:lineRule="auto"/>
        <w:jc w:val="both"/>
        <w:rPr>
          <w:rStyle w:val="st"/>
          <w:rFonts w:asciiTheme="majorHAnsi" w:hAnsiTheme="majorHAnsi"/>
          <w:sz w:val="24"/>
        </w:rPr>
      </w:pPr>
      <w:r w:rsidRPr="003F06B7">
        <w:rPr>
          <w:rStyle w:val="st"/>
          <w:rFonts w:asciiTheme="majorHAnsi" w:hAnsiTheme="majorHAnsi"/>
          <w:sz w:val="24"/>
        </w:rPr>
        <w:t xml:space="preserve">Stocks spent much of last week rebounding from a Monday drop that reflected nervousness about the U.S.-China trade fight. By Thursday’s closing bell, the S&amp;P 500 had regained all its Monday </w:t>
      </w:r>
      <w:r w:rsidRPr="003F06B7">
        <w:rPr>
          <w:rStyle w:val="st"/>
          <w:rFonts w:asciiTheme="majorHAnsi" w:hAnsiTheme="majorHAnsi"/>
          <w:sz w:val="24"/>
        </w:rPr>
        <w:t>losses</w:t>
      </w:r>
      <w:r>
        <w:rPr>
          <w:rStyle w:val="st"/>
          <w:rFonts w:asciiTheme="majorHAnsi" w:hAnsiTheme="majorHAnsi"/>
          <w:sz w:val="24"/>
        </w:rPr>
        <w:t>,</w:t>
      </w:r>
      <w:r w:rsidRPr="003F06B7">
        <w:rPr>
          <w:rStyle w:val="st"/>
          <w:rFonts w:asciiTheme="majorHAnsi" w:hAnsiTheme="majorHAnsi"/>
          <w:sz w:val="24"/>
        </w:rPr>
        <w:t xml:space="preserve"> but it descended again on Friday.</w:t>
      </w:r>
    </w:p>
    <w:p w:rsidR="00FE7D39" w:rsidRPr="0043614C" w:rsidRDefault="007D7A39" w:rsidP="00FE7D39">
      <w:pPr>
        <w:spacing w:line="276" w:lineRule="auto"/>
        <w:jc w:val="both"/>
        <w:rPr>
          <w:rStyle w:val="st"/>
          <w:rFonts w:asciiTheme="majorHAnsi" w:hAnsiTheme="majorHAnsi"/>
          <w:sz w:val="6"/>
        </w:rPr>
      </w:pPr>
      <w:r w:rsidRPr="003F06B7">
        <w:rPr>
          <w:rStyle w:val="st"/>
          <w:rFonts w:asciiTheme="majorHAnsi" w:hAnsiTheme="majorHAnsi"/>
          <w:sz w:val="24"/>
        </w:rPr>
        <w:t>The three big U.S. equity benchmarks finished the week lower: the S&amp;P declined 0.46%</w:t>
      </w:r>
      <w:r>
        <w:rPr>
          <w:rStyle w:val="st"/>
          <w:rFonts w:asciiTheme="majorHAnsi" w:hAnsiTheme="majorHAnsi"/>
          <w:sz w:val="24"/>
        </w:rPr>
        <w:t>;</w:t>
      </w:r>
      <w:r w:rsidRPr="003F06B7">
        <w:rPr>
          <w:rStyle w:val="st"/>
          <w:rFonts w:asciiTheme="majorHAnsi" w:hAnsiTheme="majorHAnsi"/>
          <w:sz w:val="24"/>
        </w:rPr>
        <w:t xml:space="preserve"> the Dow Jones Industrial Average</w:t>
      </w:r>
      <w:r>
        <w:rPr>
          <w:rStyle w:val="st"/>
          <w:rFonts w:asciiTheme="majorHAnsi" w:hAnsiTheme="majorHAnsi"/>
          <w:sz w:val="24"/>
        </w:rPr>
        <w:t>,</w:t>
      </w:r>
      <w:r w:rsidRPr="003F06B7">
        <w:rPr>
          <w:rStyle w:val="st"/>
          <w:rFonts w:asciiTheme="majorHAnsi" w:hAnsiTheme="majorHAnsi"/>
          <w:sz w:val="24"/>
        </w:rPr>
        <w:t xml:space="preserve"> 0.75%</w:t>
      </w:r>
      <w:r>
        <w:rPr>
          <w:rStyle w:val="st"/>
          <w:rFonts w:asciiTheme="majorHAnsi" w:hAnsiTheme="majorHAnsi"/>
          <w:sz w:val="24"/>
        </w:rPr>
        <w:t xml:space="preserve">; </w:t>
      </w:r>
      <w:r w:rsidRPr="003F06B7">
        <w:rPr>
          <w:rStyle w:val="st"/>
          <w:rFonts w:asciiTheme="majorHAnsi" w:hAnsiTheme="majorHAnsi"/>
          <w:sz w:val="24"/>
        </w:rPr>
        <w:t>the Nasdaq Composite</w:t>
      </w:r>
      <w:r>
        <w:rPr>
          <w:rStyle w:val="st"/>
          <w:rFonts w:asciiTheme="majorHAnsi" w:hAnsiTheme="majorHAnsi"/>
          <w:sz w:val="24"/>
        </w:rPr>
        <w:t>,</w:t>
      </w:r>
      <w:r w:rsidRPr="003F06B7">
        <w:rPr>
          <w:rStyle w:val="st"/>
          <w:rFonts w:asciiTheme="majorHAnsi" w:hAnsiTheme="majorHAnsi"/>
          <w:sz w:val="24"/>
        </w:rPr>
        <w:t xml:space="preserve"> 0.56%. A broad index of foreign shares, the MSCI EAFE, lost 0.95%</w:t>
      </w:r>
      <w:r w:rsidRPr="00C3439C">
        <w:rPr>
          <w:rStyle w:val="st"/>
          <w:rFonts w:asciiTheme="majorHAnsi" w:hAnsiTheme="majorHAnsi"/>
          <w:sz w:val="24"/>
        </w:rPr>
        <w:t>.</w:t>
      </w:r>
      <w:r w:rsidRPr="003F06B7">
        <w:rPr>
          <w:rStyle w:val="st"/>
          <w:rFonts w:asciiTheme="majorHAnsi" w:hAnsiTheme="majorHAnsi"/>
          <w:sz w:val="24"/>
          <w:vertAlign w:val="superscript"/>
        </w:rPr>
        <w:t>1</w:t>
      </w:r>
      <w:proofErr w:type="gramStart"/>
      <w:r w:rsidRPr="003F06B7">
        <w:rPr>
          <w:rStyle w:val="st"/>
          <w:rFonts w:asciiTheme="majorHAnsi" w:hAnsiTheme="majorHAnsi"/>
          <w:sz w:val="24"/>
          <w:vertAlign w:val="superscript"/>
        </w:rPr>
        <w:t>,2</w:t>
      </w:r>
      <w:proofErr w:type="gramEnd"/>
    </w:p>
    <w:p w:rsidR="00FE7D39" w:rsidRPr="0043614C" w:rsidRDefault="007D7A39" w:rsidP="00FE7D39">
      <w:pPr>
        <w:spacing w:line="276" w:lineRule="auto"/>
        <w:jc w:val="both"/>
        <w:rPr>
          <w:rStyle w:val="st"/>
          <w:rFonts w:asciiTheme="majorHAnsi" w:hAnsiTheme="majorHAnsi"/>
          <w:sz w:val="8"/>
        </w:rPr>
      </w:pPr>
      <w:r>
        <w:rPr>
          <w:rStyle w:val="st"/>
          <w:rFonts w:asciiTheme="majorHAnsi" w:hAnsiTheme="majorHAnsi"/>
          <w:sz w:val="8"/>
        </w:rPr>
        <w:t xml:space="preserve">  </w:t>
      </w:r>
    </w:p>
    <w:p w:rsidR="00FE7D39" w:rsidRPr="00E24345" w:rsidRDefault="007D7A39" w:rsidP="00FE7D39">
      <w:pPr>
        <w:spacing w:line="276" w:lineRule="auto"/>
        <w:jc w:val="both"/>
        <w:rPr>
          <w:rFonts w:asciiTheme="majorHAnsi" w:hAnsiTheme="majorHAnsi"/>
          <w:b/>
          <w:caps/>
          <w:color w:val="E88E0A"/>
          <w:sz w:val="28"/>
        </w:rPr>
      </w:pPr>
      <w:r w:rsidRPr="003F06B7">
        <w:rPr>
          <w:rFonts w:asciiTheme="majorHAnsi" w:hAnsiTheme="majorHAnsi"/>
          <w:b/>
          <w:caps/>
          <w:color w:val="E88E0A"/>
          <w:sz w:val="28"/>
        </w:rPr>
        <w:t>China Devalues Its Currency</w:t>
      </w:r>
    </w:p>
    <w:p w:rsidR="00FE7D39" w:rsidRPr="003F06B7" w:rsidRDefault="007D7A39" w:rsidP="00FE7D39">
      <w:pPr>
        <w:spacing w:line="276" w:lineRule="auto"/>
        <w:jc w:val="both"/>
        <w:rPr>
          <w:rStyle w:val="st"/>
          <w:rFonts w:asciiTheme="majorHAnsi" w:hAnsiTheme="majorHAnsi"/>
          <w:sz w:val="24"/>
        </w:rPr>
      </w:pPr>
      <w:r w:rsidRPr="003F06B7">
        <w:rPr>
          <w:rStyle w:val="st"/>
          <w:rFonts w:asciiTheme="majorHAnsi" w:hAnsiTheme="majorHAnsi"/>
          <w:sz w:val="24"/>
        </w:rPr>
        <w:t>Last Monday, stocks fell 3% in reaction to the overnight weakening of the Chinese yuan. A weaker yuan makes Chinese exports cheaper for buyers who pay for them in dollars.</w:t>
      </w:r>
    </w:p>
    <w:p w:rsidR="00FE7D39" w:rsidRPr="00ED56E3" w:rsidRDefault="007D7A39" w:rsidP="00FE7D39">
      <w:pPr>
        <w:spacing w:line="276" w:lineRule="auto"/>
        <w:jc w:val="both"/>
        <w:rPr>
          <w:rStyle w:val="st"/>
          <w:rFonts w:asciiTheme="majorHAnsi" w:hAnsiTheme="majorHAnsi"/>
          <w:sz w:val="24"/>
          <w:vertAlign w:val="superscript"/>
        </w:rPr>
      </w:pPr>
      <w:r w:rsidRPr="003F06B7">
        <w:rPr>
          <w:rStyle w:val="st"/>
          <w:rFonts w:asciiTheme="majorHAnsi" w:hAnsiTheme="majorHAnsi"/>
          <w:sz w:val="24"/>
        </w:rPr>
        <w:t xml:space="preserve">Critics quickly accused China of manipulating </w:t>
      </w:r>
      <w:r w:rsidRPr="003F06B7">
        <w:rPr>
          <w:rStyle w:val="st"/>
          <w:rFonts w:asciiTheme="majorHAnsi" w:hAnsiTheme="majorHAnsi"/>
          <w:sz w:val="24"/>
        </w:rPr>
        <w:t>its currency to strike back at the U.S. The federal government plans to impose tariffs on nearly all Chinese products next month, likely making those goods more expensive to American consumers; a weaker yuan could counter the effect of those import taxes</w:t>
      </w:r>
      <w:r w:rsidRPr="00C3439C">
        <w:rPr>
          <w:rStyle w:val="st"/>
          <w:rFonts w:asciiTheme="majorHAnsi" w:hAnsiTheme="majorHAnsi"/>
          <w:sz w:val="24"/>
        </w:rPr>
        <w:t>.”</w:t>
      </w:r>
      <w:r>
        <w:rPr>
          <w:rStyle w:val="st"/>
          <w:rFonts w:asciiTheme="majorHAnsi" w:hAnsiTheme="majorHAnsi"/>
          <w:sz w:val="24"/>
          <w:vertAlign w:val="superscript"/>
        </w:rPr>
        <w:t>3</w:t>
      </w:r>
      <w:proofErr w:type="gramStart"/>
      <w:r>
        <w:rPr>
          <w:rStyle w:val="st"/>
          <w:rFonts w:asciiTheme="majorHAnsi" w:hAnsiTheme="majorHAnsi"/>
          <w:sz w:val="24"/>
          <w:vertAlign w:val="superscript"/>
        </w:rPr>
        <w:t>,4</w:t>
      </w:r>
      <w:proofErr w:type="gramEnd"/>
      <w:r w:rsidRPr="00ED56E3">
        <w:rPr>
          <w:rStyle w:val="st"/>
          <w:rFonts w:asciiTheme="majorHAnsi" w:hAnsiTheme="majorHAnsi"/>
          <w:sz w:val="24"/>
        </w:rPr>
        <w:t xml:space="preserve">  </w:t>
      </w:r>
    </w:p>
    <w:p w:rsidR="00FE7D39" w:rsidRPr="0043614C" w:rsidRDefault="007D7A39" w:rsidP="00FE7D39">
      <w:pPr>
        <w:spacing w:line="276" w:lineRule="auto"/>
        <w:jc w:val="both"/>
        <w:rPr>
          <w:rStyle w:val="st"/>
          <w:rFonts w:asciiTheme="majorHAnsi" w:hAnsiTheme="majorHAnsi"/>
          <w:sz w:val="8"/>
        </w:rPr>
      </w:pPr>
      <w:r>
        <w:rPr>
          <w:rStyle w:val="st"/>
          <w:rFonts w:asciiTheme="majorHAnsi" w:hAnsiTheme="majorHAnsi"/>
          <w:sz w:val="8"/>
        </w:rPr>
        <w:t xml:space="preserve">  </w:t>
      </w:r>
    </w:p>
    <w:p w:rsidR="00FE7D39" w:rsidRPr="00E24345" w:rsidRDefault="007D7A39" w:rsidP="00FE7D39">
      <w:pPr>
        <w:spacing w:line="276" w:lineRule="auto"/>
        <w:jc w:val="both"/>
        <w:rPr>
          <w:rFonts w:asciiTheme="majorHAnsi" w:hAnsiTheme="majorHAnsi"/>
          <w:b/>
          <w:caps/>
          <w:color w:val="E88E0A"/>
          <w:sz w:val="28"/>
        </w:rPr>
      </w:pPr>
      <w:r w:rsidRPr="003F06B7">
        <w:rPr>
          <w:rFonts w:asciiTheme="majorHAnsi" w:hAnsiTheme="majorHAnsi"/>
          <w:b/>
          <w:caps/>
          <w:color w:val="E88E0A"/>
          <w:sz w:val="28"/>
        </w:rPr>
        <w:t>Earnings Season Update</w:t>
      </w:r>
    </w:p>
    <w:p w:rsidR="00FE7D39" w:rsidRPr="003F06B7" w:rsidRDefault="007D7A39" w:rsidP="00FE7D39">
      <w:pPr>
        <w:spacing w:line="276" w:lineRule="auto"/>
        <w:jc w:val="both"/>
        <w:rPr>
          <w:rStyle w:val="st"/>
          <w:rFonts w:asciiTheme="majorHAnsi" w:hAnsiTheme="majorHAnsi"/>
          <w:sz w:val="24"/>
        </w:rPr>
      </w:pPr>
      <w:r w:rsidRPr="003F06B7">
        <w:rPr>
          <w:rStyle w:val="st"/>
          <w:rFonts w:asciiTheme="majorHAnsi" w:hAnsiTheme="majorHAnsi"/>
          <w:sz w:val="24"/>
        </w:rPr>
        <w:t>Ninety percent of S&amp;P 500 firms have now reported second-quarter results. Their collective sales and profits have surprised to the upside.</w:t>
      </w:r>
    </w:p>
    <w:p w:rsidR="00FE7D39" w:rsidRPr="00ED56E3" w:rsidRDefault="007D7A39" w:rsidP="00FE7D39">
      <w:pPr>
        <w:spacing w:line="276" w:lineRule="auto"/>
        <w:jc w:val="both"/>
        <w:rPr>
          <w:rStyle w:val="st"/>
          <w:rFonts w:asciiTheme="majorHAnsi" w:hAnsiTheme="majorHAnsi"/>
          <w:sz w:val="24"/>
        </w:rPr>
      </w:pPr>
      <w:r>
        <w:rPr>
          <w:rStyle w:val="st"/>
          <w:rFonts w:asciiTheme="majorHAnsi" w:hAnsiTheme="majorHAnsi"/>
          <w:sz w:val="24"/>
        </w:rPr>
        <w:t>S</w:t>
      </w:r>
      <w:r w:rsidRPr="003F06B7">
        <w:rPr>
          <w:rStyle w:val="st"/>
          <w:rFonts w:asciiTheme="majorHAnsi" w:hAnsiTheme="majorHAnsi"/>
          <w:sz w:val="24"/>
        </w:rPr>
        <w:t>tock market analytics firm FactSet say</w:t>
      </w:r>
      <w:r>
        <w:rPr>
          <w:rStyle w:val="st"/>
          <w:rFonts w:asciiTheme="majorHAnsi" w:hAnsiTheme="majorHAnsi"/>
          <w:sz w:val="24"/>
        </w:rPr>
        <w:t>s</w:t>
      </w:r>
      <w:r w:rsidRPr="003F06B7">
        <w:rPr>
          <w:rStyle w:val="st"/>
          <w:rFonts w:asciiTheme="majorHAnsi" w:hAnsiTheme="majorHAnsi"/>
          <w:sz w:val="24"/>
        </w:rPr>
        <w:t xml:space="preserve"> that overall earnings have beaten estimates </w:t>
      </w:r>
      <w:r w:rsidRPr="003F06B7">
        <w:rPr>
          <w:rStyle w:val="st"/>
          <w:rFonts w:asciiTheme="majorHAnsi" w:hAnsiTheme="majorHAnsi"/>
          <w:sz w:val="24"/>
        </w:rPr>
        <w:t>by 5.7%. Seventy-five percent of firms have reported actual earnings per share surpassing estimates, which is better than the five-year average</w:t>
      </w:r>
      <w:r w:rsidRPr="00C3439C">
        <w:rPr>
          <w:rStyle w:val="st"/>
          <w:rFonts w:asciiTheme="majorHAnsi" w:hAnsiTheme="majorHAnsi"/>
          <w:sz w:val="24"/>
        </w:rPr>
        <w:t>.</w:t>
      </w:r>
      <w:r w:rsidRPr="00C3439C">
        <w:rPr>
          <w:rStyle w:val="st"/>
          <w:rFonts w:asciiTheme="majorHAnsi" w:hAnsiTheme="majorHAnsi"/>
          <w:sz w:val="24"/>
          <w:vertAlign w:val="superscript"/>
        </w:rPr>
        <w:t>5</w:t>
      </w:r>
    </w:p>
    <w:p w:rsidR="00FE7D39" w:rsidRPr="0043614C" w:rsidRDefault="007D7A39" w:rsidP="00FE7D39">
      <w:pPr>
        <w:spacing w:line="276" w:lineRule="auto"/>
        <w:jc w:val="both"/>
        <w:rPr>
          <w:rStyle w:val="st"/>
          <w:rFonts w:asciiTheme="majorHAnsi" w:hAnsiTheme="majorHAnsi"/>
          <w:sz w:val="4"/>
        </w:rPr>
      </w:pPr>
      <w:r>
        <w:rPr>
          <w:rStyle w:val="st"/>
          <w:rFonts w:asciiTheme="majorHAnsi" w:hAnsiTheme="majorHAnsi"/>
          <w:sz w:val="4"/>
        </w:rPr>
        <w:t xml:space="preserve">  </w:t>
      </w:r>
    </w:p>
    <w:p w:rsidR="00FE7D39" w:rsidRPr="00E24345" w:rsidRDefault="007D7A39" w:rsidP="00FE7D39">
      <w:pPr>
        <w:spacing w:line="276" w:lineRule="auto"/>
        <w:jc w:val="both"/>
        <w:rPr>
          <w:rFonts w:asciiTheme="majorHAnsi" w:hAnsiTheme="majorHAnsi"/>
          <w:b/>
          <w:caps/>
          <w:color w:val="E88E0A"/>
          <w:sz w:val="28"/>
        </w:rPr>
      </w:pPr>
      <w:r>
        <w:rPr>
          <w:rFonts w:asciiTheme="majorHAnsi" w:hAnsiTheme="majorHAnsi"/>
          <w:b/>
          <w:caps/>
          <w:color w:val="E88E0A"/>
          <w:sz w:val="28"/>
        </w:rPr>
        <w:t>FINAL THOUGHT</w:t>
      </w:r>
    </w:p>
    <w:p w:rsidR="00FE7D39" w:rsidRPr="00C3439C" w:rsidRDefault="007D7A39" w:rsidP="00FE7D39">
      <w:pPr>
        <w:spacing w:line="276" w:lineRule="auto"/>
        <w:jc w:val="both"/>
        <w:rPr>
          <w:rStyle w:val="st"/>
          <w:rFonts w:asciiTheme="majorHAnsi" w:hAnsiTheme="majorHAnsi"/>
          <w:sz w:val="24"/>
          <w:vertAlign w:val="superscript"/>
        </w:rPr>
      </w:pPr>
      <w:r w:rsidRPr="003F06B7">
        <w:rPr>
          <w:rStyle w:val="st"/>
          <w:rFonts w:asciiTheme="majorHAnsi" w:hAnsiTheme="majorHAnsi"/>
          <w:sz w:val="24"/>
        </w:rPr>
        <w:lastRenderedPageBreak/>
        <w:t xml:space="preserve">We are seeing a significant bond rally this summer, even with interest rates at very low </w:t>
      </w:r>
      <w:r w:rsidRPr="003F06B7">
        <w:rPr>
          <w:rStyle w:val="st"/>
          <w:rFonts w:asciiTheme="majorHAnsi" w:hAnsiTheme="majorHAnsi"/>
          <w:sz w:val="24"/>
        </w:rPr>
        <w:t>levels. (</w:t>
      </w:r>
      <w:r w:rsidRPr="00DC3CA5">
        <w:rPr>
          <w:rStyle w:val="st"/>
          <w:rFonts w:asciiTheme="majorHAnsi" w:hAnsiTheme="majorHAnsi"/>
          <w:sz w:val="24"/>
        </w:rPr>
        <w:t>When bond prices rise, bond yields tend to fall.</w:t>
      </w:r>
      <w:r w:rsidRPr="003F06B7">
        <w:rPr>
          <w:rStyle w:val="st"/>
          <w:rFonts w:asciiTheme="majorHAnsi" w:hAnsiTheme="majorHAnsi"/>
          <w:sz w:val="24"/>
        </w:rPr>
        <w:t>) At the moment, about a quarter of the global bond market is invested in government notes with negative interest rates. The 10-year Treasury stands in contrast. Friday, it was yielding 1.74%</w:t>
      </w:r>
      <w:r w:rsidRPr="00EC38D4">
        <w:rPr>
          <w:rStyle w:val="st"/>
          <w:rFonts w:asciiTheme="majorHAnsi" w:hAnsiTheme="majorHAnsi"/>
          <w:sz w:val="24"/>
        </w:rPr>
        <w:t>.</w:t>
      </w:r>
      <w:r w:rsidRPr="003F06B7">
        <w:rPr>
          <w:rStyle w:val="st"/>
          <w:rFonts w:asciiTheme="majorHAnsi" w:hAnsiTheme="majorHAnsi"/>
          <w:sz w:val="24"/>
          <w:vertAlign w:val="superscript"/>
        </w:rPr>
        <w:t>6</w:t>
      </w:r>
      <w:proofErr w:type="gramStart"/>
      <w:r w:rsidRPr="003F06B7">
        <w:rPr>
          <w:rStyle w:val="st"/>
          <w:rFonts w:asciiTheme="majorHAnsi" w:hAnsiTheme="majorHAnsi"/>
          <w:sz w:val="24"/>
          <w:vertAlign w:val="superscript"/>
        </w:rPr>
        <w:t>,7</w:t>
      </w:r>
      <w:proofErr w:type="gramEnd"/>
    </w:p>
    <w:p w:rsidR="00FE7D39" w:rsidRDefault="007D7A39" w:rsidP="00FE7D3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FE7D39" w:rsidRPr="0043614C" w:rsidRDefault="007D7A39" w:rsidP="00FE7D39">
      <w:pPr>
        <w:spacing w:line="276" w:lineRule="auto"/>
        <w:jc w:val="center"/>
        <w:rPr>
          <w:rStyle w:val="st"/>
          <w:rFonts w:asciiTheme="majorHAnsi" w:hAnsiTheme="majorHAnsi"/>
          <w:color w:val="E88E0A"/>
          <w:sz w:val="4"/>
        </w:rPr>
      </w:pPr>
    </w:p>
    <w:p w:rsidR="00FE7D39" w:rsidRPr="0043614C" w:rsidRDefault="007D7A39" w:rsidP="00FE7D39">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FE7D39" w:rsidRDefault="007D7A39" w:rsidP="00FE7D39">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FE7D39" w:rsidRPr="00EA0505" w:rsidRDefault="007D7A39" w:rsidP="00FE7D39">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If you think you need to </w:t>
      </w:r>
      <w:r w:rsidRPr="00AF7AE8">
        <w:rPr>
          <w:rStyle w:val="st"/>
          <w:rFonts w:asciiTheme="majorHAnsi" w:hAnsiTheme="majorHAnsi"/>
          <w:b/>
          <w:bCs/>
          <w:i/>
          <w:sz w:val="28"/>
        </w:rPr>
        <w:t>save more</w:t>
      </w:r>
      <w:r>
        <w:rPr>
          <w:rStyle w:val="st"/>
          <w:rFonts w:asciiTheme="majorHAnsi" w:hAnsiTheme="majorHAnsi"/>
          <w:i/>
          <w:sz w:val="28"/>
        </w:rPr>
        <w:t xml:space="preserve"> for </w:t>
      </w:r>
      <w:r w:rsidRPr="00AF7AE8">
        <w:rPr>
          <w:rStyle w:val="st"/>
          <w:rFonts w:asciiTheme="majorHAnsi" w:hAnsiTheme="majorHAnsi"/>
          <w:b/>
          <w:bCs/>
          <w:i/>
          <w:sz w:val="28"/>
        </w:rPr>
        <w:t>retirement</w:t>
      </w:r>
      <w:r>
        <w:rPr>
          <w:rStyle w:val="st"/>
          <w:rFonts w:asciiTheme="majorHAnsi" w:hAnsiTheme="majorHAnsi"/>
          <w:i/>
          <w:sz w:val="28"/>
        </w:rPr>
        <w:t>, think about saving at a rate that is slightly above your “comfort zone</w:t>
      </w:r>
      <w:r w:rsidRPr="00D95DF2">
        <w:rPr>
          <w:rStyle w:val="st"/>
          <w:rFonts w:asciiTheme="majorHAnsi" w:hAnsiTheme="majorHAnsi"/>
          <w:i/>
          <w:sz w:val="28"/>
        </w:rPr>
        <w:t>.</w:t>
      </w:r>
      <w:r>
        <w:rPr>
          <w:rStyle w:val="st"/>
          <w:rFonts w:asciiTheme="majorHAnsi" w:hAnsiTheme="majorHAnsi"/>
          <w:i/>
          <w:sz w:val="28"/>
        </w:rPr>
        <w:t xml:space="preserve">” This calls for some financial </w:t>
      </w:r>
      <w:r w:rsidRPr="00AF7AE8">
        <w:rPr>
          <w:rStyle w:val="st"/>
          <w:rFonts w:asciiTheme="majorHAnsi" w:hAnsiTheme="majorHAnsi"/>
          <w:b/>
          <w:bCs/>
          <w:i/>
          <w:sz w:val="28"/>
        </w:rPr>
        <w:t>discipline</w:t>
      </w:r>
      <w:r>
        <w:rPr>
          <w:rStyle w:val="st"/>
          <w:rFonts w:asciiTheme="majorHAnsi" w:hAnsiTheme="majorHAnsi"/>
          <w:i/>
          <w:sz w:val="28"/>
        </w:rPr>
        <w:t xml:space="preserve"> and </w:t>
      </w:r>
      <w:r w:rsidRPr="00AF7AE8">
        <w:rPr>
          <w:rStyle w:val="st"/>
          <w:rFonts w:asciiTheme="majorHAnsi" w:hAnsiTheme="majorHAnsi"/>
          <w:b/>
          <w:bCs/>
          <w:i/>
          <w:sz w:val="28"/>
        </w:rPr>
        <w:t>dedication</w:t>
      </w:r>
      <w:r>
        <w:rPr>
          <w:rStyle w:val="st"/>
          <w:rFonts w:asciiTheme="majorHAnsi" w:hAnsiTheme="majorHAnsi"/>
          <w:i/>
          <w:sz w:val="28"/>
        </w:rPr>
        <w:t xml:space="preserve">, but your future self may thank you years </w:t>
      </w:r>
      <w:r>
        <w:rPr>
          <w:rStyle w:val="st"/>
          <w:rFonts w:asciiTheme="majorHAnsi" w:hAnsiTheme="majorHAnsi"/>
          <w:i/>
          <w:sz w:val="28"/>
        </w:rPr>
        <w:t>from now.</w:t>
      </w:r>
    </w:p>
    <w:p w:rsidR="00FE7D39" w:rsidRPr="0043614C" w:rsidRDefault="007D7A39" w:rsidP="00FE7D39">
      <w:pPr>
        <w:spacing w:line="276" w:lineRule="auto"/>
        <w:jc w:val="center"/>
        <w:rPr>
          <w:rStyle w:val="st"/>
          <w:rFonts w:asciiTheme="majorHAnsi" w:hAnsiTheme="majorHAnsi"/>
          <w:i/>
          <w:color w:val="E88E0A"/>
          <w:sz w:val="4"/>
        </w:rPr>
      </w:pPr>
    </w:p>
    <w:p w:rsidR="00FE7D39" w:rsidRDefault="007D7A39" w:rsidP="00FE7D3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FE7D39" w:rsidRPr="0043614C" w:rsidRDefault="007D7A39" w:rsidP="00FE7D39">
      <w:pPr>
        <w:spacing w:line="276" w:lineRule="auto"/>
        <w:rPr>
          <w:rFonts w:asciiTheme="majorHAnsi" w:hAnsiTheme="majorHAnsi"/>
          <w:b/>
          <w:color w:val="E88E0A"/>
          <w:spacing w:val="-2"/>
          <w:sz w:val="6"/>
        </w:rPr>
      </w:pPr>
    </w:p>
    <w:p w:rsidR="00FE7D39" w:rsidRDefault="007D7A39" w:rsidP="00FE7D39">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FE7D39" w:rsidRPr="006631A1" w:rsidRDefault="007D7A39" w:rsidP="00FE7D39">
      <w:pPr>
        <w:spacing w:line="240" w:lineRule="auto"/>
        <w:rPr>
          <w:rFonts w:asciiTheme="majorHAnsi" w:hAnsiTheme="majorHAnsi"/>
          <w:b/>
          <w:color w:val="000000" w:themeColor="text1"/>
          <w:spacing w:val="-2"/>
          <w:sz w:val="24"/>
        </w:rPr>
      </w:pPr>
      <w:bookmarkStart w:id="2" w:name="_Hlk3729023"/>
      <w:r w:rsidRPr="006631A1">
        <w:rPr>
          <w:rFonts w:asciiTheme="majorHAnsi" w:hAnsiTheme="majorHAnsi"/>
          <w:b/>
          <w:color w:val="000000" w:themeColor="text1"/>
          <w:spacing w:val="-2"/>
          <w:sz w:val="24"/>
        </w:rPr>
        <w:t xml:space="preserve">Tuesday: </w:t>
      </w:r>
      <w:r w:rsidRPr="006631A1">
        <w:rPr>
          <w:rFonts w:asciiTheme="majorHAnsi" w:hAnsiTheme="majorHAnsi"/>
          <w:bCs/>
          <w:color w:val="000000" w:themeColor="text1"/>
          <w:spacing w:val="-2"/>
          <w:sz w:val="24"/>
        </w:rPr>
        <w:t>The July Consumer Price Index appears, reporting the country’s monthly and annual rate of inflation.</w:t>
      </w:r>
    </w:p>
    <w:p w:rsidR="00FE7D39" w:rsidRPr="006631A1" w:rsidRDefault="007D7A39" w:rsidP="00FE7D39">
      <w:pPr>
        <w:spacing w:line="240" w:lineRule="auto"/>
        <w:rPr>
          <w:rFonts w:asciiTheme="majorHAnsi" w:hAnsiTheme="majorHAnsi"/>
          <w:b/>
          <w:color w:val="000000" w:themeColor="text1"/>
          <w:spacing w:val="-2"/>
          <w:sz w:val="24"/>
        </w:rPr>
      </w:pPr>
      <w:r w:rsidRPr="006631A1">
        <w:rPr>
          <w:rFonts w:asciiTheme="majorHAnsi" w:hAnsiTheme="majorHAnsi"/>
          <w:b/>
          <w:color w:val="000000" w:themeColor="text1"/>
          <w:spacing w:val="-2"/>
          <w:sz w:val="24"/>
        </w:rPr>
        <w:t xml:space="preserve">Thursday: </w:t>
      </w:r>
      <w:r w:rsidRPr="006631A1">
        <w:rPr>
          <w:rFonts w:asciiTheme="majorHAnsi" w:hAnsiTheme="majorHAnsi"/>
          <w:bCs/>
          <w:color w:val="000000" w:themeColor="text1"/>
          <w:spacing w:val="-2"/>
          <w:sz w:val="24"/>
        </w:rPr>
        <w:t>July retail sales numbers from the Census Bureau.</w:t>
      </w:r>
    </w:p>
    <w:p w:rsidR="00FE7D39" w:rsidRPr="00C0649C" w:rsidRDefault="007D7A39" w:rsidP="00FE7D39">
      <w:pPr>
        <w:spacing w:line="240" w:lineRule="auto"/>
        <w:rPr>
          <w:rFonts w:asciiTheme="majorHAnsi" w:eastAsia="Times New Roman" w:hAnsiTheme="majorHAnsi"/>
          <w:color w:val="000000" w:themeColor="text1"/>
          <w:spacing w:val="-2"/>
          <w:sz w:val="24"/>
          <w:szCs w:val="20"/>
        </w:rPr>
      </w:pPr>
      <w:r w:rsidRPr="006631A1">
        <w:rPr>
          <w:rFonts w:asciiTheme="majorHAnsi" w:hAnsiTheme="majorHAnsi"/>
          <w:b/>
          <w:color w:val="000000" w:themeColor="text1"/>
          <w:spacing w:val="-2"/>
          <w:sz w:val="24"/>
        </w:rPr>
        <w:t xml:space="preserve">Friday: </w:t>
      </w:r>
      <w:r w:rsidRPr="006631A1">
        <w:rPr>
          <w:rFonts w:asciiTheme="majorHAnsi" w:hAnsiTheme="majorHAnsi"/>
          <w:bCs/>
          <w:color w:val="000000" w:themeColor="text1"/>
          <w:spacing w:val="-2"/>
          <w:sz w:val="24"/>
        </w:rPr>
        <w:t xml:space="preserve">The initial August University of Michigan </w:t>
      </w:r>
      <w:r>
        <w:rPr>
          <w:rFonts w:asciiTheme="majorHAnsi" w:hAnsiTheme="majorHAnsi"/>
          <w:bCs/>
          <w:color w:val="000000" w:themeColor="text1"/>
          <w:spacing w:val="-2"/>
          <w:sz w:val="24"/>
        </w:rPr>
        <w:t>C</w:t>
      </w:r>
      <w:r w:rsidRPr="006631A1">
        <w:rPr>
          <w:rFonts w:asciiTheme="majorHAnsi" w:hAnsiTheme="majorHAnsi"/>
          <w:bCs/>
          <w:color w:val="000000" w:themeColor="text1"/>
          <w:spacing w:val="-2"/>
          <w:sz w:val="24"/>
        </w:rPr>
        <w:t xml:space="preserve">onsumer </w:t>
      </w:r>
      <w:r>
        <w:rPr>
          <w:rFonts w:asciiTheme="majorHAnsi" w:hAnsiTheme="majorHAnsi"/>
          <w:bCs/>
          <w:color w:val="000000" w:themeColor="text1"/>
          <w:spacing w:val="-2"/>
          <w:sz w:val="24"/>
        </w:rPr>
        <w:t>S</w:t>
      </w:r>
      <w:r w:rsidRPr="006631A1">
        <w:rPr>
          <w:rFonts w:asciiTheme="majorHAnsi" w:hAnsiTheme="majorHAnsi"/>
          <w:bCs/>
          <w:color w:val="000000" w:themeColor="text1"/>
          <w:spacing w:val="-2"/>
          <w:sz w:val="24"/>
        </w:rPr>
        <w:t xml:space="preserve">entiment </w:t>
      </w:r>
      <w:r>
        <w:rPr>
          <w:rFonts w:asciiTheme="majorHAnsi" w:hAnsiTheme="majorHAnsi"/>
          <w:bCs/>
          <w:color w:val="000000" w:themeColor="text1"/>
          <w:spacing w:val="-2"/>
          <w:sz w:val="24"/>
        </w:rPr>
        <w:t>I</w:t>
      </w:r>
      <w:r w:rsidRPr="006631A1">
        <w:rPr>
          <w:rFonts w:asciiTheme="majorHAnsi" w:hAnsiTheme="majorHAnsi"/>
          <w:bCs/>
          <w:color w:val="000000" w:themeColor="text1"/>
          <w:spacing w:val="-2"/>
          <w:sz w:val="24"/>
        </w:rPr>
        <w:t>ndex presents the latest snapshot of household confidence in the economy</w:t>
      </w:r>
      <w:r w:rsidRPr="00D95DF2">
        <w:rPr>
          <w:rFonts w:asciiTheme="majorHAnsi" w:hAnsiTheme="majorHAnsi"/>
          <w:color w:val="000000" w:themeColor="text1"/>
          <w:spacing w:val="-2"/>
          <w:sz w:val="24"/>
        </w:rPr>
        <w:t>.</w:t>
      </w:r>
    </w:p>
    <w:bookmarkEnd w:id="2"/>
    <w:p w:rsidR="00FE7D39" w:rsidRPr="000525F2" w:rsidRDefault="007D7A39" w:rsidP="00FE7D39">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 MarketWatch Calendar, </w:t>
      </w:r>
      <w:r>
        <w:rPr>
          <w:rFonts w:eastAsia="Times New Roman"/>
          <w:color w:val="000000"/>
          <w:sz w:val="18"/>
          <w:szCs w:val="20"/>
        </w:rPr>
        <w:t>August 9, 2019</w:t>
      </w:r>
    </w:p>
    <w:p w:rsidR="00FE7D39" w:rsidRPr="0043614C" w:rsidRDefault="007D7A39" w:rsidP="00FE7D39">
      <w:pPr>
        <w:spacing w:line="240" w:lineRule="auto"/>
        <w:jc w:val="both"/>
        <w:rPr>
          <w:rFonts w:asciiTheme="majorHAnsi" w:hAnsiTheme="majorHAnsi"/>
          <w:color w:val="000000" w:themeColor="text1"/>
          <w:spacing w:val="-2"/>
          <w:sz w:val="24"/>
        </w:rPr>
      </w:pPr>
      <w:r w:rsidRPr="00EC38D4">
        <w:rPr>
          <w:rFonts w:eastAsia="Times New Roman"/>
          <w:color w:val="000000"/>
          <w:sz w:val="18"/>
          <w:szCs w:val="20"/>
        </w:rPr>
        <w:t>The content is developed from sources believed to be providing a</w:t>
      </w:r>
      <w:r w:rsidRPr="00EC38D4">
        <w:rPr>
          <w:rFonts w:eastAsia="Times New Roman"/>
          <w:color w:val="000000"/>
          <w:sz w:val="18"/>
          <w:szCs w:val="20"/>
        </w:rPr>
        <w:t>ccurate information. The forecasts or forward-looking statements are based on assumptions and may not materialize. The forecasts also are subject to revision. The release of data may be delayed without notice for a variety of reasons</w:t>
      </w:r>
      <w:r w:rsidRPr="000525F2">
        <w:rPr>
          <w:rFonts w:eastAsia="Times New Roman"/>
          <w:color w:val="000000"/>
          <w:sz w:val="18"/>
          <w:szCs w:val="20"/>
        </w:rPr>
        <w:t>.</w:t>
      </w:r>
    </w:p>
    <w:p w:rsidR="00FE7D39" w:rsidRPr="0043614C" w:rsidRDefault="007D7A39" w:rsidP="00FE7D39">
      <w:pPr>
        <w:spacing w:line="276" w:lineRule="auto"/>
        <w:rPr>
          <w:rFonts w:asciiTheme="majorHAnsi" w:hAnsiTheme="majorHAnsi"/>
          <w:color w:val="808080"/>
          <w:spacing w:val="-2"/>
          <w:sz w:val="4"/>
        </w:rPr>
      </w:pPr>
    </w:p>
    <w:p w:rsidR="00FE7D39" w:rsidRDefault="007D7A39" w:rsidP="00FE7D39">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 xml:space="preserve">THE WEEK AHEAD: </w:t>
      </w:r>
      <w:r w:rsidRPr="000525F2">
        <w:rPr>
          <w:rFonts w:asciiTheme="majorHAnsi" w:hAnsiTheme="majorHAnsi"/>
          <w:b/>
          <w:color w:val="E88E0A"/>
          <w:spacing w:val="-2"/>
          <w:sz w:val="28"/>
        </w:rPr>
        <w:t>COMPANIES REPORTING EARNINGS</w:t>
      </w:r>
    </w:p>
    <w:p w:rsidR="00FE7D39" w:rsidRPr="006631A1" w:rsidRDefault="007D7A39" w:rsidP="00FE7D39">
      <w:pPr>
        <w:spacing w:line="240" w:lineRule="auto"/>
        <w:rPr>
          <w:rFonts w:asciiTheme="majorHAnsi" w:hAnsiTheme="majorHAnsi"/>
          <w:b/>
          <w:color w:val="000000" w:themeColor="text1"/>
          <w:spacing w:val="-2"/>
          <w:sz w:val="24"/>
        </w:rPr>
      </w:pPr>
      <w:r w:rsidRPr="006631A1">
        <w:rPr>
          <w:rFonts w:asciiTheme="majorHAnsi" w:hAnsiTheme="majorHAnsi"/>
          <w:b/>
          <w:color w:val="000000" w:themeColor="text1"/>
          <w:spacing w:val="-2"/>
          <w:sz w:val="24"/>
        </w:rPr>
        <w:t xml:space="preserve">Monday: </w:t>
      </w:r>
      <w:r w:rsidRPr="006631A1">
        <w:rPr>
          <w:rFonts w:asciiTheme="majorHAnsi" w:hAnsiTheme="majorHAnsi"/>
          <w:bCs/>
          <w:color w:val="000000" w:themeColor="text1"/>
          <w:spacing w:val="-2"/>
          <w:sz w:val="24"/>
        </w:rPr>
        <w:t>Sysco (SYY)</w:t>
      </w:r>
    </w:p>
    <w:p w:rsidR="00FE7D39" w:rsidRPr="006631A1" w:rsidRDefault="007D7A39" w:rsidP="00FE7D39">
      <w:pPr>
        <w:spacing w:line="240" w:lineRule="auto"/>
        <w:rPr>
          <w:rFonts w:asciiTheme="majorHAnsi" w:hAnsiTheme="majorHAnsi"/>
          <w:b/>
          <w:color w:val="000000" w:themeColor="text1"/>
          <w:spacing w:val="-2"/>
          <w:sz w:val="24"/>
        </w:rPr>
      </w:pPr>
      <w:r w:rsidRPr="006631A1">
        <w:rPr>
          <w:rFonts w:asciiTheme="majorHAnsi" w:hAnsiTheme="majorHAnsi"/>
          <w:b/>
          <w:color w:val="000000" w:themeColor="text1"/>
          <w:spacing w:val="-2"/>
          <w:sz w:val="24"/>
        </w:rPr>
        <w:t xml:space="preserve">Wednesday: </w:t>
      </w:r>
      <w:r w:rsidRPr="006631A1">
        <w:rPr>
          <w:rFonts w:asciiTheme="majorHAnsi" w:hAnsiTheme="majorHAnsi"/>
          <w:bCs/>
          <w:color w:val="000000" w:themeColor="text1"/>
          <w:spacing w:val="-2"/>
          <w:sz w:val="24"/>
        </w:rPr>
        <w:t>Cisco (CSCO)</w:t>
      </w:r>
    </w:p>
    <w:p w:rsidR="00FE7D39" w:rsidRPr="006631A1" w:rsidRDefault="007D7A39" w:rsidP="00FE7D39">
      <w:pPr>
        <w:spacing w:line="240" w:lineRule="auto"/>
        <w:rPr>
          <w:rFonts w:asciiTheme="majorHAnsi" w:hAnsiTheme="majorHAnsi"/>
          <w:b/>
          <w:color w:val="000000" w:themeColor="text1"/>
          <w:spacing w:val="-2"/>
          <w:sz w:val="24"/>
        </w:rPr>
      </w:pPr>
      <w:r w:rsidRPr="006631A1">
        <w:rPr>
          <w:rFonts w:asciiTheme="majorHAnsi" w:hAnsiTheme="majorHAnsi"/>
          <w:b/>
          <w:color w:val="000000" w:themeColor="text1"/>
          <w:spacing w:val="-2"/>
          <w:sz w:val="24"/>
        </w:rPr>
        <w:t xml:space="preserve">Thursday: </w:t>
      </w:r>
      <w:r w:rsidRPr="006631A1">
        <w:rPr>
          <w:rFonts w:asciiTheme="majorHAnsi" w:hAnsiTheme="majorHAnsi"/>
          <w:bCs/>
          <w:color w:val="000000" w:themeColor="text1"/>
          <w:spacing w:val="-2"/>
          <w:sz w:val="24"/>
        </w:rPr>
        <w:t>Alibaba (BABA), Applied Materials (AMAT), Nvidia (NVDA), Walmart (WMT)</w:t>
      </w:r>
    </w:p>
    <w:p w:rsidR="00FE7D39" w:rsidRPr="00C0649C" w:rsidRDefault="007D7A39" w:rsidP="00FE7D39">
      <w:pPr>
        <w:spacing w:line="240" w:lineRule="auto"/>
        <w:rPr>
          <w:rFonts w:asciiTheme="majorHAnsi" w:eastAsia="Times New Roman" w:hAnsiTheme="majorHAnsi"/>
          <w:color w:val="000000" w:themeColor="text1"/>
          <w:spacing w:val="-2"/>
          <w:sz w:val="24"/>
          <w:szCs w:val="20"/>
        </w:rPr>
      </w:pPr>
      <w:r w:rsidRPr="006631A1">
        <w:rPr>
          <w:rFonts w:asciiTheme="majorHAnsi" w:hAnsiTheme="majorHAnsi"/>
          <w:b/>
          <w:color w:val="000000" w:themeColor="text1"/>
          <w:spacing w:val="-2"/>
          <w:sz w:val="24"/>
        </w:rPr>
        <w:t xml:space="preserve">Friday: </w:t>
      </w:r>
      <w:r w:rsidRPr="006631A1">
        <w:rPr>
          <w:rFonts w:asciiTheme="majorHAnsi" w:hAnsiTheme="majorHAnsi"/>
          <w:bCs/>
          <w:color w:val="000000" w:themeColor="text1"/>
          <w:spacing w:val="-2"/>
          <w:sz w:val="24"/>
        </w:rPr>
        <w:t>Deere &amp; Co. (DE)</w:t>
      </w:r>
    </w:p>
    <w:p w:rsidR="00FE7D39" w:rsidRPr="000525F2" w:rsidRDefault="007D7A39" w:rsidP="00FE7D39">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August 9, 2019</w:t>
      </w:r>
    </w:p>
    <w:p w:rsidR="00FE7D39" w:rsidRPr="000525F2" w:rsidRDefault="007D7A39" w:rsidP="00FE7D39">
      <w:pPr>
        <w:spacing w:line="240" w:lineRule="auto"/>
        <w:rPr>
          <w:rFonts w:ascii="Times New Roman" w:eastAsia="Times New Roman" w:hAnsi="Times New Roman" w:cs="Times New Roman"/>
          <w:szCs w:val="24"/>
        </w:rPr>
      </w:pPr>
      <w:r w:rsidRPr="000525F2">
        <w:rPr>
          <w:rFonts w:eastAsia="Times New Roman"/>
          <w:color w:val="000000"/>
          <w:sz w:val="18"/>
          <w:szCs w:val="20"/>
        </w:rPr>
        <w:lastRenderedPageBreak/>
        <w:t>Companies mentioned are for informational p</w:t>
      </w:r>
      <w:r w:rsidRPr="000525F2">
        <w:rPr>
          <w:rFonts w:eastAsia="Times New Roman"/>
          <w:color w:val="000000"/>
          <w:sz w:val="18"/>
          <w:szCs w:val="20"/>
        </w:rPr>
        <w:t>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w:t>
      </w:r>
      <w:r w:rsidRPr="000525F2">
        <w:rPr>
          <w:rFonts w:eastAsia="Times New Roman"/>
          <w:color w:val="000000"/>
          <w:sz w:val="18"/>
          <w:szCs w:val="20"/>
        </w:rPr>
        <w:t>arket conditions change. When sold, investments may be worth more or less than their original cost. Companies may reschedule when they report earnings without notic</w:t>
      </w:r>
      <w:r>
        <w:rPr>
          <w:rFonts w:eastAsia="Times New Roman"/>
          <w:color w:val="000000"/>
          <w:sz w:val="18"/>
          <w:szCs w:val="20"/>
        </w:rPr>
        <w:t>e.</w:t>
      </w:r>
    </w:p>
    <w:p w:rsidR="00FE7D39" w:rsidRPr="0043614C" w:rsidRDefault="007D7A39" w:rsidP="00FE7D39">
      <w:pPr>
        <w:spacing w:line="276" w:lineRule="auto"/>
        <w:rPr>
          <w:rFonts w:asciiTheme="majorHAnsi" w:hAnsiTheme="majorHAnsi"/>
          <w:color w:val="808080"/>
          <w:spacing w:val="-2"/>
          <w:sz w:val="4"/>
        </w:rPr>
      </w:pPr>
    </w:p>
    <w:p w:rsidR="00FE7D39" w:rsidRDefault="007D7A39" w:rsidP="00FE7D3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FE7D39" w:rsidRPr="0043614C" w:rsidRDefault="007D7A39" w:rsidP="00FE7D39">
      <w:pPr>
        <w:spacing w:line="276" w:lineRule="auto"/>
        <w:jc w:val="center"/>
        <w:rPr>
          <w:rStyle w:val="st"/>
          <w:rFonts w:asciiTheme="majorHAnsi" w:hAnsiTheme="majorHAnsi"/>
          <w:color w:val="E88E0A"/>
          <w:sz w:val="4"/>
        </w:rPr>
      </w:pPr>
    </w:p>
    <w:p w:rsidR="00FE7D39" w:rsidRPr="00B2579B" w:rsidRDefault="007D7A39" w:rsidP="00FE7D39">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FE7D39" w:rsidRPr="0043614C" w:rsidRDefault="007D7A39" w:rsidP="00FE7D39">
      <w:pPr>
        <w:spacing w:line="276" w:lineRule="auto"/>
        <w:jc w:val="center"/>
        <w:rPr>
          <w:rStyle w:val="st"/>
          <w:rFonts w:asciiTheme="majorHAnsi" w:hAnsiTheme="majorHAnsi"/>
          <w:sz w:val="4"/>
        </w:rPr>
      </w:pPr>
    </w:p>
    <w:p w:rsidR="00FE7D39" w:rsidRDefault="007D7A39" w:rsidP="00FE7D39">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FE7D39" w:rsidRPr="00234A75" w:rsidRDefault="007D7A39" w:rsidP="00FE7D39">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567C88">
        <w:rPr>
          <w:rStyle w:val="st"/>
          <w:rFonts w:asciiTheme="majorHAnsi" w:hAnsiTheme="majorHAnsi"/>
          <w:b/>
          <w:bCs/>
          <w:i/>
          <w:sz w:val="36"/>
        </w:rPr>
        <w:t>Dignity</w:t>
      </w:r>
      <w:r w:rsidRPr="00567C88">
        <w:rPr>
          <w:rStyle w:val="st"/>
          <w:rFonts w:asciiTheme="majorHAnsi" w:hAnsiTheme="majorHAnsi"/>
          <w:i/>
          <w:sz w:val="36"/>
        </w:rPr>
        <w:t xml:space="preserve"> does not come in </w:t>
      </w:r>
      <w:r w:rsidRPr="00567C88">
        <w:rPr>
          <w:rStyle w:val="st"/>
          <w:rFonts w:asciiTheme="majorHAnsi" w:hAnsiTheme="majorHAnsi"/>
          <w:b/>
          <w:bCs/>
          <w:i/>
          <w:sz w:val="36"/>
        </w:rPr>
        <w:t>possessing</w:t>
      </w:r>
      <w:r w:rsidRPr="00567C88">
        <w:rPr>
          <w:rStyle w:val="st"/>
          <w:rFonts w:asciiTheme="majorHAnsi" w:hAnsiTheme="majorHAnsi"/>
          <w:i/>
          <w:sz w:val="36"/>
        </w:rPr>
        <w:t xml:space="preserve"> honors, but in </w:t>
      </w:r>
      <w:r w:rsidRPr="00567C88">
        <w:rPr>
          <w:rStyle w:val="st"/>
          <w:rFonts w:asciiTheme="majorHAnsi" w:hAnsiTheme="majorHAnsi"/>
          <w:b/>
          <w:bCs/>
          <w:i/>
          <w:sz w:val="36"/>
        </w:rPr>
        <w:t>deserving</w:t>
      </w:r>
      <w:r w:rsidRPr="00567C88">
        <w:rPr>
          <w:rStyle w:val="st"/>
          <w:rFonts w:asciiTheme="majorHAnsi" w:hAnsiTheme="majorHAnsi"/>
          <w:i/>
          <w:sz w:val="36"/>
        </w:rPr>
        <w:t xml:space="preserve"> them</w:t>
      </w:r>
      <w:r w:rsidRPr="004F6F29">
        <w:rPr>
          <w:rStyle w:val="st"/>
          <w:rFonts w:asciiTheme="majorHAnsi" w:hAnsiTheme="majorHAnsi"/>
          <w:i/>
          <w:sz w:val="36"/>
        </w:rPr>
        <w:t>.</w:t>
      </w:r>
      <w:r w:rsidRPr="00234A75">
        <w:rPr>
          <w:rStyle w:val="st"/>
          <w:rFonts w:asciiTheme="majorHAnsi" w:hAnsiTheme="majorHAnsi"/>
          <w:i/>
          <w:sz w:val="36"/>
        </w:rPr>
        <w:t>”</w:t>
      </w:r>
    </w:p>
    <w:p w:rsidR="00FE7D39" w:rsidRPr="00552AA9" w:rsidRDefault="007D7A39" w:rsidP="00FE7D39">
      <w:pPr>
        <w:spacing w:line="276" w:lineRule="auto"/>
        <w:jc w:val="center"/>
        <w:rPr>
          <w:rStyle w:val="st"/>
          <w:rFonts w:asciiTheme="majorHAnsi" w:hAnsiTheme="majorHAnsi"/>
          <w:sz w:val="24"/>
        </w:rPr>
      </w:pPr>
      <w:r>
        <w:rPr>
          <w:rStyle w:val="st"/>
          <w:rFonts w:asciiTheme="majorHAnsi" w:hAnsiTheme="majorHAnsi"/>
          <w:i/>
          <w:color w:val="E88E0A"/>
        </w:rPr>
        <w:t>ARISTOTLE</w:t>
      </w:r>
    </w:p>
    <w:p w:rsidR="00FE7D39" w:rsidRPr="0043614C" w:rsidRDefault="007D7A39" w:rsidP="00FE7D39">
      <w:pPr>
        <w:spacing w:line="276" w:lineRule="auto"/>
        <w:jc w:val="center"/>
        <w:rPr>
          <w:rStyle w:val="st"/>
          <w:rFonts w:asciiTheme="majorHAnsi" w:hAnsiTheme="majorHAnsi"/>
          <w:i/>
          <w:color w:val="E88E0A"/>
          <w:sz w:val="4"/>
        </w:rPr>
      </w:pPr>
    </w:p>
    <w:p w:rsidR="00FE7D39" w:rsidRDefault="007D7A39" w:rsidP="00FE7D3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FE7D39" w:rsidRPr="0043614C" w:rsidRDefault="007D7A39" w:rsidP="00FE7D39">
      <w:pPr>
        <w:spacing w:line="276" w:lineRule="auto"/>
        <w:rPr>
          <w:rStyle w:val="st"/>
          <w:rFonts w:asciiTheme="majorHAnsi" w:hAnsiTheme="majorHAnsi"/>
          <w:sz w:val="4"/>
        </w:rPr>
      </w:pPr>
    </w:p>
    <w:p w:rsidR="00FE7D39" w:rsidRPr="001162D1" w:rsidRDefault="007D7A39" w:rsidP="00FE7D39">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FE7D39" w:rsidRDefault="007D7A39" w:rsidP="00FE7D3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FE7D39" w:rsidRPr="0043614C" w:rsidRDefault="007D7A39" w:rsidP="00FE7D39">
      <w:pPr>
        <w:spacing w:line="276" w:lineRule="auto"/>
        <w:jc w:val="center"/>
        <w:rPr>
          <w:rStyle w:val="st"/>
          <w:rFonts w:asciiTheme="majorHAnsi" w:hAnsiTheme="majorHAnsi"/>
          <w:color w:val="E88E0A"/>
          <w:sz w:val="4"/>
        </w:rPr>
      </w:pPr>
    </w:p>
    <w:p w:rsidR="00FE7D39" w:rsidRPr="00B2579B" w:rsidRDefault="007D7A39" w:rsidP="00FE7D39">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FE7D39" w:rsidRPr="0043614C" w:rsidRDefault="007D7A39" w:rsidP="00FE7D39">
      <w:pPr>
        <w:spacing w:line="276" w:lineRule="auto"/>
        <w:jc w:val="center"/>
        <w:rPr>
          <w:rStyle w:val="st"/>
          <w:rFonts w:asciiTheme="majorHAnsi" w:hAnsiTheme="majorHAnsi"/>
          <w:sz w:val="4"/>
        </w:rPr>
      </w:pPr>
    </w:p>
    <w:p w:rsidR="00FE7D39" w:rsidRDefault="007D7A39" w:rsidP="00FE7D39">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FE7D39" w:rsidRPr="00EA0505" w:rsidRDefault="007D7A39" w:rsidP="00FE7D39">
      <w:pPr>
        <w:spacing w:line="276" w:lineRule="auto"/>
        <w:jc w:val="center"/>
        <w:rPr>
          <w:rStyle w:val="st"/>
          <w:rFonts w:asciiTheme="majorHAnsi" w:hAnsiTheme="majorHAnsi"/>
          <w:b/>
          <w:i/>
          <w:sz w:val="36"/>
        </w:rPr>
      </w:pPr>
      <w:r>
        <w:rPr>
          <w:rStyle w:val="st"/>
          <w:rFonts w:asciiTheme="majorHAnsi" w:hAnsiTheme="majorHAnsi"/>
          <w:i/>
          <w:sz w:val="36"/>
        </w:rPr>
        <w:t xml:space="preserve">You write the word </w:t>
      </w:r>
      <w:r w:rsidRPr="00AF7AE8">
        <w:rPr>
          <w:rStyle w:val="st"/>
          <w:rFonts w:asciiTheme="majorHAnsi" w:hAnsiTheme="majorHAnsi"/>
          <w:b/>
          <w:bCs/>
          <w:iCs/>
          <w:sz w:val="36"/>
        </w:rPr>
        <w:t>one</w:t>
      </w:r>
      <w:r>
        <w:rPr>
          <w:rStyle w:val="st"/>
          <w:rFonts w:asciiTheme="majorHAnsi" w:hAnsiTheme="majorHAnsi"/>
          <w:i/>
          <w:sz w:val="36"/>
        </w:rPr>
        <w:t xml:space="preserve"> on a piece of paper. An observer tells you she can make </w:t>
      </w:r>
      <w:r w:rsidRPr="00AF7AE8">
        <w:rPr>
          <w:rStyle w:val="st"/>
          <w:rFonts w:asciiTheme="majorHAnsi" w:hAnsiTheme="majorHAnsi"/>
          <w:iCs/>
          <w:sz w:val="36"/>
        </w:rPr>
        <w:t>one</w:t>
      </w:r>
      <w:r>
        <w:rPr>
          <w:rStyle w:val="st"/>
          <w:rFonts w:asciiTheme="majorHAnsi" w:hAnsiTheme="majorHAnsi"/>
          <w:i/>
          <w:sz w:val="36"/>
        </w:rPr>
        <w:t xml:space="preserve"> </w:t>
      </w:r>
      <w:r w:rsidRPr="00567C88">
        <w:rPr>
          <w:rStyle w:val="st"/>
          <w:rFonts w:asciiTheme="majorHAnsi" w:hAnsiTheme="majorHAnsi"/>
          <w:b/>
          <w:bCs/>
          <w:i/>
          <w:sz w:val="36"/>
        </w:rPr>
        <w:t>disappear</w:t>
      </w:r>
      <w:r>
        <w:rPr>
          <w:rStyle w:val="st"/>
          <w:rFonts w:asciiTheme="majorHAnsi" w:hAnsiTheme="majorHAnsi"/>
          <w:i/>
          <w:sz w:val="36"/>
        </w:rPr>
        <w:t xml:space="preserve"> by </w:t>
      </w:r>
      <w:r w:rsidRPr="00567C88">
        <w:rPr>
          <w:rStyle w:val="st"/>
          <w:rFonts w:asciiTheme="majorHAnsi" w:hAnsiTheme="majorHAnsi"/>
          <w:b/>
          <w:bCs/>
          <w:i/>
          <w:sz w:val="36"/>
        </w:rPr>
        <w:t>adding</w:t>
      </w:r>
      <w:r>
        <w:rPr>
          <w:rStyle w:val="st"/>
          <w:rFonts w:asciiTheme="majorHAnsi" w:hAnsiTheme="majorHAnsi"/>
          <w:i/>
          <w:sz w:val="36"/>
        </w:rPr>
        <w:t xml:space="preserve"> something to it. Is this true, and how can she do it</w:t>
      </w:r>
      <w:r w:rsidRPr="003B2B01">
        <w:rPr>
          <w:rStyle w:val="st"/>
          <w:rFonts w:asciiTheme="majorHAnsi" w:hAnsiTheme="majorHAnsi"/>
          <w:i/>
          <w:sz w:val="36"/>
        </w:rPr>
        <w:t>?</w:t>
      </w:r>
    </w:p>
    <w:p w:rsidR="00FE7D39" w:rsidRPr="0043614C" w:rsidRDefault="007D7A39" w:rsidP="00FE7D39">
      <w:pPr>
        <w:spacing w:line="276" w:lineRule="auto"/>
        <w:jc w:val="center"/>
        <w:rPr>
          <w:rStyle w:val="st"/>
          <w:rFonts w:asciiTheme="majorHAnsi" w:hAnsiTheme="majorHAnsi"/>
          <w:i/>
          <w:color w:val="A6A6A6" w:themeColor="background1" w:themeShade="A6"/>
          <w:sz w:val="4"/>
        </w:rPr>
      </w:pPr>
    </w:p>
    <w:p w:rsidR="00FE7D39" w:rsidRPr="001162D1" w:rsidRDefault="007D7A39" w:rsidP="00FE7D39">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567C88">
        <w:rPr>
          <w:rStyle w:val="st"/>
          <w:rFonts w:asciiTheme="majorHAnsi" w:hAnsiTheme="majorHAnsi"/>
          <w:i/>
          <w:color w:val="646464"/>
        </w:rPr>
        <w:t>What two things will you never be able to eat at dinner</w:t>
      </w:r>
      <w:r w:rsidRPr="001162D1">
        <w:rPr>
          <w:rStyle w:val="st"/>
          <w:rFonts w:asciiTheme="majorHAnsi" w:hAnsiTheme="majorHAnsi"/>
          <w:i/>
          <w:color w:val="646464"/>
        </w:rPr>
        <w:t>?</w:t>
      </w:r>
    </w:p>
    <w:p w:rsidR="005A4FD6" w:rsidRPr="001162D1" w:rsidRDefault="007D7A39" w:rsidP="00FE7D39">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Breakfast and lunch.</w:t>
      </w:r>
    </w:p>
    <w:p w:rsidR="005A4FD6" w:rsidRPr="0043614C" w:rsidRDefault="007D7A39" w:rsidP="005A4FD6">
      <w:pPr>
        <w:spacing w:line="276" w:lineRule="auto"/>
        <w:jc w:val="center"/>
        <w:rPr>
          <w:rStyle w:val="st"/>
          <w:rFonts w:asciiTheme="majorHAnsi" w:hAnsiTheme="majorHAnsi"/>
          <w:i/>
          <w:color w:val="A6A6A6" w:themeColor="background1" w:themeShade="A6"/>
          <w:sz w:val="4"/>
        </w:rPr>
      </w:pPr>
    </w:p>
    <w:p w:rsidR="005A4FD6" w:rsidRDefault="007D7A39"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7D7A39"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to send us </w:t>
      </w:r>
      <w:r>
        <w:rPr>
          <w:rFonts w:asciiTheme="majorHAnsi" w:hAnsiTheme="majorHAnsi" w:cs="Times New Roman"/>
          <w:sz w:val="24"/>
          <w:szCs w:val="32"/>
        </w:rPr>
        <w:t>their contact information via phone or email. (Don’t worry – we’ll request their permission before adding them to our mailing list.)</w:t>
      </w:r>
    </w:p>
    <w:p w:rsidR="00237981" w:rsidRDefault="007D7A39"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7D7A39" w:rsidRDefault="007D7A39" w:rsidP="007D7A39">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Kestra Investment Services, LLC (Kestra IS), a member FINRA/SIPC.  Investment advisory services offered through Kestra Advisory Services, LLC (Kestra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Kestra IS.  Levine Group, LLC is not affiliated with Kestra IS or Kestra AS.</w:t>
      </w:r>
    </w:p>
    <w:p w:rsidR="00EC7552" w:rsidRPr="002543AC" w:rsidRDefault="007D7A39" w:rsidP="00EC7552">
      <w:pPr>
        <w:spacing w:line="276" w:lineRule="auto"/>
        <w:rPr>
          <w:rFonts w:asciiTheme="majorHAnsi" w:hAnsiTheme="majorHAnsi" w:cs="Arial"/>
          <w:color w:val="646464"/>
          <w:sz w:val="16"/>
          <w:szCs w:val="16"/>
        </w:rPr>
      </w:pPr>
      <w:bookmarkStart w:id="3" w:name="_Hlk2950709"/>
      <w:bookmarkStart w:id="4" w:name="_Hlk5367224"/>
      <w:bookmarkStart w:id="5" w:name="_Hlk1133051"/>
      <w:r w:rsidRPr="002543AC">
        <w:rPr>
          <w:rFonts w:asciiTheme="majorHAnsi" w:hAnsiTheme="majorHAnsi" w:cs="Arial"/>
          <w:color w:val="646464"/>
          <w:sz w:val="16"/>
          <w:szCs w:val="16"/>
        </w:rPr>
        <w:t>CITATIONS:</w:t>
      </w:r>
    </w:p>
    <w:p w:rsidR="00EC7552" w:rsidRDefault="007D7A39" w:rsidP="00973B82">
      <w:pPr>
        <w:spacing w:after="0" w:line="240" w:lineRule="auto"/>
        <w:rPr>
          <w:rFonts w:asciiTheme="majorHAnsi" w:hAnsiTheme="majorHAnsi" w:cs="Arial"/>
          <w:color w:val="767171" w:themeColor="background2" w:themeShade="80"/>
          <w:sz w:val="16"/>
        </w:rPr>
      </w:pPr>
      <w:bookmarkStart w:id="6" w:name="_Hlk7787319"/>
      <w:r>
        <w:rPr>
          <w:rFonts w:asciiTheme="majorHAnsi" w:hAnsiTheme="majorHAnsi" w:cs="Arial"/>
          <w:color w:val="767171" w:themeColor="background2" w:themeShade="80"/>
          <w:sz w:val="16"/>
        </w:rPr>
        <w:t>1</w:t>
      </w:r>
      <w:r w:rsidRPr="008E589A">
        <w:rPr>
          <w:rFonts w:asciiTheme="majorHAnsi" w:hAnsiTheme="majorHAnsi" w:cs="Arial"/>
          <w:color w:val="767171" w:themeColor="background2" w:themeShade="80"/>
          <w:sz w:val="16"/>
        </w:rPr>
        <w:t xml:space="preserve"> - </w:t>
      </w:r>
      <w:bookmarkStart w:id="7" w:name="_Hlk8391553"/>
      <w:r w:rsidRPr="00B64741">
        <w:rPr>
          <w:rFonts w:asciiTheme="majorHAnsi" w:hAnsiTheme="majorHAnsi" w:cs="Arial"/>
          <w:color w:val="767171" w:themeColor="background2" w:themeShade="80"/>
          <w:sz w:val="16"/>
        </w:rPr>
        <w:t xml:space="preserve">wsj.com/market-data </w:t>
      </w:r>
      <w:bookmarkEnd w:id="7"/>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8/9</w:t>
      </w:r>
      <w:r w:rsidRPr="008E589A">
        <w:rPr>
          <w:rFonts w:asciiTheme="majorHAnsi" w:hAnsiTheme="majorHAnsi" w:cs="Arial"/>
          <w:color w:val="767171" w:themeColor="background2" w:themeShade="80"/>
          <w:sz w:val="16"/>
        </w:rPr>
        <w:t>/19]</w:t>
      </w:r>
    </w:p>
    <w:p w:rsidR="00EC7552" w:rsidRDefault="007D7A39" w:rsidP="00973B82">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8" w:name="_Hlk3552605"/>
      <w:bookmarkStart w:id="9" w:name="_Hlk5972390"/>
      <w:r w:rsidRPr="008E589A">
        <w:rPr>
          <w:rFonts w:asciiTheme="majorHAnsi" w:hAnsiTheme="majorHAnsi" w:cs="Calibri"/>
          <w:color w:val="767171" w:themeColor="background2" w:themeShade="80"/>
          <w:sz w:val="16"/>
          <w:szCs w:val="16"/>
        </w:rPr>
        <w:t>quotes.wsj.com/index/XX/990300/historical-</w:t>
      </w:r>
      <w:r w:rsidRPr="008E589A">
        <w:rPr>
          <w:rFonts w:asciiTheme="majorHAnsi" w:hAnsiTheme="majorHAnsi" w:cs="Calibri"/>
          <w:color w:val="767171" w:themeColor="background2" w:themeShade="80"/>
          <w:sz w:val="16"/>
          <w:szCs w:val="16"/>
        </w:rPr>
        <w:t>prices</w:t>
      </w:r>
      <w:bookmarkEnd w:id="8"/>
      <w:r w:rsidRPr="008E589A">
        <w:rPr>
          <w:rFonts w:asciiTheme="majorHAnsi" w:hAnsiTheme="majorHAnsi" w:cs="Calibri"/>
          <w:color w:val="767171" w:themeColor="background2" w:themeShade="80"/>
          <w:sz w:val="16"/>
          <w:szCs w:val="16"/>
        </w:rPr>
        <w:t xml:space="preserve"> </w:t>
      </w:r>
      <w:bookmarkEnd w:id="9"/>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8/9</w:t>
      </w:r>
      <w:r w:rsidRPr="008E589A">
        <w:rPr>
          <w:rFonts w:asciiTheme="majorHAnsi" w:hAnsiTheme="majorHAnsi" w:cs="Calibri"/>
          <w:color w:val="767171" w:themeColor="background2" w:themeShade="80"/>
          <w:sz w:val="16"/>
          <w:szCs w:val="16"/>
        </w:rPr>
        <w:t>/19]</w:t>
      </w:r>
    </w:p>
    <w:p w:rsidR="00EC7552" w:rsidRDefault="007D7A39" w:rsidP="00973B82">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CD3D95">
        <w:rPr>
          <w:rFonts w:asciiTheme="majorHAnsi" w:hAnsiTheme="majorHAnsi" w:cs="Arial"/>
          <w:color w:val="767171" w:themeColor="background2" w:themeShade="80"/>
          <w:sz w:val="16"/>
        </w:rPr>
        <w:t>bloomberg.com/news/articles/2019-08-04/asia-stocks-set-to-drop-with-trade-back-in-focus-markets-wrap</w:t>
      </w:r>
      <w:r w:rsidRPr="00C25586">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[8/5/19]</w:t>
      </w:r>
    </w:p>
    <w:p w:rsidR="00EC7552" w:rsidRDefault="007D7A39" w:rsidP="00973B82">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4</w:t>
      </w:r>
      <w:r w:rsidRPr="008E589A">
        <w:rPr>
          <w:rFonts w:asciiTheme="majorHAnsi" w:hAnsiTheme="majorHAnsi" w:cs="Calibri"/>
          <w:color w:val="767171" w:themeColor="background2" w:themeShade="80"/>
          <w:sz w:val="16"/>
          <w:szCs w:val="16"/>
        </w:rPr>
        <w:t xml:space="preserve"> - </w:t>
      </w:r>
      <w:r w:rsidRPr="009010D4">
        <w:rPr>
          <w:rFonts w:asciiTheme="majorHAnsi" w:hAnsiTheme="majorHAnsi" w:cs="Calibri"/>
          <w:color w:val="767171" w:themeColor="background2" w:themeShade="80"/>
          <w:sz w:val="16"/>
          <w:szCs w:val="16"/>
        </w:rPr>
        <w:t xml:space="preserve">bloomberg.com/news/articles/2019-08-05/china-hits-back-at-trump-with-weaker-yuan-halt-on-crop-imports </w:t>
      </w:r>
      <w:r>
        <w:rPr>
          <w:rFonts w:asciiTheme="majorHAnsi" w:hAnsiTheme="majorHAnsi" w:cs="Calibri"/>
          <w:color w:val="767171" w:themeColor="background2" w:themeShade="80"/>
          <w:sz w:val="16"/>
          <w:szCs w:val="16"/>
        </w:rPr>
        <w:t>[8/5/19]</w:t>
      </w:r>
    </w:p>
    <w:p w:rsidR="00EC7552" w:rsidRPr="0024756A" w:rsidRDefault="007D7A39" w:rsidP="00973B82">
      <w:pPr>
        <w:spacing w:after="0" w:line="240" w:lineRule="auto"/>
        <w:rPr>
          <w:rFonts w:asciiTheme="majorHAnsi" w:hAnsiTheme="majorHAnsi" w:cstheme="majorHAnsi"/>
          <w:color w:val="808080" w:themeColor="background1" w:themeShade="80"/>
          <w:sz w:val="16"/>
          <w:szCs w:val="16"/>
        </w:rPr>
      </w:pPr>
      <w:r w:rsidRPr="0024756A">
        <w:rPr>
          <w:rFonts w:asciiTheme="majorHAnsi" w:hAnsiTheme="majorHAnsi" w:cstheme="majorHAnsi"/>
          <w:noProof/>
          <w:color w:val="808080" w:themeColor="background1" w:themeShade="80"/>
          <w:sz w:val="16"/>
          <w:szCs w:val="16"/>
        </w:rPr>
        <w:t xml:space="preserve">5 - </w:t>
      </w:r>
      <w:r w:rsidRPr="000A312F">
        <w:rPr>
          <w:rFonts w:asciiTheme="majorHAnsi" w:hAnsiTheme="majorHAnsi" w:cstheme="majorHAnsi"/>
          <w:noProof/>
          <w:color w:val="808080" w:themeColor="background1" w:themeShade="80"/>
          <w:sz w:val="16"/>
          <w:szCs w:val="16"/>
        </w:rPr>
        <w:t xml:space="preserve">insight.factset.com/earnings-season-update-august-9-2019 </w:t>
      </w:r>
      <w:r>
        <w:rPr>
          <w:rFonts w:asciiTheme="majorHAnsi" w:hAnsiTheme="majorHAnsi" w:cstheme="majorHAnsi"/>
          <w:noProof/>
          <w:color w:val="808080" w:themeColor="background1" w:themeShade="80"/>
          <w:sz w:val="16"/>
          <w:szCs w:val="16"/>
        </w:rPr>
        <w:t>[8/9/19]</w:t>
      </w:r>
    </w:p>
    <w:p w:rsidR="00EC7552" w:rsidRPr="00973B82" w:rsidRDefault="007D7A39" w:rsidP="00973B82">
      <w:pPr>
        <w:spacing w:after="0" w:line="240" w:lineRule="auto"/>
        <w:rPr>
          <w:rFonts w:asciiTheme="majorHAnsi" w:hAnsiTheme="majorHAnsi" w:cstheme="majorHAnsi"/>
          <w:color w:val="808080" w:themeColor="background1" w:themeShade="80"/>
          <w:sz w:val="16"/>
          <w:szCs w:val="16"/>
        </w:rPr>
      </w:pPr>
      <w:bookmarkStart w:id="10" w:name="_Hlk2950788"/>
      <w:bookmarkEnd w:id="3"/>
      <w:r>
        <w:rPr>
          <w:rFonts w:asciiTheme="majorHAnsi" w:hAnsiTheme="majorHAnsi" w:cstheme="majorHAnsi"/>
          <w:noProof/>
          <w:color w:val="808080" w:themeColor="background1" w:themeShade="80"/>
          <w:sz w:val="16"/>
          <w:szCs w:val="16"/>
        </w:rPr>
        <w:t>6</w:t>
      </w:r>
      <w:r w:rsidRPr="0024756A">
        <w:rPr>
          <w:rFonts w:asciiTheme="majorHAnsi" w:hAnsiTheme="majorHAnsi" w:cstheme="majorHAnsi"/>
          <w:noProof/>
          <w:color w:val="808080" w:themeColor="background1" w:themeShade="80"/>
          <w:sz w:val="16"/>
          <w:szCs w:val="16"/>
        </w:rPr>
        <w:t xml:space="preserve"> - </w:t>
      </w:r>
      <w:r w:rsidRPr="00A401C4">
        <w:rPr>
          <w:rFonts w:asciiTheme="majorHAnsi" w:hAnsiTheme="majorHAnsi" w:cstheme="majorHAnsi"/>
          <w:noProof/>
          <w:color w:val="808080" w:themeColor="background1" w:themeShade="80"/>
          <w:sz w:val="16"/>
          <w:szCs w:val="16"/>
        </w:rPr>
        <w:t xml:space="preserve">cnbc.com/2019/08/07/how-bonds-with-negative-yields-work-and-why-this-growing-phenomenon-is-so-bad-for-the-economy.html </w:t>
      </w:r>
      <w:r>
        <w:rPr>
          <w:rFonts w:asciiTheme="majorHAnsi" w:hAnsiTheme="majorHAnsi" w:cstheme="majorHAnsi"/>
          <w:noProof/>
          <w:color w:val="808080" w:themeColor="background1" w:themeShade="80"/>
          <w:sz w:val="16"/>
          <w:szCs w:val="16"/>
        </w:rPr>
        <w:t>[8/7/19]</w:t>
      </w:r>
    </w:p>
    <w:p w:rsidR="00EC7552" w:rsidRDefault="007D7A39" w:rsidP="00973B82">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7 - </w:t>
      </w:r>
      <w:r w:rsidRPr="00C83FB2">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8/9</w:t>
      </w:r>
      <w:r w:rsidRPr="008E589A">
        <w:rPr>
          <w:rFonts w:asciiTheme="majorHAnsi" w:hAnsiTheme="majorHAnsi" w:cs="Arial"/>
          <w:color w:val="767171" w:themeColor="background2" w:themeShade="80"/>
          <w:sz w:val="16"/>
        </w:rPr>
        <w:t>/19]</w:t>
      </w:r>
    </w:p>
    <w:p w:rsidR="00EC7552" w:rsidRDefault="007D7A39" w:rsidP="00EC7552">
      <w:pPr>
        <w:spacing w:line="276" w:lineRule="auto"/>
        <w:rPr>
          <w:noProof/>
        </w:rPr>
      </w:pPr>
    </w:p>
    <w:p w:rsidR="00EC7552" w:rsidRPr="002543AC" w:rsidRDefault="007D7A39" w:rsidP="00EC7552">
      <w:pPr>
        <w:spacing w:line="276" w:lineRule="auto"/>
        <w:rPr>
          <w:rFonts w:asciiTheme="majorHAnsi" w:hAnsiTheme="majorHAnsi" w:cs="Arial"/>
          <w:color w:val="646464"/>
          <w:sz w:val="16"/>
          <w:szCs w:val="16"/>
        </w:rPr>
      </w:pPr>
      <w:bookmarkStart w:id="11" w:name="_Hlk5367252"/>
      <w:bookmarkEnd w:id="4"/>
      <w:bookmarkEnd w:id="6"/>
      <w:r w:rsidRPr="002543AC">
        <w:rPr>
          <w:rFonts w:asciiTheme="majorHAnsi" w:hAnsiTheme="majorHAnsi" w:cs="Arial"/>
          <w:color w:val="646464"/>
          <w:sz w:val="16"/>
          <w:szCs w:val="16"/>
        </w:rPr>
        <w:t>CHART CITATIONS:</w:t>
      </w:r>
    </w:p>
    <w:p w:rsidR="00EC7552" w:rsidRDefault="007D7A39" w:rsidP="00EC7552">
      <w:pPr>
        <w:spacing w:after="0" w:line="240" w:lineRule="auto"/>
        <w:rPr>
          <w:rFonts w:asciiTheme="majorHAnsi" w:hAnsiTheme="majorHAnsi" w:cs="Arial"/>
          <w:color w:val="767171" w:themeColor="background2" w:themeShade="80"/>
          <w:sz w:val="16"/>
        </w:rPr>
      </w:pPr>
      <w:bookmarkStart w:id="12" w:name="_Hlk7787375"/>
      <w:proofErr w:type="gramStart"/>
      <w:r w:rsidRPr="00B64741">
        <w:rPr>
          <w:rFonts w:asciiTheme="majorHAnsi" w:hAnsiTheme="majorHAnsi" w:cs="Arial"/>
          <w:color w:val="767171" w:themeColor="background2" w:themeShade="80"/>
          <w:sz w:val="16"/>
        </w:rPr>
        <w:t>wsj.com/market-data</w:t>
      </w:r>
      <w:proofErr w:type="gramEnd"/>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8/9</w:t>
      </w:r>
      <w:r w:rsidRPr="008E589A">
        <w:rPr>
          <w:rFonts w:asciiTheme="majorHAnsi" w:hAnsiTheme="majorHAnsi" w:cs="Arial"/>
          <w:color w:val="767171" w:themeColor="background2" w:themeShade="80"/>
          <w:sz w:val="16"/>
        </w:rPr>
        <w:t>/19]</w:t>
      </w:r>
    </w:p>
    <w:p w:rsidR="00EC7552" w:rsidRDefault="007D7A39" w:rsidP="00EC7552">
      <w:pPr>
        <w:spacing w:after="0" w:line="240" w:lineRule="auto"/>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[8/9/19]</w:t>
      </w:r>
    </w:p>
    <w:bookmarkEnd w:id="12"/>
    <w:p w:rsidR="00EC7552" w:rsidRPr="008E589A" w:rsidRDefault="007D7A39" w:rsidP="00EC7552">
      <w:pPr>
        <w:spacing w:after="0" w:line="240" w:lineRule="auto"/>
        <w:rPr>
          <w:rFonts w:asciiTheme="majorHAnsi" w:hAnsiTheme="majorHAnsi" w:cs="Arial"/>
          <w:color w:val="767171" w:themeColor="background2" w:themeShade="80"/>
          <w:sz w:val="16"/>
        </w:rPr>
      </w:pPr>
      <w:r w:rsidRPr="00C83FB2">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8/9</w:t>
      </w:r>
      <w:r w:rsidRPr="008E589A">
        <w:rPr>
          <w:rFonts w:asciiTheme="majorHAnsi" w:hAnsiTheme="majorHAnsi" w:cs="Arial"/>
          <w:color w:val="767171" w:themeColor="background2" w:themeShade="80"/>
          <w:sz w:val="16"/>
        </w:rPr>
        <w:t>/19]</w:t>
      </w:r>
    </w:p>
    <w:p w:rsidR="00EC7552" w:rsidRPr="008E589A" w:rsidRDefault="007D7A39" w:rsidP="00EC7552">
      <w:pPr>
        <w:spacing w:after="0" w:line="240" w:lineRule="auto"/>
        <w:rPr>
          <w:noProof/>
          <w:color w:val="767171" w:themeColor="background2" w:themeShade="80"/>
        </w:rPr>
      </w:pPr>
      <w:bookmarkStart w:id="13" w:name="_Hlk7787450"/>
      <w:r w:rsidRPr="008E589A">
        <w:rPr>
          <w:rFonts w:asciiTheme="majorHAnsi" w:hAnsiTheme="majorHAnsi" w:cs="Arial"/>
          <w:color w:val="767171" w:themeColor="background2" w:themeShade="80"/>
          <w:sz w:val="16"/>
        </w:rPr>
        <w:t>treasury.gov/resource-center/data-chart-center/interest-rates/Pages/TextView.aspx?data=yieldAll [</w:t>
      </w:r>
      <w:r>
        <w:rPr>
          <w:rFonts w:asciiTheme="majorHAnsi" w:hAnsiTheme="majorHAnsi" w:cs="Arial"/>
          <w:color w:val="767171" w:themeColor="background2" w:themeShade="80"/>
          <w:sz w:val="16"/>
        </w:rPr>
        <w:t>8/9</w:t>
      </w:r>
      <w:r w:rsidRPr="008E589A">
        <w:rPr>
          <w:rFonts w:asciiTheme="majorHAnsi" w:hAnsiTheme="majorHAnsi" w:cs="Arial"/>
          <w:color w:val="767171" w:themeColor="background2" w:themeShade="80"/>
          <w:sz w:val="16"/>
        </w:rPr>
        <w:t>/19]</w:t>
      </w:r>
    </w:p>
    <w:bookmarkEnd w:id="5"/>
    <w:bookmarkEnd w:id="10"/>
    <w:bookmarkEnd w:id="11"/>
    <w:bookmarkEnd w:id="13"/>
    <w:p w:rsidR="00EC7552" w:rsidRPr="008E589A" w:rsidRDefault="007D7A39" w:rsidP="00EC7552">
      <w:pPr>
        <w:rPr>
          <w:color w:val="767171" w:themeColor="background2" w:themeShade="80"/>
        </w:rPr>
      </w:pPr>
    </w:p>
    <w:p w:rsidR="007916FF" w:rsidRPr="00E55C73" w:rsidRDefault="007D7A39" w:rsidP="00E476E1">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9"/>
    <w:rsid w:val="007D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CFC2-B286-4073-AB71-568C625E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2019-08-12T17:31:00Z</dcterms:created>
  <dcterms:modified xsi:type="dcterms:W3CDTF">2019-08-12T17:31:00Z</dcterms:modified>
</cp:coreProperties>
</file>