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5322" w14:textId="77777777" w:rsidR="003D7EF3" w:rsidRDefault="003D7EF3" w:rsidP="003D7EF3">
      <w:pPr>
        <w:spacing w:after="240"/>
        <w:jc w:val="center"/>
        <w:rPr>
          <w:b/>
          <w:smallCaps/>
          <w:sz w:val="40"/>
          <w:szCs w:val="40"/>
        </w:rPr>
      </w:pPr>
    </w:p>
    <w:p w14:paraId="04E52B54" w14:textId="77777777" w:rsidR="003D7EF3" w:rsidRDefault="003D7EF3" w:rsidP="003D7EF3">
      <w:pPr>
        <w:spacing w:after="240"/>
        <w:jc w:val="center"/>
        <w:rPr>
          <w:b/>
          <w:smallCaps/>
          <w:sz w:val="56"/>
          <w:szCs w:val="56"/>
        </w:rPr>
      </w:pPr>
    </w:p>
    <w:p w14:paraId="66BBDF2C" w14:textId="77777777" w:rsidR="003D7EF3" w:rsidRPr="003D7EF3" w:rsidRDefault="0075479B" w:rsidP="003D7EF3">
      <w:pPr>
        <w:spacing w:after="240"/>
        <w:jc w:val="center"/>
        <w:rPr>
          <w:b/>
          <w:smallCaps/>
          <w:sz w:val="56"/>
          <w:szCs w:val="56"/>
        </w:rPr>
      </w:pPr>
      <w:r w:rsidRPr="003D7EF3">
        <w:rPr>
          <w:b/>
          <w:smallCaps/>
          <w:sz w:val="56"/>
          <w:szCs w:val="56"/>
        </w:rPr>
        <w:t>Cutter &amp; Company, Inc.</w:t>
      </w:r>
    </w:p>
    <w:p w14:paraId="506D9AE3" w14:textId="77777777" w:rsidR="003D7EF3" w:rsidRDefault="003D7EF3" w:rsidP="003D7EF3">
      <w:pPr>
        <w:spacing w:after="240"/>
        <w:jc w:val="center"/>
        <w:rPr>
          <w:b/>
          <w:smallCaps/>
          <w:sz w:val="56"/>
          <w:szCs w:val="56"/>
        </w:rPr>
      </w:pPr>
    </w:p>
    <w:p w14:paraId="17DBD2A1" w14:textId="77777777" w:rsidR="003D7EF3" w:rsidRPr="003D7EF3" w:rsidRDefault="003D7EF3" w:rsidP="003D7EF3">
      <w:pPr>
        <w:spacing w:after="240"/>
        <w:jc w:val="center"/>
        <w:rPr>
          <w:b/>
          <w:smallCaps/>
          <w:sz w:val="56"/>
          <w:szCs w:val="56"/>
        </w:rPr>
      </w:pPr>
    </w:p>
    <w:p w14:paraId="672C2DFF" w14:textId="77777777" w:rsidR="003D7EF3" w:rsidRPr="003D7EF3" w:rsidRDefault="0075479B" w:rsidP="003D7EF3">
      <w:pPr>
        <w:spacing w:after="240"/>
        <w:jc w:val="center"/>
        <w:rPr>
          <w:b/>
          <w:smallCaps/>
          <w:sz w:val="56"/>
          <w:szCs w:val="56"/>
        </w:rPr>
      </w:pPr>
      <w:r w:rsidRPr="003D7EF3">
        <w:rPr>
          <w:b/>
          <w:smallCaps/>
          <w:sz w:val="56"/>
          <w:szCs w:val="56"/>
        </w:rPr>
        <w:t xml:space="preserve">Investment </w:t>
      </w:r>
      <w:r w:rsidR="009A1659">
        <w:rPr>
          <w:b/>
          <w:smallCaps/>
          <w:sz w:val="56"/>
          <w:szCs w:val="56"/>
        </w:rPr>
        <w:t>Advisor</w:t>
      </w:r>
    </w:p>
    <w:p w14:paraId="24ED82BB" w14:textId="77777777" w:rsidR="003D7EF3" w:rsidRDefault="0075479B" w:rsidP="003D7EF3">
      <w:pPr>
        <w:spacing w:after="240"/>
        <w:jc w:val="center"/>
        <w:rPr>
          <w:b/>
          <w:smallCaps/>
          <w:sz w:val="56"/>
          <w:szCs w:val="56"/>
        </w:rPr>
      </w:pPr>
      <w:r w:rsidRPr="003D7EF3">
        <w:rPr>
          <w:b/>
          <w:smallCaps/>
          <w:sz w:val="56"/>
          <w:szCs w:val="56"/>
        </w:rPr>
        <w:t>Compliance</w:t>
      </w:r>
      <w:r w:rsidR="003D7EF3" w:rsidRPr="003D7EF3">
        <w:rPr>
          <w:b/>
          <w:smallCaps/>
          <w:sz w:val="56"/>
          <w:szCs w:val="56"/>
        </w:rPr>
        <w:t xml:space="preserve"> </w:t>
      </w:r>
    </w:p>
    <w:p w14:paraId="46BCF369" w14:textId="77777777" w:rsidR="003D7EF3" w:rsidRDefault="003D7EF3" w:rsidP="003D7EF3">
      <w:pPr>
        <w:spacing w:after="240"/>
        <w:jc w:val="center"/>
        <w:rPr>
          <w:b/>
          <w:smallCaps/>
          <w:sz w:val="56"/>
          <w:szCs w:val="56"/>
        </w:rPr>
      </w:pPr>
      <w:smartTag w:uri="urn:schemas-microsoft-com:office:smarttags" w:element="stockticker">
        <w:r>
          <w:rPr>
            <w:b/>
            <w:smallCaps/>
            <w:sz w:val="56"/>
            <w:szCs w:val="56"/>
          </w:rPr>
          <w:t>a</w:t>
        </w:r>
        <w:r w:rsidR="0075479B" w:rsidRPr="003D7EF3">
          <w:rPr>
            <w:b/>
            <w:smallCaps/>
            <w:sz w:val="56"/>
            <w:szCs w:val="56"/>
          </w:rPr>
          <w:t>nd</w:t>
        </w:r>
      </w:smartTag>
      <w:r w:rsidRPr="003D7EF3">
        <w:rPr>
          <w:b/>
          <w:smallCaps/>
          <w:sz w:val="56"/>
          <w:szCs w:val="56"/>
        </w:rPr>
        <w:t xml:space="preserve"> </w:t>
      </w:r>
    </w:p>
    <w:p w14:paraId="59D2D4D1" w14:textId="77777777" w:rsidR="0075479B" w:rsidRPr="003D7EF3" w:rsidRDefault="0075479B" w:rsidP="003D7EF3">
      <w:pPr>
        <w:spacing w:after="240"/>
        <w:jc w:val="center"/>
        <w:rPr>
          <w:b/>
          <w:smallCaps/>
          <w:sz w:val="56"/>
          <w:szCs w:val="56"/>
        </w:rPr>
      </w:pPr>
      <w:r w:rsidRPr="003D7EF3">
        <w:rPr>
          <w:b/>
          <w:smallCaps/>
          <w:sz w:val="56"/>
          <w:szCs w:val="56"/>
        </w:rPr>
        <w:t>Supervisory</w:t>
      </w:r>
    </w:p>
    <w:p w14:paraId="083B2F52" w14:textId="77777777" w:rsidR="0075479B" w:rsidRPr="003D7EF3" w:rsidRDefault="0075479B" w:rsidP="003D7EF3">
      <w:pPr>
        <w:spacing w:after="240"/>
        <w:jc w:val="center"/>
        <w:rPr>
          <w:b/>
          <w:smallCaps/>
          <w:sz w:val="56"/>
          <w:szCs w:val="56"/>
        </w:rPr>
      </w:pPr>
      <w:r w:rsidRPr="003D7EF3">
        <w:rPr>
          <w:b/>
          <w:smallCaps/>
          <w:sz w:val="56"/>
          <w:szCs w:val="56"/>
        </w:rPr>
        <w:t>Manual</w:t>
      </w:r>
    </w:p>
    <w:p w14:paraId="619304A6" w14:textId="38DC1323" w:rsidR="003D7EF3" w:rsidRPr="003D7EF3" w:rsidRDefault="00BF1A58" w:rsidP="003D7EF3">
      <w:pPr>
        <w:spacing w:after="240"/>
        <w:jc w:val="center"/>
        <w:rPr>
          <w:b/>
          <w:smallCaps/>
          <w:sz w:val="56"/>
          <w:szCs w:val="56"/>
        </w:rPr>
      </w:pPr>
      <w:r>
        <w:rPr>
          <w:b/>
          <w:smallCaps/>
          <w:sz w:val="56"/>
          <w:szCs w:val="56"/>
        </w:rPr>
        <w:t>February, 202</w:t>
      </w:r>
      <w:r w:rsidR="00D256EF">
        <w:rPr>
          <w:b/>
          <w:smallCaps/>
          <w:sz w:val="56"/>
          <w:szCs w:val="56"/>
        </w:rPr>
        <w:t>2</w:t>
      </w:r>
    </w:p>
    <w:p w14:paraId="6026466B" w14:textId="77777777" w:rsidR="0075479B" w:rsidRPr="0068447B" w:rsidRDefault="0075479B" w:rsidP="003F3B3D">
      <w:pPr>
        <w:pStyle w:val="FootnoteText"/>
        <w:jc w:val="center"/>
        <w:rPr>
          <w:sz w:val="36"/>
          <w:szCs w:val="28"/>
          <w:u w:val="single"/>
        </w:rPr>
      </w:pPr>
      <w:r w:rsidRPr="003D7EF3">
        <w:rPr>
          <w:sz w:val="56"/>
          <w:szCs w:val="56"/>
        </w:rPr>
        <w:br w:type="page"/>
      </w:r>
      <w:r w:rsidRPr="0068447B">
        <w:rPr>
          <w:sz w:val="36"/>
          <w:szCs w:val="28"/>
          <w:u w:val="single"/>
        </w:rPr>
        <w:lastRenderedPageBreak/>
        <w:t>Table of Contents</w:t>
      </w:r>
    </w:p>
    <w:p w14:paraId="37686936" w14:textId="77777777" w:rsidR="0075479B" w:rsidRDefault="0075479B">
      <w:pPr>
        <w:keepNext/>
        <w:tabs>
          <w:tab w:val="left" w:leader="dot" w:pos="6840"/>
          <w:tab w:val="left" w:pos="7920"/>
        </w:tabs>
        <w:spacing w:after="120"/>
        <w:rPr>
          <w:b/>
          <w:sz w:val="21"/>
          <w:szCs w:val="21"/>
        </w:rPr>
      </w:pPr>
      <w:r>
        <w:rPr>
          <w:b/>
          <w:smallCaps/>
          <w:sz w:val="21"/>
          <w:szCs w:val="21"/>
        </w:rPr>
        <w:t>Introduction</w:t>
      </w:r>
      <w:r>
        <w:rPr>
          <w:b/>
          <w:smallCaps/>
          <w:sz w:val="21"/>
          <w:szCs w:val="21"/>
        </w:rPr>
        <w:tab/>
      </w:r>
      <w:r>
        <w:rPr>
          <w:b/>
          <w:smallCaps/>
          <w:sz w:val="21"/>
          <w:szCs w:val="21"/>
        </w:rPr>
        <w:tab/>
      </w:r>
      <w:r>
        <w:rPr>
          <w:b/>
          <w:sz w:val="21"/>
          <w:szCs w:val="21"/>
        </w:rPr>
        <w:t>Section I</w:t>
      </w:r>
    </w:p>
    <w:p w14:paraId="3B991D80" w14:textId="77777777" w:rsidR="0075479B" w:rsidRDefault="0075479B">
      <w:pPr>
        <w:keepNext/>
        <w:tabs>
          <w:tab w:val="left" w:leader="dot" w:pos="6840"/>
          <w:tab w:val="left" w:pos="7920"/>
        </w:tabs>
        <w:spacing w:after="120"/>
        <w:rPr>
          <w:b/>
          <w:sz w:val="21"/>
          <w:szCs w:val="21"/>
        </w:rPr>
      </w:pPr>
      <w:r>
        <w:rPr>
          <w:b/>
          <w:smallCaps/>
          <w:sz w:val="21"/>
          <w:szCs w:val="21"/>
        </w:rPr>
        <w:t xml:space="preserve">Registration </w:t>
      </w:r>
      <w:smartTag w:uri="urn:schemas-microsoft-com:office:smarttags" w:element="stockticker">
        <w:r>
          <w:rPr>
            <w:b/>
            <w:smallCaps/>
            <w:sz w:val="21"/>
            <w:szCs w:val="21"/>
          </w:rPr>
          <w:t>And</w:t>
        </w:r>
      </w:smartTag>
      <w:r>
        <w:rPr>
          <w:b/>
          <w:smallCaps/>
          <w:sz w:val="21"/>
          <w:szCs w:val="21"/>
        </w:rPr>
        <w:t xml:space="preserve"> Licensing</w:t>
      </w:r>
      <w:r>
        <w:rPr>
          <w:b/>
          <w:smallCaps/>
          <w:sz w:val="21"/>
          <w:szCs w:val="21"/>
        </w:rPr>
        <w:tab/>
      </w:r>
      <w:r>
        <w:rPr>
          <w:b/>
          <w:smallCaps/>
          <w:sz w:val="21"/>
          <w:szCs w:val="21"/>
        </w:rPr>
        <w:tab/>
      </w:r>
      <w:r>
        <w:rPr>
          <w:b/>
          <w:sz w:val="21"/>
          <w:szCs w:val="21"/>
        </w:rPr>
        <w:t>Section II</w:t>
      </w:r>
    </w:p>
    <w:p w14:paraId="7C0D8C04" w14:textId="77777777" w:rsidR="0075479B" w:rsidRDefault="0075479B">
      <w:pPr>
        <w:tabs>
          <w:tab w:val="left" w:leader="dot" w:pos="6840"/>
          <w:tab w:val="left" w:pos="7920"/>
        </w:tabs>
        <w:spacing w:after="120"/>
        <w:ind w:left="720"/>
        <w:rPr>
          <w:sz w:val="21"/>
          <w:szCs w:val="21"/>
        </w:rPr>
      </w:pPr>
      <w:r>
        <w:rPr>
          <w:sz w:val="21"/>
          <w:szCs w:val="21"/>
        </w:rPr>
        <w:t>Registration</w:t>
      </w:r>
    </w:p>
    <w:p w14:paraId="2EC17176" w14:textId="77777777" w:rsidR="00E70CF2" w:rsidRDefault="00E70CF2">
      <w:pPr>
        <w:tabs>
          <w:tab w:val="left" w:leader="dot" w:pos="6840"/>
          <w:tab w:val="left" w:pos="7920"/>
        </w:tabs>
        <w:spacing w:after="120"/>
        <w:ind w:left="720"/>
        <w:rPr>
          <w:sz w:val="21"/>
          <w:szCs w:val="21"/>
        </w:rPr>
      </w:pPr>
      <w:r>
        <w:rPr>
          <w:sz w:val="21"/>
          <w:szCs w:val="21"/>
        </w:rPr>
        <w:t>Designation of Chief Compliance Officer</w:t>
      </w:r>
    </w:p>
    <w:p w14:paraId="4E2A8705" w14:textId="77777777" w:rsidR="0075479B" w:rsidRDefault="0075479B">
      <w:pPr>
        <w:tabs>
          <w:tab w:val="left" w:leader="dot" w:pos="6840"/>
          <w:tab w:val="left" w:pos="7920"/>
        </w:tabs>
        <w:spacing w:after="120"/>
        <w:ind w:left="720"/>
        <w:rPr>
          <w:sz w:val="21"/>
          <w:szCs w:val="21"/>
        </w:rPr>
      </w:pPr>
      <w:r>
        <w:rPr>
          <w:sz w:val="21"/>
          <w:szCs w:val="21"/>
        </w:rPr>
        <w:t xml:space="preserve">Definition of Investment </w:t>
      </w:r>
      <w:r w:rsidR="009A1659">
        <w:rPr>
          <w:sz w:val="21"/>
          <w:szCs w:val="21"/>
        </w:rPr>
        <w:t>Advisor</w:t>
      </w:r>
      <w:r w:rsidR="00E70CF2">
        <w:rPr>
          <w:sz w:val="21"/>
          <w:szCs w:val="21"/>
        </w:rPr>
        <w:t xml:space="preserve"> Representative</w:t>
      </w:r>
    </w:p>
    <w:p w14:paraId="508AABC6" w14:textId="77777777" w:rsidR="0075479B" w:rsidRDefault="0075479B">
      <w:pPr>
        <w:tabs>
          <w:tab w:val="left" w:leader="dot" w:pos="6840"/>
          <w:tab w:val="left" w:pos="7920"/>
        </w:tabs>
        <w:spacing w:after="120"/>
        <w:ind w:left="720"/>
        <w:rPr>
          <w:sz w:val="21"/>
          <w:szCs w:val="21"/>
        </w:rPr>
      </w:pPr>
      <w:r>
        <w:rPr>
          <w:sz w:val="21"/>
          <w:szCs w:val="21"/>
        </w:rPr>
        <w:t xml:space="preserve">Form </w:t>
      </w:r>
      <w:smartTag w:uri="urn:schemas-microsoft-com:office:smarttags" w:element="stockticker">
        <w:r>
          <w:rPr>
            <w:sz w:val="21"/>
            <w:szCs w:val="21"/>
          </w:rPr>
          <w:t>ADV</w:t>
        </w:r>
      </w:smartTag>
      <w:r w:rsidR="00D92EE3">
        <w:rPr>
          <w:sz w:val="21"/>
          <w:szCs w:val="21"/>
        </w:rPr>
        <w:t>/CRS</w:t>
      </w:r>
    </w:p>
    <w:p w14:paraId="72ECA66A" w14:textId="77777777" w:rsidR="00E70CF2" w:rsidRDefault="00E70CF2">
      <w:pPr>
        <w:tabs>
          <w:tab w:val="left" w:leader="dot" w:pos="6840"/>
          <w:tab w:val="left" w:pos="7920"/>
        </w:tabs>
        <w:spacing w:after="120"/>
        <w:ind w:left="720"/>
        <w:rPr>
          <w:sz w:val="21"/>
          <w:szCs w:val="21"/>
        </w:rPr>
      </w:pPr>
      <w:r>
        <w:rPr>
          <w:sz w:val="21"/>
          <w:szCs w:val="21"/>
        </w:rPr>
        <w:t>Part 2 of Form ADV</w:t>
      </w:r>
    </w:p>
    <w:p w14:paraId="7BB92864" w14:textId="77777777" w:rsidR="0075479B" w:rsidRDefault="0075479B">
      <w:pPr>
        <w:tabs>
          <w:tab w:val="left" w:leader="dot" w:pos="6840"/>
          <w:tab w:val="left" w:pos="7920"/>
        </w:tabs>
        <w:spacing w:after="120"/>
        <w:ind w:left="720"/>
        <w:rPr>
          <w:sz w:val="21"/>
          <w:szCs w:val="21"/>
        </w:rPr>
      </w:pPr>
      <w:r>
        <w:rPr>
          <w:sz w:val="21"/>
          <w:szCs w:val="21"/>
        </w:rPr>
        <w:t>Review and Updating of Form</w:t>
      </w:r>
    </w:p>
    <w:p w14:paraId="094F7626" w14:textId="77777777" w:rsidR="00E70CF2" w:rsidRDefault="00E70CF2">
      <w:pPr>
        <w:tabs>
          <w:tab w:val="left" w:leader="dot" w:pos="6840"/>
          <w:tab w:val="left" w:pos="7920"/>
        </w:tabs>
        <w:spacing w:after="120"/>
        <w:ind w:left="720"/>
        <w:rPr>
          <w:sz w:val="21"/>
          <w:szCs w:val="21"/>
        </w:rPr>
      </w:pPr>
      <w:r>
        <w:rPr>
          <w:sz w:val="21"/>
          <w:szCs w:val="21"/>
        </w:rPr>
        <w:t>Filing Fees</w:t>
      </w:r>
    </w:p>
    <w:p w14:paraId="48743FFC" w14:textId="77777777" w:rsidR="0075479B" w:rsidRDefault="0075479B">
      <w:pPr>
        <w:tabs>
          <w:tab w:val="left" w:leader="dot" w:pos="6840"/>
          <w:tab w:val="left" w:pos="7920"/>
        </w:tabs>
        <w:spacing w:after="120"/>
        <w:ind w:left="720"/>
        <w:rPr>
          <w:sz w:val="21"/>
          <w:szCs w:val="21"/>
        </w:rPr>
      </w:pPr>
      <w:r>
        <w:rPr>
          <w:sz w:val="21"/>
          <w:szCs w:val="21"/>
        </w:rPr>
        <w:t>Withdrawal from Registration</w:t>
      </w:r>
    </w:p>
    <w:p w14:paraId="2EC77885" w14:textId="77777777" w:rsidR="0075479B" w:rsidRDefault="0075479B">
      <w:pPr>
        <w:tabs>
          <w:tab w:val="left" w:leader="dot" w:pos="6840"/>
          <w:tab w:val="left" w:pos="7920"/>
        </w:tabs>
        <w:spacing w:after="120"/>
        <w:ind w:left="720"/>
        <w:rPr>
          <w:sz w:val="21"/>
          <w:szCs w:val="21"/>
        </w:rPr>
      </w:pPr>
      <w:r>
        <w:rPr>
          <w:sz w:val="21"/>
          <w:szCs w:val="21"/>
        </w:rPr>
        <w:t>Regulatory Reporting</w:t>
      </w:r>
    </w:p>
    <w:p w14:paraId="35675538" w14:textId="77777777" w:rsidR="0075479B" w:rsidRDefault="0075479B">
      <w:pPr>
        <w:tabs>
          <w:tab w:val="left" w:leader="dot" w:pos="6840"/>
          <w:tab w:val="left" w:pos="7920"/>
        </w:tabs>
        <w:spacing w:after="120"/>
        <w:ind w:left="720"/>
        <w:rPr>
          <w:sz w:val="21"/>
          <w:szCs w:val="21"/>
        </w:rPr>
      </w:pPr>
      <w:r>
        <w:rPr>
          <w:sz w:val="21"/>
          <w:szCs w:val="21"/>
        </w:rPr>
        <w:t>State Licensing and Registration</w:t>
      </w:r>
    </w:p>
    <w:p w14:paraId="583D0315" w14:textId="77777777" w:rsidR="00E70CF2" w:rsidRDefault="00E70CF2">
      <w:pPr>
        <w:tabs>
          <w:tab w:val="left" w:leader="dot" w:pos="6840"/>
          <w:tab w:val="left" w:pos="7920"/>
        </w:tabs>
        <w:spacing w:after="120"/>
        <w:ind w:left="720"/>
        <w:rPr>
          <w:sz w:val="21"/>
          <w:szCs w:val="21"/>
        </w:rPr>
      </w:pPr>
      <w:r>
        <w:rPr>
          <w:sz w:val="21"/>
          <w:szCs w:val="21"/>
        </w:rPr>
        <w:t>Investment Advisor Representative Registration</w:t>
      </w:r>
    </w:p>
    <w:p w14:paraId="37AC303E" w14:textId="77777777" w:rsidR="00E70CF2" w:rsidRDefault="00E70CF2">
      <w:pPr>
        <w:tabs>
          <w:tab w:val="left" w:leader="dot" w:pos="6840"/>
          <w:tab w:val="left" w:pos="7920"/>
        </w:tabs>
        <w:spacing w:after="120"/>
        <w:ind w:left="720"/>
        <w:rPr>
          <w:sz w:val="21"/>
          <w:szCs w:val="21"/>
        </w:rPr>
      </w:pPr>
      <w:r>
        <w:rPr>
          <w:sz w:val="21"/>
          <w:szCs w:val="21"/>
        </w:rPr>
        <w:t>Registration Amendments</w:t>
      </w:r>
    </w:p>
    <w:p w14:paraId="63C39EC7" w14:textId="77777777" w:rsidR="0075479B" w:rsidRDefault="0075479B">
      <w:pPr>
        <w:tabs>
          <w:tab w:val="left" w:leader="dot" w:pos="6840"/>
          <w:tab w:val="left" w:pos="7920"/>
        </w:tabs>
        <w:spacing w:after="120"/>
        <w:ind w:left="720"/>
        <w:rPr>
          <w:sz w:val="21"/>
          <w:szCs w:val="21"/>
        </w:rPr>
      </w:pPr>
      <w:r>
        <w:rPr>
          <w:sz w:val="21"/>
          <w:szCs w:val="21"/>
        </w:rPr>
        <w:t>Supervision of Sub-</w:t>
      </w:r>
      <w:r w:rsidR="009A1659">
        <w:rPr>
          <w:sz w:val="21"/>
          <w:szCs w:val="21"/>
        </w:rPr>
        <w:t>Advisor</w:t>
      </w:r>
      <w:r>
        <w:rPr>
          <w:sz w:val="21"/>
          <w:szCs w:val="21"/>
        </w:rPr>
        <w:t>s</w:t>
      </w:r>
    </w:p>
    <w:p w14:paraId="62AF137B" w14:textId="77777777" w:rsidR="0075479B" w:rsidRDefault="0075479B">
      <w:pPr>
        <w:keepNext/>
        <w:tabs>
          <w:tab w:val="left" w:leader="dot" w:pos="6840"/>
          <w:tab w:val="left" w:pos="7920"/>
        </w:tabs>
        <w:spacing w:after="120"/>
        <w:rPr>
          <w:b/>
          <w:sz w:val="21"/>
          <w:szCs w:val="21"/>
        </w:rPr>
      </w:pPr>
      <w:r>
        <w:rPr>
          <w:b/>
          <w:smallCaps/>
          <w:sz w:val="21"/>
          <w:szCs w:val="21"/>
        </w:rPr>
        <w:t xml:space="preserve">Books </w:t>
      </w:r>
      <w:smartTag w:uri="urn:schemas-microsoft-com:office:smarttags" w:element="stockticker">
        <w:r>
          <w:rPr>
            <w:b/>
            <w:smallCaps/>
            <w:sz w:val="21"/>
            <w:szCs w:val="21"/>
          </w:rPr>
          <w:t>And</w:t>
        </w:r>
      </w:smartTag>
      <w:r>
        <w:rPr>
          <w:b/>
          <w:smallCaps/>
          <w:sz w:val="21"/>
          <w:szCs w:val="21"/>
        </w:rPr>
        <w:t xml:space="preserve"> Records</w:t>
      </w:r>
      <w:r>
        <w:rPr>
          <w:b/>
          <w:smallCaps/>
          <w:sz w:val="21"/>
          <w:szCs w:val="21"/>
        </w:rPr>
        <w:tab/>
      </w:r>
      <w:r>
        <w:rPr>
          <w:b/>
          <w:smallCaps/>
          <w:sz w:val="21"/>
          <w:szCs w:val="21"/>
        </w:rPr>
        <w:tab/>
      </w:r>
      <w:r>
        <w:rPr>
          <w:b/>
          <w:sz w:val="21"/>
          <w:szCs w:val="21"/>
        </w:rPr>
        <w:t>Section </w:t>
      </w:r>
      <w:smartTag w:uri="urn:schemas-microsoft-com:office:smarttags" w:element="stockticker">
        <w:r>
          <w:rPr>
            <w:b/>
            <w:sz w:val="21"/>
            <w:szCs w:val="21"/>
          </w:rPr>
          <w:t>III</w:t>
        </w:r>
      </w:smartTag>
    </w:p>
    <w:p w14:paraId="718B31B1" w14:textId="77777777" w:rsidR="0075479B" w:rsidRDefault="0075479B">
      <w:pPr>
        <w:tabs>
          <w:tab w:val="left" w:leader="dot" w:pos="6840"/>
          <w:tab w:val="left" w:pos="7920"/>
        </w:tabs>
        <w:spacing w:after="120"/>
        <w:ind w:left="720"/>
        <w:rPr>
          <w:sz w:val="21"/>
          <w:szCs w:val="21"/>
        </w:rPr>
      </w:pPr>
      <w:r>
        <w:rPr>
          <w:sz w:val="21"/>
          <w:szCs w:val="21"/>
        </w:rPr>
        <w:t>Responsibility</w:t>
      </w:r>
    </w:p>
    <w:p w14:paraId="03FE559B" w14:textId="77777777" w:rsidR="0075479B" w:rsidRDefault="0075479B">
      <w:pPr>
        <w:tabs>
          <w:tab w:val="left" w:leader="dot" w:pos="6840"/>
          <w:tab w:val="left" w:pos="7920"/>
        </w:tabs>
        <w:spacing w:after="120"/>
        <w:ind w:left="720"/>
        <w:rPr>
          <w:sz w:val="21"/>
          <w:szCs w:val="21"/>
        </w:rPr>
      </w:pPr>
      <w:r>
        <w:rPr>
          <w:sz w:val="21"/>
          <w:szCs w:val="21"/>
        </w:rPr>
        <w:t>Five-Year Requirements</w:t>
      </w:r>
    </w:p>
    <w:p w14:paraId="4F26C9FD" w14:textId="77777777" w:rsidR="0075479B" w:rsidRDefault="0075479B">
      <w:pPr>
        <w:tabs>
          <w:tab w:val="left" w:leader="dot" w:pos="6840"/>
          <w:tab w:val="left" w:pos="7920"/>
        </w:tabs>
        <w:spacing w:after="120"/>
        <w:ind w:left="720"/>
        <w:rPr>
          <w:sz w:val="21"/>
          <w:szCs w:val="21"/>
        </w:rPr>
      </w:pPr>
      <w:r>
        <w:rPr>
          <w:sz w:val="21"/>
          <w:szCs w:val="21"/>
        </w:rPr>
        <w:t>The Use of Electronic Media to Maintain and Preserve Records</w:t>
      </w:r>
    </w:p>
    <w:p w14:paraId="1E1FCEF8" w14:textId="77777777" w:rsidR="0075479B" w:rsidRDefault="0075479B">
      <w:pPr>
        <w:tabs>
          <w:tab w:val="left" w:leader="dot" w:pos="6840"/>
          <w:tab w:val="left" w:pos="7920"/>
        </w:tabs>
        <w:spacing w:after="120"/>
        <w:ind w:left="720"/>
        <w:rPr>
          <w:sz w:val="21"/>
          <w:szCs w:val="21"/>
        </w:rPr>
      </w:pPr>
      <w:r>
        <w:rPr>
          <w:sz w:val="21"/>
          <w:szCs w:val="21"/>
        </w:rPr>
        <w:t>Corporate Records</w:t>
      </w:r>
    </w:p>
    <w:p w14:paraId="4553D4B0" w14:textId="77777777" w:rsidR="0075479B" w:rsidRDefault="0075479B">
      <w:pPr>
        <w:tabs>
          <w:tab w:val="left" w:leader="dot" w:pos="6840"/>
          <w:tab w:val="left" w:pos="7920"/>
        </w:tabs>
        <w:spacing w:after="120"/>
        <w:ind w:left="720"/>
        <w:rPr>
          <w:sz w:val="21"/>
          <w:szCs w:val="21"/>
        </w:rPr>
      </w:pPr>
      <w:r>
        <w:rPr>
          <w:sz w:val="21"/>
          <w:szCs w:val="21"/>
        </w:rPr>
        <w:t>Security</w:t>
      </w:r>
    </w:p>
    <w:p w14:paraId="3C13408D" w14:textId="77777777" w:rsidR="0075479B" w:rsidRDefault="0075479B">
      <w:pPr>
        <w:tabs>
          <w:tab w:val="left" w:leader="dot" w:pos="6840"/>
          <w:tab w:val="left" w:pos="7920"/>
        </w:tabs>
        <w:spacing w:after="120"/>
        <w:ind w:left="720"/>
        <w:rPr>
          <w:sz w:val="21"/>
          <w:szCs w:val="21"/>
        </w:rPr>
      </w:pPr>
      <w:r>
        <w:rPr>
          <w:sz w:val="21"/>
          <w:szCs w:val="21"/>
        </w:rPr>
        <w:t>E-Mail Retention</w:t>
      </w:r>
    </w:p>
    <w:p w14:paraId="49A0282E" w14:textId="77777777" w:rsidR="0075479B" w:rsidRDefault="0075479B">
      <w:pPr>
        <w:tabs>
          <w:tab w:val="left" w:leader="dot" w:pos="6840"/>
          <w:tab w:val="left" w:pos="7920"/>
        </w:tabs>
        <w:spacing w:after="120"/>
        <w:ind w:left="720"/>
        <w:rPr>
          <w:sz w:val="21"/>
          <w:szCs w:val="21"/>
        </w:rPr>
      </w:pPr>
      <w:r>
        <w:rPr>
          <w:sz w:val="21"/>
          <w:szCs w:val="21"/>
        </w:rPr>
        <w:t>Business Continuity Plan</w:t>
      </w:r>
    </w:p>
    <w:p w14:paraId="20324714" w14:textId="77777777" w:rsidR="0075479B" w:rsidRDefault="0075479B">
      <w:pPr>
        <w:keepNext/>
        <w:tabs>
          <w:tab w:val="left" w:leader="dot" w:pos="6840"/>
          <w:tab w:val="left" w:pos="7920"/>
        </w:tabs>
        <w:spacing w:after="120"/>
        <w:rPr>
          <w:b/>
          <w:sz w:val="21"/>
          <w:szCs w:val="21"/>
        </w:rPr>
      </w:pPr>
      <w:r>
        <w:rPr>
          <w:b/>
          <w:smallCaps/>
          <w:sz w:val="21"/>
          <w:szCs w:val="21"/>
        </w:rPr>
        <w:t>Fiduciary Capacity</w:t>
      </w:r>
      <w:r>
        <w:rPr>
          <w:b/>
          <w:smallCaps/>
          <w:sz w:val="21"/>
          <w:szCs w:val="21"/>
        </w:rPr>
        <w:tab/>
      </w:r>
      <w:r>
        <w:rPr>
          <w:b/>
          <w:smallCaps/>
          <w:sz w:val="21"/>
          <w:szCs w:val="21"/>
        </w:rPr>
        <w:tab/>
      </w:r>
      <w:r>
        <w:rPr>
          <w:b/>
          <w:sz w:val="21"/>
          <w:szCs w:val="21"/>
        </w:rPr>
        <w:t>Section IV</w:t>
      </w:r>
    </w:p>
    <w:p w14:paraId="43DD7FFD" w14:textId="77777777" w:rsidR="0075479B" w:rsidRDefault="0075479B">
      <w:pPr>
        <w:tabs>
          <w:tab w:val="left" w:leader="dot" w:pos="6840"/>
          <w:tab w:val="left" w:pos="7920"/>
        </w:tabs>
        <w:spacing w:after="120"/>
        <w:ind w:left="720"/>
        <w:rPr>
          <w:sz w:val="21"/>
          <w:szCs w:val="21"/>
        </w:rPr>
      </w:pPr>
      <w:r>
        <w:rPr>
          <w:sz w:val="21"/>
          <w:szCs w:val="21"/>
        </w:rPr>
        <w:t>Fiduciary Duty</w:t>
      </w:r>
    </w:p>
    <w:p w14:paraId="2383EFD1" w14:textId="77777777" w:rsidR="0075479B" w:rsidRDefault="0075479B">
      <w:pPr>
        <w:tabs>
          <w:tab w:val="left" w:leader="dot" w:pos="6840"/>
          <w:tab w:val="left" w:pos="7920"/>
        </w:tabs>
        <w:spacing w:after="120"/>
        <w:ind w:left="720"/>
        <w:rPr>
          <w:sz w:val="21"/>
          <w:szCs w:val="21"/>
        </w:rPr>
      </w:pPr>
      <w:r>
        <w:rPr>
          <w:sz w:val="21"/>
          <w:szCs w:val="21"/>
        </w:rPr>
        <w:t>Fiduciary Obligations</w:t>
      </w:r>
    </w:p>
    <w:p w14:paraId="1793F5C7" w14:textId="77777777" w:rsidR="0075479B" w:rsidRDefault="0075479B">
      <w:pPr>
        <w:keepNext/>
        <w:tabs>
          <w:tab w:val="left" w:leader="dot" w:pos="6840"/>
          <w:tab w:val="left" w:pos="7920"/>
        </w:tabs>
        <w:spacing w:after="120"/>
        <w:rPr>
          <w:b/>
          <w:sz w:val="21"/>
          <w:szCs w:val="21"/>
        </w:rPr>
      </w:pPr>
      <w:r>
        <w:rPr>
          <w:b/>
          <w:smallCaps/>
          <w:sz w:val="21"/>
          <w:szCs w:val="21"/>
        </w:rPr>
        <w:t xml:space="preserve">Client Accounts </w:t>
      </w:r>
      <w:smartTag w:uri="urn:schemas-microsoft-com:office:smarttags" w:element="stockticker">
        <w:r>
          <w:rPr>
            <w:b/>
            <w:smallCaps/>
            <w:sz w:val="21"/>
            <w:szCs w:val="21"/>
          </w:rPr>
          <w:t>And</w:t>
        </w:r>
      </w:smartTag>
      <w:r>
        <w:rPr>
          <w:b/>
          <w:smallCaps/>
          <w:sz w:val="21"/>
          <w:szCs w:val="21"/>
        </w:rPr>
        <w:t xml:space="preserve"> Documents</w:t>
      </w:r>
      <w:r>
        <w:rPr>
          <w:b/>
          <w:smallCaps/>
          <w:sz w:val="21"/>
          <w:szCs w:val="21"/>
        </w:rPr>
        <w:tab/>
      </w:r>
      <w:r>
        <w:rPr>
          <w:b/>
          <w:smallCaps/>
          <w:sz w:val="21"/>
          <w:szCs w:val="21"/>
        </w:rPr>
        <w:tab/>
      </w:r>
      <w:r>
        <w:rPr>
          <w:b/>
          <w:sz w:val="21"/>
          <w:szCs w:val="21"/>
        </w:rPr>
        <w:t>Sections V</w:t>
      </w:r>
    </w:p>
    <w:p w14:paraId="22488665" w14:textId="77777777" w:rsidR="0075479B" w:rsidRDefault="0075479B">
      <w:pPr>
        <w:tabs>
          <w:tab w:val="left" w:leader="dot" w:pos="6840"/>
          <w:tab w:val="left" w:pos="7920"/>
        </w:tabs>
        <w:spacing w:after="120"/>
        <w:ind w:left="720"/>
        <w:rPr>
          <w:sz w:val="21"/>
          <w:szCs w:val="21"/>
        </w:rPr>
      </w:pPr>
      <w:r>
        <w:rPr>
          <w:sz w:val="21"/>
          <w:szCs w:val="21"/>
        </w:rPr>
        <w:t>Client Contracts</w:t>
      </w:r>
    </w:p>
    <w:p w14:paraId="5358A5E2" w14:textId="77777777" w:rsidR="0075479B" w:rsidRDefault="0075479B">
      <w:pPr>
        <w:tabs>
          <w:tab w:val="left" w:leader="dot" w:pos="6840"/>
          <w:tab w:val="left" w:pos="7920"/>
        </w:tabs>
        <w:spacing w:after="120"/>
        <w:ind w:left="720"/>
        <w:rPr>
          <w:sz w:val="21"/>
          <w:szCs w:val="21"/>
        </w:rPr>
      </w:pPr>
      <w:r>
        <w:rPr>
          <w:sz w:val="21"/>
          <w:szCs w:val="21"/>
        </w:rPr>
        <w:t>Disclosure Documents</w:t>
      </w:r>
    </w:p>
    <w:p w14:paraId="0AE0BD1A" w14:textId="77777777" w:rsidR="0075479B" w:rsidRDefault="0075479B">
      <w:pPr>
        <w:tabs>
          <w:tab w:val="left" w:leader="dot" w:pos="6840"/>
          <w:tab w:val="left" w:pos="7920"/>
        </w:tabs>
        <w:spacing w:after="120"/>
        <w:ind w:left="720"/>
        <w:rPr>
          <w:sz w:val="21"/>
          <w:szCs w:val="21"/>
        </w:rPr>
      </w:pPr>
      <w:r>
        <w:rPr>
          <w:sz w:val="21"/>
          <w:szCs w:val="21"/>
        </w:rPr>
        <w:t>Custody of Client Assets</w:t>
      </w:r>
    </w:p>
    <w:p w14:paraId="6AC3346F" w14:textId="77777777" w:rsidR="0075479B" w:rsidRDefault="0075479B">
      <w:pPr>
        <w:tabs>
          <w:tab w:val="left" w:leader="dot" w:pos="6840"/>
          <w:tab w:val="left" w:pos="7920"/>
        </w:tabs>
        <w:spacing w:after="120"/>
        <w:ind w:left="720"/>
        <w:rPr>
          <w:sz w:val="21"/>
          <w:szCs w:val="21"/>
        </w:rPr>
      </w:pPr>
      <w:r>
        <w:rPr>
          <w:sz w:val="21"/>
          <w:szCs w:val="21"/>
        </w:rPr>
        <w:t>Performance Fees</w:t>
      </w:r>
    </w:p>
    <w:p w14:paraId="5DBF63AF" w14:textId="77777777" w:rsidR="0075479B" w:rsidRDefault="0075479B">
      <w:pPr>
        <w:tabs>
          <w:tab w:val="left" w:leader="dot" w:pos="6840"/>
          <w:tab w:val="left" w:pos="7920"/>
        </w:tabs>
        <w:spacing w:after="120"/>
        <w:ind w:left="720"/>
        <w:rPr>
          <w:sz w:val="21"/>
          <w:szCs w:val="21"/>
        </w:rPr>
      </w:pPr>
      <w:r>
        <w:rPr>
          <w:sz w:val="21"/>
          <w:szCs w:val="21"/>
        </w:rPr>
        <w:t>Regulation S-P</w:t>
      </w:r>
      <w:r w:rsidR="005E5FFC">
        <w:rPr>
          <w:sz w:val="21"/>
          <w:szCs w:val="21"/>
        </w:rPr>
        <w:t xml:space="preserve"> (Privacy)</w:t>
      </w:r>
    </w:p>
    <w:p w14:paraId="126016DB" w14:textId="77777777" w:rsidR="00596849" w:rsidRDefault="0075479B" w:rsidP="00596849">
      <w:pPr>
        <w:tabs>
          <w:tab w:val="left" w:leader="dot" w:pos="6840"/>
          <w:tab w:val="left" w:pos="7920"/>
        </w:tabs>
        <w:spacing w:after="120"/>
        <w:ind w:left="720"/>
        <w:rPr>
          <w:sz w:val="21"/>
          <w:szCs w:val="21"/>
        </w:rPr>
      </w:pPr>
      <w:r>
        <w:rPr>
          <w:sz w:val="21"/>
          <w:szCs w:val="21"/>
        </w:rPr>
        <w:t>Anti-Money Laundering</w:t>
      </w:r>
    </w:p>
    <w:p w14:paraId="0B5980B7" w14:textId="77777777" w:rsidR="00E70CF2" w:rsidRDefault="00E70CF2" w:rsidP="00596849">
      <w:pPr>
        <w:tabs>
          <w:tab w:val="left" w:leader="dot" w:pos="6840"/>
          <w:tab w:val="left" w:pos="7920"/>
        </w:tabs>
        <w:spacing w:after="120"/>
        <w:ind w:left="720"/>
        <w:rPr>
          <w:b/>
          <w:smallCaps/>
          <w:sz w:val="21"/>
          <w:szCs w:val="21"/>
        </w:rPr>
      </w:pPr>
    </w:p>
    <w:p w14:paraId="03ABA5F4" w14:textId="201EE0B5" w:rsidR="0075479B" w:rsidRDefault="002A078E">
      <w:pPr>
        <w:keepNext/>
        <w:tabs>
          <w:tab w:val="left" w:leader="dot" w:pos="6840"/>
          <w:tab w:val="left" w:pos="7920"/>
        </w:tabs>
        <w:spacing w:after="120"/>
        <w:rPr>
          <w:b/>
          <w:sz w:val="21"/>
          <w:szCs w:val="21"/>
        </w:rPr>
      </w:pPr>
      <w:r>
        <w:rPr>
          <w:b/>
          <w:smallCaps/>
          <w:sz w:val="21"/>
          <w:szCs w:val="21"/>
        </w:rPr>
        <w:lastRenderedPageBreak/>
        <w:t>Market</w:t>
      </w:r>
      <w:r w:rsidR="0075479B">
        <w:rPr>
          <w:b/>
          <w:smallCaps/>
          <w:sz w:val="21"/>
          <w:szCs w:val="21"/>
        </w:rPr>
        <w:t>ing</w:t>
      </w:r>
      <w:r>
        <w:rPr>
          <w:b/>
          <w:smallCaps/>
          <w:sz w:val="21"/>
          <w:szCs w:val="21"/>
        </w:rPr>
        <w:t xml:space="preserve"> Rule</w:t>
      </w:r>
      <w:r w:rsidR="0075479B">
        <w:rPr>
          <w:b/>
          <w:smallCaps/>
          <w:sz w:val="21"/>
          <w:szCs w:val="21"/>
        </w:rPr>
        <w:tab/>
      </w:r>
      <w:r w:rsidR="0075479B">
        <w:rPr>
          <w:b/>
          <w:smallCaps/>
          <w:sz w:val="21"/>
          <w:szCs w:val="21"/>
        </w:rPr>
        <w:tab/>
      </w:r>
      <w:r w:rsidR="0075479B">
        <w:rPr>
          <w:b/>
          <w:sz w:val="21"/>
          <w:szCs w:val="21"/>
        </w:rPr>
        <w:t>Section VI</w:t>
      </w:r>
    </w:p>
    <w:p w14:paraId="6B0A4154" w14:textId="77777777" w:rsidR="0075479B" w:rsidRDefault="0075479B">
      <w:pPr>
        <w:tabs>
          <w:tab w:val="left" w:leader="dot" w:pos="6840"/>
          <w:tab w:val="left" w:pos="7920"/>
        </w:tabs>
        <w:spacing w:after="120"/>
        <w:ind w:left="720"/>
        <w:rPr>
          <w:sz w:val="21"/>
          <w:szCs w:val="21"/>
        </w:rPr>
      </w:pPr>
      <w:r>
        <w:rPr>
          <w:sz w:val="21"/>
          <w:szCs w:val="21"/>
        </w:rPr>
        <w:t>Regulation</w:t>
      </w:r>
    </w:p>
    <w:p w14:paraId="42DC76AF" w14:textId="77777777" w:rsidR="002A078E" w:rsidRDefault="002A078E" w:rsidP="002A078E">
      <w:pPr>
        <w:tabs>
          <w:tab w:val="left" w:leader="dot" w:pos="6840"/>
          <w:tab w:val="left" w:pos="7920"/>
        </w:tabs>
        <w:spacing w:after="120"/>
        <w:ind w:left="720"/>
        <w:rPr>
          <w:sz w:val="21"/>
          <w:szCs w:val="21"/>
        </w:rPr>
      </w:pPr>
      <w:r>
        <w:rPr>
          <w:sz w:val="21"/>
          <w:szCs w:val="21"/>
        </w:rPr>
        <w:t>Definition of Advertising</w:t>
      </w:r>
    </w:p>
    <w:p w14:paraId="03791C7F" w14:textId="0A14DB37" w:rsidR="0075479B" w:rsidRDefault="0075479B">
      <w:pPr>
        <w:tabs>
          <w:tab w:val="left" w:leader="dot" w:pos="6840"/>
          <w:tab w:val="left" w:pos="7920"/>
        </w:tabs>
        <w:spacing w:after="120"/>
        <w:ind w:left="720"/>
        <w:rPr>
          <w:sz w:val="21"/>
          <w:szCs w:val="21"/>
        </w:rPr>
      </w:pPr>
      <w:r>
        <w:rPr>
          <w:sz w:val="21"/>
          <w:szCs w:val="21"/>
        </w:rPr>
        <w:t>Prohibited References</w:t>
      </w:r>
    </w:p>
    <w:p w14:paraId="3033A61C" w14:textId="77777777" w:rsidR="0075479B" w:rsidRDefault="0075479B">
      <w:pPr>
        <w:tabs>
          <w:tab w:val="left" w:leader="dot" w:pos="6840"/>
          <w:tab w:val="left" w:pos="7920"/>
        </w:tabs>
        <w:spacing w:after="120"/>
        <w:ind w:left="720"/>
        <w:rPr>
          <w:sz w:val="21"/>
          <w:szCs w:val="21"/>
        </w:rPr>
      </w:pPr>
      <w:r>
        <w:rPr>
          <w:sz w:val="21"/>
          <w:szCs w:val="21"/>
        </w:rPr>
        <w:t>Review and Approval</w:t>
      </w:r>
    </w:p>
    <w:p w14:paraId="4878493A" w14:textId="1EC1F4CA" w:rsidR="0075479B" w:rsidRDefault="0075479B">
      <w:pPr>
        <w:tabs>
          <w:tab w:val="left" w:leader="dot" w:pos="6840"/>
          <w:tab w:val="left" w:pos="7920"/>
        </w:tabs>
        <w:spacing w:after="120"/>
        <w:ind w:left="720"/>
        <w:rPr>
          <w:sz w:val="21"/>
          <w:szCs w:val="21"/>
        </w:rPr>
      </w:pPr>
      <w:r>
        <w:rPr>
          <w:sz w:val="21"/>
          <w:szCs w:val="21"/>
        </w:rPr>
        <w:t>Testimonials</w:t>
      </w:r>
      <w:r w:rsidR="00E70CF2">
        <w:rPr>
          <w:sz w:val="21"/>
          <w:szCs w:val="21"/>
        </w:rPr>
        <w:t xml:space="preserve"> and Endorsements</w:t>
      </w:r>
    </w:p>
    <w:p w14:paraId="11D89B5D" w14:textId="4F04A6CB" w:rsidR="002A078E" w:rsidRDefault="002A078E">
      <w:pPr>
        <w:tabs>
          <w:tab w:val="left" w:leader="dot" w:pos="6840"/>
          <w:tab w:val="left" w:pos="7920"/>
        </w:tabs>
        <w:spacing w:after="120"/>
        <w:ind w:left="720"/>
        <w:rPr>
          <w:sz w:val="21"/>
          <w:szCs w:val="21"/>
        </w:rPr>
      </w:pPr>
      <w:r>
        <w:rPr>
          <w:sz w:val="21"/>
          <w:szCs w:val="21"/>
        </w:rPr>
        <w:t>Third Party Reports</w:t>
      </w:r>
    </w:p>
    <w:p w14:paraId="499E13BB" w14:textId="77777777" w:rsidR="0075479B" w:rsidRDefault="0075479B">
      <w:pPr>
        <w:tabs>
          <w:tab w:val="left" w:leader="dot" w:pos="6840"/>
          <w:tab w:val="left" w:pos="7920"/>
        </w:tabs>
        <w:spacing w:after="120"/>
        <w:ind w:left="720"/>
        <w:rPr>
          <w:sz w:val="21"/>
          <w:szCs w:val="21"/>
        </w:rPr>
      </w:pPr>
      <w:r>
        <w:rPr>
          <w:sz w:val="21"/>
          <w:szCs w:val="21"/>
        </w:rPr>
        <w:t xml:space="preserve">Past </w:t>
      </w:r>
      <w:r w:rsidR="00E70CF2">
        <w:rPr>
          <w:sz w:val="21"/>
          <w:szCs w:val="21"/>
        </w:rPr>
        <w:t>R</w:t>
      </w:r>
      <w:r>
        <w:rPr>
          <w:sz w:val="21"/>
          <w:szCs w:val="21"/>
        </w:rPr>
        <w:t>ecommendations</w:t>
      </w:r>
    </w:p>
    <w:p w14:paraId="5067C8B8" w14:textId="77777777" w:rsidR="0075479B" w:rsidRDefault="0075479B">
      <w:pPr>
        <w:tabs>
          <w:tab w:val="left" w:leader="dot" w:pos="6840"/>
          <w:tab w:val="left" w:pos="7920"/>
        </w:tabs>
        <w:spacing w:after="120"/>
        <w:ind w:left="720"/>
        <w:rPr>
          <w:sz w:val="21"/>
          <w:szCs w:val="21"/>
        </w:rPr>
      </w:pPr>
      <w:r>
        <w:rPr>
          <w:sz w:val="21"/>
          <w:szCs w:val="21"/>
        </w:rPr>
        <w:t>Use of Graphs, Charts and Formulas</w:t>
      </w:r>
    </w:p>
    <w:p w14:paraId="388C283D" w14:textId="007F9550" w:rsidR="0075479B" w:rsidRDefault="0075479B">
      <w:pPr>
        <w:tabs>
          <w:tab w:val="left" w:leader="dot" w:pos="6840"/>
          <w:tab w:val="left" w:pos="7920"/>
        </w:tabs>
        <w:spacing w:after="120"/>
        <w:ind w:left="720"/>
        <w:rPr>
          <w:sz w:val="21"/>
          <w:szCs w:val="21"/>
        </w:rPr>
      </w:pPr>
      <w:r>
        <w:rPr>
          <w:sz w:val="21"/>
          <w:szCs w:val="21"/>
        </w:rPr>
        <w:t>Performance Advertising</w:t>
      </w:r>
    </w:p>
    <w:p w14:paraId="398FD031" w14:textId="4A662A68" w:rsidR="002A078E" w:rsidRDefault="002A078E">
      <w:pPr>
        <w:tabs>
          <w:tab w:val="left" w:leader="dot" w:pos="6840"/>
          <w:tab w:val="left" w:pos="7920"/>
        </w:tabs>
        <w:spacing w:after="120"/>
        <w:ind w:left="720"/>
        <w:rPr>
          <w:sz w:val="21"/>
          <w:szCs w:val="21"/>
        </w:rPr>
      </w:pPr>
      <w:r>
        <w:rPr>
          <w:sz w:val="21"/>
          <w:szCs w:val="21"/>
        </w:rPr>
        <w:t>“Net of Fees” Requirement for Performance Advertising</w:t>
      </w:r>
    </w:p>
    <w:p w14:paraId="4C75ADB9" w14:textId="0B7EDE19" w:rsidR="002A078E" w:rsidRDefault="002A078E">
      <w:pPr>
        <w:tabs>
          <w:tab w:val="left" w:leader="dot" w:pos="6840"/>
          <w:tab w:val="left" w:pos="7920"/>
        </w:tabs>
        <w:spacing w:after="120"/>
        <w:ind w:left="720"/>
        <w:rPr>
          <w:sz w:val="21"/>
          <w:szCs w:val="21"/>
        </w:rPr>
      </w:pPr>
      <w:r>
        <w:rPr>
          <w:sz w:val="21"/>
          <w:szCs w:val="21"/>
        </w:rPr>
        <w:t>Recordkeeping Requirements for Performance Advertising</w:t>
      </w:r>
    </w:p>
    <w:p w14:paraId="73F08D7D" w14:textId="77777777" w:rsidR="0075479B" w:rsidRDefault="0075479B">
      <w:pPr>
        <w:tabs>
          <w:tab w:val="left" w:leader="dot" w:pos="6840"/>
          <w:tab w:val="left" w:pos="7920"/>
        </w:tabs>
        <w:spacing w:after="120"/>
        <w:ind w:left="720"/>
        <w:rPr>
          <w:sz w:val="21"/>
          <w:szCs w:val="21"/>
        </w:rPr>
      </w:pPr>
      <w:r>
        <w:rPr>
          <w:sz w:val="21"/>
          <w:szCs w:val="21"/>
        </w:rPr>
        <w:t>Use of Hedge Clauses</w:t>
      </w:r>
    </w:p>
    <w:p w14:paraId="6E70F2BD" w14:textId="77777777" w:rsidR="0075479B" w:rsidRDefault="0075479B">
      <w:pPr>
        <w:keepNext/>
        <w:tabs>
          <w:tab w:val="left" w:leader="dot" w:pos="6840"/>
          <w:tab w:val="left" w:pos="7920"/>
        </w:tabs>
        <w:spacing w:after="120"/>
        <w:rPr>
          <w:b/>
          <w:sz w:val="21"/>
          <w:szCs w:val="21"/>
        </w:rPr>
      </w:pPr>
      <w:r>
        <w:rPr>
          <w:b/>
          <w:smallCaps/>
          <w:sz w:val="21"/>
          <w:szCs w:val="21"/>
        </w:rPr>
        <w:t>Disclosure Requirements</w:t>
      </w:r>
      <w:r>
        <w:rPr>
          <w:b/>
          <w:smallCaps/>
          <w:sz w:val="21"/>
          <w:szCs w:val="21"/>
        </w:rPr>
        <w:tab/>
      </w:r>
      <w:r>
        <w:rPr>
          <w:b/>
          <w:smallCaps/>
          <w:sz w:val="21"/>
          <w:szCs w:val="21"/>
        </w:rPr>
        <w:tab/>
      </w:r>
      <w:r>
        <w:rPr>
          <w:b/>
          <w:sz w:val="21"/>
          <w:szCs w:val="21"/>
        </w:rPr>
        <w:t>Section </w:t>
      </w:r>
      <w:smartTag w:uri="urn:schemas-microsoft-com:office:smarttags" w:element="stockticker">
        <w:r>
          <w:rPr>
            <w:b/>
            <w:sz w:val="21"/>
            <w:szCs w:val="21"/>
          </w:rPr>
          <w:t>VII</w:t>
        </w:r>
      </w:smartTag>
    </w:p>
    <w:p w14:paraId="7E1D2016" w14:textId="77777777" w:rsidR="0075479B" w:rsidRDefault="0075479B">
      <w:pPr>
        <w:tabs>
          <w:tab w:val="left" w:leader="dot" w:pos="6840"/>
          <w:tab w:val="left" w:pos="7920"/>
        </w:tabs>
        <w:spacing w:after="120"/>
        <w:ind w:left="720"/>
        <w:rPr>
          <w:sz w:val="21"/>
          <w:szCs w:val="21"/>
        </w:rPr>
      </w:pPr>
      <w:r>
        <w:rPr>
          <w:sz w:val="21"/>
          <w:szCs w:val="21"/>
        </w:rPr>
        <w:t>Responsibility</w:t>
      </w:r>
    </w:p>
    <w:p w14:paraId="3E64EDB2" w14:textId="77777777" w:rsidR="0075479B" w:rsidRDefault="0075479B">
      <w:pPr>
        <w:tabs>
          <w:tab w:val="left" w:leader="dot" w:pos="6840"/>
          <w:tab w:val="left" w:pos="7920"/>
        </w:tabs>
        <w:spacing w:after="120"/>
        <w:ind w:left="720"/>
        <w:rPr>
          <w:sz w:val="21"/>
          <w:szCs w:val="21"/>
        </w:rPr>
      </w:pPr>
      <w:r>
        <w:rPr>
          <w:sz w:val="21"/>
          <w:szCs w:val="21"/>
        </w:rPr>
        <w:t>Disciplinary Disclosure</w:t>
      </w:r>
    </w:p>
    <w:p w14:paraId="40FF8953" w14:textId="1D1B0EAB" w:rsidR="0075479B" w:rsidRDefault="0075479B">
      <w:pPr>
        <w:tabs>
          <w:tab w:val="left" w:leader="dot" w:pos="6840"/>
          <w:tab w:val="left" w:pos="7920"/>
        </w:tabs>
        <w:spacing w:after="120"/>
        <w:ind w:left="720"/>
        <w:rPr>
          <w:sz w:val="21"/>
          <w:szCs w:val="21"/>
        </w:rPr>
      </w:pPr>
      <w:r>
        <w:rPr>
          <w:sz w:val="21"/>
          <w:szCs w:val="21"/>
        </w:rPr>
        <w:t>Compensation</w:t>
      </w:r>
    </w:p>
    <w:p w14:paraId="320E88B1" w14:textId="5EE2F181" w:rsidR="002A078E" w:rsidRDefault="002A078E">
      <w:pPr>
        <w:tabs>
          <w:tab w:val="left" w:leader="dot" w:pos="6840"/>
          <w:tab w:val="left" w:pos="7920"/>
        </w:tabs>
        <w:spacing w:after="120"/>
        <w:ind w:left="720"/>
        <w:rPr>
          <w:sz w:val="21"/>
          <w:szCs w:val="21"/>
        </w:rPr>
      </w:pPr>
      <w:r>
        <w:rPr>
          <w:sz w:val="21"/>
          <w:szCs w:val="21"/>
        </w:rPr>
        <w:t>Fee Schedule</w:t>
      </w:r>
    </w:p>
    <w:p w14:paraId="4357B7E2" w14:textId="422E80E0" w:rsidR="002A078E" w:rsidRDefault="002A078E">
      <w:pPr>
        <w:tabs>
          <w:tab w:val="left" w:leader="dot" w:pos="6840"/>
          <w:tab w:val="left" w:pos="7920"/>
        </w:tabs>
        <w:spacing w:after="120"/>
        <w:ind w:left="720"/>
        <w:rPr>
          <w:sz w:val="21"/>
          <w:szCs w:val="21"/>
        </w:rPr>
      </w:pPr>
      <w:r>
        <w:rPr>
          <w:sz w:val="21"/>
          <w:szCs w:val="21"/>
        </w:rPr>
        <w:t>Solicitor Fees</w:t>
      </w:r>
    </w:p>
    <w:p w14:paraId="26440FD1" w14:textId="77777777" w:rsidR="0075479B" w:rsidRDefault="0075479B">
      <w:pPr>
        <w:keepNext/>
        <w:tabs>
          <w:tab w:val="left" w:leader="dot" w:pos="6840"/>
          <w:tab w:val="left" w:pos="7920"/>
        </w:tabs>
        <w:spacing w:after="120"/>
        <w:rPr>
          <w:b/>
          <w:sz w:val="21"/>
          <w:szCs w:val="21"/>
        </w:rPr>
      </w:pPr>
      <w:r>
        <w:rPr>
          <w:b/>
          <w:smallCaps/>
          <w:sz w:val="21"/>
          <w:szCs w:val="21"/>
        </w:rPr>
        <w:t xml:space="preserve">Principal </w:t>
      </w:r>
      <w:smartTag w:uri="urn:schemas-microsoft-com:office:smarttags" w:element="stockticker">
        <w:r>
          <w:rPr>
            <w:b/>
            <w:smallCaps/>
            <w:sz w:val="21"/>
            <w:szCs w:val="21"/>
          </w:rPr>
          <w:t>And</w:t>
        </w:r>
      </w:smartTag>
      <w:r>
        <w:rPr>
          <w:b/>
          <w:smallCaps/>
          <w:sz w:val="21"/>
          <w:szCs w:val="21"/>
        </w:rPr>
        <w:t xml:space="preserve"> Agency Cross Transactions</w:t>
      </w:r>
      <w:r>
        <w:rPr>
          <w:b/>
          <w:smallCaps/>
          <w:sz w:val="21"/>
          <w:szCs w:val="21"/>
        </w:rPr>
        <w:tab/>
      </w:r>
      <w:r>
        <w:rPr>
          <w:b/>
          <w:smallCaps/>
          <w:sz w:val="21"/>
          <w:szCs w:val="21"/>
        </w:rPr>
        <w:tab/>
      </w:r>
      <w:r>
        <w:rPr>
          <w:b/>
          <w:sz w:val="21"/>
          <w:szCs w:val="21"/>
        </w:rPr>
        <w:t>Section VIII</w:t>
      </w:r>
    </w:p>
    <w:p w14:paraId="1C1F9686" w14:textId="77777777" w:rsidR="0075479B" w:rsidRDefault="0075479B">
      <w:pPr>
        <w:tabs>
          <w:tab w:val="left" w:leader="dot" w:pos="6840"/>
          <w:tab w:val="left" w:pos="7920"/>
        </w:tabs>
        <w:spacing w:after="120"/>
        <w:ind w:left="720"/>
        <w:rPr>
          <w:sz w:val="21"/>
          <w:szCs w:val="21"/>
        </w:rPr>
      </w:pPr>
      <w:r>
        <w:rPr>
          <w:sz w:val="21"/>
          <w:szCs w:val="21"/>
        </w:rPr>
        <w:t>Review</w:t>
      </w:r>
    </w:p>
    <w:p w14:paraId="02DE651B" w14:textId="77777777" w:rsidR="0075479B" w:rsidRDefault="0075479B">
      <w:pPr>
        <w:tabs>
          <w:tab w:val="left" w:leader="dot" w:pos="6840"/>
          <w:tab w:val="left" w:pos="7920"/>
        </w:tabs>
        <w:spacing w:after="120"/>
        <w:ind w:left="720"/>
        <w:rPr>
          <w:sz w:val="21"/>
          <w:szCs w:val="21"/>
        </w:rPr>
      </w:pPr>
      <w:r>
        <w:rPr>
          <w:sz w:val="21"/>
          <w:szCs w:val="21"/>
        </w:rPr>
        <w:t>Principal Transactions</w:t>
      </w:r>
    </w:p>
    <w:p w14:paraId="28D968CB" w14:textId="77777777" w:rsidR="0075479B" w:rsidRDefault="0075479B">
      <w:pPr>
        <w:tabs>
          <w:tab w:val="left" w:leader="dot" w:pos="6840"/>
          <w:tab w:val="left" w:pos="7920"/>
        </w:tabs>
        <w:spacing w:after="120"/>
        <w:ind w:left="720"/>
        <w:rPr>
          <w:sz w:val="21"/>
          <w:szCs w:val="21"/>
        </w:rPr>
      </w:pPr>
      <w:r>
        <w:rPr>
          <w:sz w:val="21"/>
          <w:szCs w:val="21"/>
        </w:rPr>
        <w:t>Agency Cross Transactions</w:t>
      </w:r>
    </w:p>
    <w:p w14:paraId="3795FF21" w14:textId="77777777" w:rsidR="0075479B" w:rsidRDefault="0075479B">
      <w:pPr>
        <w:keepNext/>
        <w:tabs>
          <w:tab w:val="left" w:leader="dot" w:pos="6840"/>
          <w:tab w:val="left" w:pos="7920"/>
        </w:tabs>
        <w:spacing w:after="120"/>
        <w:rPr>
          <w:b/>
          <w:sz w:val="21"/>
          <w:szCs w:val="21"/>
        </w:rPr>
      </w:pPr>
      <w:r>
        <w:rPr>
          <w:b/>
          <w:smallCaps/>
          <w:sz w:val="21"/>
          <w:szCs w:val="21"/>
        </w:rPr>
        <w:t>Code Of Ethics</w:t>
      </w:r>
      <w:r>
        <w:rPr>
          <w:b/>
          <w:smallCaps/>
          <w:sz w:val="21"/>
          <w:szCs w:val="21"/>
        </w:rPr>
        <w:tab/>
      </w:r>
      <w:r>
        <w:rPr>
          <w:b/>
          <w:smallCaps/>
          <w:sz w:val="21"/>
          <w:szCs w:val="21"/>
        </w:rPr>
        <w:tab/>
      </w:r>
      <w:r>
        <w:rPr>
          <w:b/>
          <w:sz w:val="21"/>
          <w:szCs w:val="21"/>
        </w:rPr>
        <w:t>Section IX</w:t>
      </w:r>
    </w:p>
    <w:p w14:paraId="10695521" w14:textId="77777777" w:rsidR="0075479B" w:rsidRDefault="0075479B">
      <w:pPr>
        <w:tabs>
          <w:tab w:val="left" w:leader="dot" w:pos="6840"/>
          <w:tab w:val="left" w:pos="7920"/>
        </w:tabs>
        <w:spacing w:after="120"/>
        <w:ind w:left="720"/>
        <w:rPr>
          <w:sz w:val="21"/>
          <w:szCs w:val="21"/>
        </w:rPr>
      </w:pPr>
      <w:r>
        <w:rPr>
          <w:sz w:val="21"/>
          <w:szCs w:val="21"/>
        </w:rPr>
        <w:t>Responsibility</w:t>
      </w:r>
    </w:p>
    <w:p w14:paraId="33F3990C" w14:textId="77777777" w:rsidR="0075479B" w:rsidRDefault="0075479B">
      <w:pPr>
        <w:tabs>
          <w:tab w:val="left" w:leader="dot" w:pos="6840"/>
          <w:tab w:val="left" w:pos="7920"/>
        </w:tabs>
        <w:spacing w:after="120"/>
        <w:ind w:left="720"/>
        <w:rPr>
          <w:sz w:val="21"/>
          <w:szCs w:val="21"/>
        </w:rPr>
      </w:pPr>
      <w:r>
        <w:rPr>
          <w:sz w:val="21"/>
          <w:szCs w:val="21"/>
        </w:rPr>
        <w:t>Duty to Client</w:t>
      </w:r>
    </w:p>
    <w:p w14:paraId="234334D5" w14:textId="77777777" w:rsidR="0075479B" w:rsidRDefault="0075479B">
      <w:pPr>
        <w:tabs>
          <w:tab w:val="left" w:leader="dot" w:pos="6840"/>
          <w:tab w:val="left" w:pos="7920"/>
        </w:tabs>
        <w:spacing w:after="120"/>
        <w:ind w:left="720"/>
        <w:rPr>
          <w:sz w:val="21"/>
          <w:szCs w:val="21"/>
        </w:rPr>
      </w:pPr>
      <w:r>
        <w:rPr>
          <w:sz w:val="21"/>
          <w:szCs w:val="21"/>
        </w:rPr>
        <w:t>Privacy of Client Financial Information</w:t>
      </w:r>
    </w:p>
    <w:p w14:paraId="644E9031" w14:textId="77777777" w:rsidR="0075479B" w:rsidRDefault="0075479B">
      <w:pPr>
        <w:tabs>
          <w:tab w:val="left" w:leader="dot" w:pos="6840"/>
          <w:tab w:val="left" w:pos="7920"/>
        </w:tabs>
        <w:spacing w:after="120"/>
        <w:ind w:left="720"/>
        <w:rPr>
          <w:sz w:val="21"/>
          <w:szCs w:val="21"/>
        </w:rPr>
      </w:pPr>
      <w:r>
        <w:rPr>
          <w:sz w:val="21"/>
          <w:szCs w:val="21"/>
        </w:rPr>
        <w:t>Prohibited Acts</w:t>
      </w:r>
    </w:p>
    <w:p w14:paraId="34FE8636" w14:textId="77777777" w:rsidR="0075479B" w:rsidRDefault="0075479B">
      <w:pPr>
        <w:tabs>
          <w:tab w:val="left" w:leader="dot" w:pos="6840"/>
          <w:tab w:val="left" w:pos="7920"/>
        </w:tabs>
        <w:spacing w:after="120"/>
        <w:ind w:left="720"/>
        <w:rPr>
          <w:sz w:val="21"/>
          <w:szCs w:val="21"/>
        </w:rPr>
      </w:pPr>
      <w:r>
        <w:rPr>
          <w:sz w:val="21"/>
          <w:szCs w:val="21"/>
        </w:rPr>
        <w:t>Conflicts of Interest</w:t>
      </w:r>
    </w:p>
    <w:p w14:paraId="236F9A5D" w14:textId="77777777" w:rsidR="0075479B" w:rsidRDefault="0075479B">
      <w:pPr>
        <w:tabs>
          <w:tab w:val="left" w:leader="dot" w:pos="6840"/>
          <w:tab w:val="left" w:pos="7920"/>
        </w:tabs>
        <w:spacing w:after="120"/>
        <w:ind w:left="720"/>
        <w:rPr>
          <w:sz w:val="21"/>
          <w:szCs w:val="21"/>
        </w:rPr>
      </w:pPr>
      <w:r>
        <w:rPr>
          <w:sz w:val="21"/>
          <w:szCs w:val="21"/>
        </w:rPr>
        <w:t>Use of Disclaimers</w:t>
      </w:r>
    </w:p>
    <w:p w14:paraId="0B81A5F9" w14:textId="77777777" w:rsidR="0075479B" w:rsidRDefault="0075479B">
      <w:pPr>
        <w:tabs>
          <w:tab w:val="left" w:leader="dot" w:pos="6840"/>
          <w:tab w:val="left" w:pos="7920"/>
        </w:tabs>
        <w:spacing w:after="120"/>
        <w:ind w:left="720"/>
        <w:rPr>
          <w:sz w:val="21"/>
          <w:szCs w:val="21"/>
        </w:rPr>
      </w:pPr>
      <w:r>
        <w:rPr>
          <w:sz w:val="21"/>
          <w:szCs w:val="21"/>
        </w:rPr>
        <w:t>Suitability</w:t>
      </w:r>
    </w:p>
    <w:p w14:paraId="07C9002D" w14:textId="77777777" w:rsidR="0075479B" w:rsidRDefault="0075479B">
      <w:pPr>
        <w:tabs>
          <w:tab w:val="left" w:leader="dot" w:pos="6840"/>
          <w:tab w:val="left" w:pos="7920"/>
        </w:tabs>
        <w:spacing w:after="120"/>
        <w:ind w:left="720"/>
        <w:rPr>
          <w:sz w:val="21"/>
          <w:szCs w:val="21"/>
        </w:rPr>
      </w:pPr>
      <w:r>
        <w:rPr>
          <w:sz w:val="21"/>
          <w:szCs w:val="21"/>
        </w:rPr>
        <w:t>Duty to Supervise</w:t>
      </w:r>
    </w:p>
    <w:p w14:paraId="45187319" w14:textId="77777777" w:rsidR="0075479B" w:rsidRDefault="0075479B">
      <w:pPr>
        <w:tabs>
          <w:tab w:val="left" w:leader="dot" w:pos="6840"/>
          <w:tab w:val="left" w:pos="7920"/>
        </w:tabs>
        <w:spacing w:after="120"/>
        <w:ind w:left="720"/>
        <w:rPr>
          <w:sz w:val="21"/>
          <w:szCs w:val="21"/>
        </w:rPr>
      </w:pPr>
      <w:r>
        <w:rPr>
          <w:sz w:val="21"/>
          <w:szCs w:val="21"/>
        </w:rPr>
        <w:t>Personal Securities Transactions</w:t>
      </w:r>
    </w:p>
    <w:p w14:paraId="56045B20" w14:textId="77777777" w:rsidR="0075479B" w:rsidRDefault="0075479B">
      <w:pPr>
        <w:keepNext/>
        <w:tabs>
          <w:tab w:val="left" w:leader="dot" w:pos="6840"/>
          <w:tab w:val="left" w:pos="7920"/>
        </w:tabs>
        <w:spacing w:after="120"/>
        <w:rPr>
          <w:b/>
          <w:sz w:val="21"/>
          <w:szCs w:val="21"/>
        </w:rPr>
      </w:pPr>
      <w:r>
        <w:rPr>
          <w:b/>
          <w:smallCaps/>
          <w:sz w:val="21"/>
          <w:szCs w:val="21"/>
        </w:rPr>
        <w:t>Trading/Prohibited Transactions</w:t>
      </w:r>
      <w:r>
        <w:rPr>
          <w:b/>
          <w:smallCaps/>
          <w:sz w:val="21"/>
          <w:szCs w:val="21"/>
        </w:rPr>
        <w:tab/>
      </w:r>
      <w:r>
        <w:rPr>
          <w:b/>
          <w:smallCaps/>
          <w:sz w:val="21"/>
          <w:szCs w:val="21"/>
        </w:rPr>
        <w:tab/>
      </w:r>
      <w:r>
        <w:rPr>
          <w:b/>
          <w:sz w:val="21"/>
          <w:szCs w:val="21"/>
        </w:rPr>
        <w:t>Section X</w:t>
      </w:r>
    </w:p>
    <w:p w14:paraId="0028BAB0" w14:textId="77777777" w:rsidR="0075479B" w:rsidRDefault="0075479B">
      <w:pPr>
        <w:tabs>
          <w:tab w:val="left" w:leader="dot" w:pos="6840"/>
          <w:tab w:val="left" w:pos="7920"/>
        </w:tabs>
        <w:spacing w:after="120"/>
        <w:ind w:left="720"/>
        <w:rPr>
          <w:sz w:val="21"/>
          <w:szCs w:val="21"/>
        </w:rPr>
      </w:pPr>
      <w:r>
        <w:rPr>
          <w:sz w:val="21"/>
          <w:szCs w:val="21"/>
        </w:rPr>
        <w:t>Prohibitions</w:t>
      </w:r>
    </w:p>
    <w:p w14:paraId="358EA02B" w14:textId="77777777" w:rsidR="0075479B" w:rsidRDefault="0075479B">
      <w:pPr>
        <w:tabs>
          <w:tab w:val="left" w:leader="dot" w:pos="6840"/>
          <w:tab w:val="left" w:pos="7920"/>
        </w:tabs>
        <w:spacing w:after="120"/>
        <w:ind w:left="720"/>
        <w:rPr>
          <w:sz w:val="21"/>
          <w:szCs w:val="21"/>
        </w:rPr>
      </w:pPr>
      <w:r>
        <w:rPr>
          <w:sz w:val="21"/>
          <w:szCs w:val="21"/>
        </w:rPr>
        <w:t>Trading After the Close</w:t>
      </w:r>
    </w:p>
    <w:p w14:paraId="3BA36E3C" w14:textId="77777777" w:rsidR="0075479B" w:rsidRDefault="0075479B">
      <w:pPr>
        <w:tabs>
          <w:tab w:val="left" w:leader="dot" w:pos="6840"/>
          <w:tab w:val="left" w:pos="7920"/>
        </w:tabs>
        <w:spacing w:after="120"/>
        <w:ind w:left="720"/>
        <w:rPr>
          <w:sz w:val="21"/>
          <w:szCs w:val="21"/>
        </w:rPr>
      </w:pPr>
      <w:r>
        <w:rPr>
          <w:sz w:val="21"/>
          <w:szCs w:val="21"/>
        </w:rPr>
        <w:lastRenderedPageBreak/>
        <w:t>Market Timing</w:t>
      </w:r>
    </w:p>
    <w:p w14:paraId="07C8C925" w14:textId="77777777" w:rsidR="00F01999" w:rsidRDefault="00F01999">
      <w:pPr>
        <w:tabs>
          <w:tab w:val="left" w:leader="dot" w:pos="6840"/>
          <w:tab w:val="left" w:pos="7920"/>
        </w:tabs>
        <w:spacing w:after="120"/>
        <w:ind w:left="720"/>
        <w:rPr>
          <w:sz w:val="21"/>
          <w:szCs w:val="21"/>
        </w:rPr>
      </w:pPr>
      <w:r>
        <w:rPr>
          <w:sz w:val="21"/>
          <w:szCs w:val="21"/>
        </w:rPr>
        <w:t>Trading Errors</w:t>
      </w:r>
    </w:p>
    <w:p w14:paraId="3CD93FA6" w14:textId="77777777" w:rsidR="0075479B" w:rsidRDefault="0075479B">
      <w:pPr>
        <w:tabs>
          <w:tab w:val="left" w:leader="dot" w:pos="6840"/>
          <w:tab w:val="left" w:pos="7920"/>
        </w:tabs>
        <w:spacing w:after="120"/>
        <w:ind w:left="720"/>
        <w:rPr>
          <w:sz w:val="21"/>
          <w:szCs w:val="21"/>
        </w:rPr>
      </w:pPr>
      <w:r>
        <w:rPr>
          <w:sz w:val="21"/>
          <w:szCs w:val="21"/>
        </w:rPr>
        <w:t xml:space="preserve">Exclusion of </w:t>
      </w:r>
      <w:r w:rsidR="00F01999">
        <w:rPr>
          <w:sz w:val="21"/>
          <w:szCs w:val="21"/>
        </w:rPr>
        <w:t>t</w:t>
      </w:r>
      <w:r w:rsidR="00485F39">
        <w:rPr>
          <w:sz w:val="21"/>
          <w:szCs w:val="21"/>
        </w:rPr>
        <w:t>he Company</w:t>
      </w:r>
      <w:r>
        <w:rPr>
          <w:sz w:val="21"/>
          <w:szCs w:val="21"/>
        </w:rPr>
        <w:t xml:space="preserve"> from the Definition of Investment Company</w:t>
      </w:r>
    </w:p>
    <w:p w14:paraId="756B8769" w14:textId="77777777" w:rsidR="0075479B" w:rsidRDefault="0075479B">
      <w:pPr>
        <w:tabs>
          <w:tab w:val="left" w:leader="dot" w:pos="6840"/>
          <w:tab w:val="left" w:pos="7920"/>
        </w:tabs>
        <w:spacing w:after="120"/>
        <w:ind w:left="720"/>
        <w:rPr>
          <w:sz w:val="21"/>
          <w:szCs w:val="21"/>
        </w:rPr>
      </w:pPr>
      <w:r>
        <w:rPr>
          <w:sz w:val="21"/>
          <w:szCs w:val="21"/>
        </w:rPr>
        <w:t>Block Trading</w:t>
      </w:r>
    </w:p>
    <w:p w14:paraId="3936CB9E" w14:textId="77777777" w:rsidR="00F01999" w:rsidRDefault="00F01999">
      <w:pPr>
        <w:tabs>
          <w:tab w:val="left" w:leader="dot" w:pos="6840"/>
          <w:tab w:val="left" w:pos="7920"/>
        </w:tabs>
        <w:spacing w:after="120"/>
        <w:ind w:left="720"/>
        <w:rPr>
          <w:sz w:val="21"/>
          <w:szCs w:val="21"/>
        </w:rPr>
      </w:pPr>
      <w:r>
        <w:rPr>
          <w:sz w:val="21"/>
          <w:szCs w:val="21"/>
        </w:rPr>
        <w:t>Trade Allocation</w:t>
      </w:r>
    </w:p>
    <w:p w14:paraId="062E4BA3" w14:textId="77777777" w:rsidR="0075479B" w:rsidRDefault="005E5FFC">
      <w:pPr>
        <w:tabs>
          <w:tab w:val="left" w:leader="dot" w:pos="6840"/>
          <w:tab w:val="left" w:pos="7920"/>
        </w:tabs>
        <w:spacing w:after="120"/>
        <w:ind w:left="720"/>
        <w:rPr>
          <w:sz w:val="21"/>
          <w:szCs w:val="21"/>
        </w:rPr>
      </w:pPr>
      <w:r>
        <w:rPr>
          <w:sz w:val="21"/>
          <w:szCs w:val="21"/>
        </w:rPr>
        <w:t>FINRA</w:t>
      </w:r>
      <w:r w:rsidR="0075479B">
        <w:rPr>
          <w:sz w:val="21"/>
          <w:szCs w:val="21"/>
        </w:rPr>
        <w:t xml:space="preserve"> Hot Issue Restrictions</w:t>
      </w:r>
    </w:p>
    <w:p w14:paraId="39185A85" w14:textId="77777777" w:rsidR="0075479B" w:rsidRDefault="0075479B">
      <w:pPr>
        <w:tabs>
          <w:tab w:val="left" w:leader="dot" w:pos="6840"/>
          <w:tab w:val="left" w:pos="7920"/>
        </w:tabs>
        <w:spacing w:after="120"/>
        <w:ind w:left="720"/>
        <w:rPr>
          <w:sz w:val="21"/>
          <w:szCs w:val="21"/>
        </w:rPr>
      </w:pPr>
      <w:r>
        <w:rPr>
          <w:sz w:val="21"/>
          <w:szCs w:val="21"/>
        </w:rPr>
        <w:t>Best Execution</w:t>
      </w:r>
    </w:p>
    <w:p w14:paraId="765583E5" w14:textId="77777777" w:rsidR="00F11E85" w:rsidRDefault="00F11E85">
      <w:pPr>
        <w:tabs>
          <w:tab w:val="left" w:leader="dot" w:pos="6840"/>
          <w:tab w:val="left" w:pos="7920"/>
        </w:tabs>
        <w:spacing w:after="120"/>
        <w:ind w:left="720"/>
        <w:rPr>
          <w:sz w:val="21"/>
          <w:szCs w:val="21"/>
        </w:rPr>
      </w:pPr>
      <w:r>
        <w:rPr>
          <w:sz w:val="21"/>
          <w:szCs w:val="21"/>
        </w:rPr>
        <w:t>Soft Dollars</w:t>
      </w:r>
    </w:p>
    <w:p w14:paraId="49B1D164" w14:textId="77777777" w:rsidR="002A4912" w:rsidRDefault="002A4912">
      <w:pPr>
        <w:tabs>
          <w:tab w:val="left" w:leader="dot" w:pos="6840"/>
          <w:tab w:val="left" w:pos="7920"/>
        </w:tabs>
        <w:spacing w:after="120"/>
        <w:ind w:left="720"/>
        <w:rPr>
          <w:sz w:val="21"/>
          <w:szCs w:val="21"/>
        </w:rPr>
      </w:pPr>
      <w:r>
        <w:rPr>
          <w:sz w:val="21"/>
          <w:szCs w:val="21"/>
        </w:rPr>
        <w:t>Pay to Play – Political Contributions</w:t>
      </w:r>
    </w:p>
    <w:p w14:paraId="45BAC411" w14:textId="77777777" w:rsidR="0075479B" w:rsidRDefault="0075479B">
      <w:pPr>
        <w:keepNext/>
        <w:tabs>
          <w:tab w:val="left" w:leader="dot" w:pos="6840"/>
          <w:tab w:val="left" w:pos="7920"/>
        </w:tabs>
        <w:spacing w:after="120"/>
        <w:rPr>
          <w:b/>
          <w:sz w:val="21"/>
          <w:szCs w:val="21"/>
        </w:rPr>
      </w:pPr>
      <w:r>
        <w:rPr>
          <w:b/>
          <w:smallCaps/>
          <w:sz w:val="21"/>
          <w:szCs w:val="21"/>
        </w:rPr>
        <w:t>Personal Securities Transactions</w:t>
      </w:r>
      <w:r>
        <w:rPr>
          <w:b/>
          <w:smallCaps/>
          <w:sz w:val="21"/>
          <w:szCs w:val="21"/>
        </w:rPr>
        <w:tab/>
      </w:r>
      <w:r>
        <w:rPr>
          <w:b/>
          <w:smallCaps/>
          <w:sz w:val="21"/>
          <w:szCs w:val="21"/>
        </w:rPr>
        <w:tab/>
      </w:r>
      <w:r>
        <w:rPr>
          <w:b/>
          <w:sz w:val="21"/>
          <w:szCs w:val="21"/>
        </w:rPr>
        <w:t>Section XI</w:t>
      </w:r>
    </w:p>
    <w:p w14:paraId="290098BE" w14:textId="77777777" w:rsidR="0075479B" w:rsidRDefault="0075479B">
      <w:pPr>
        <w:tabs>
          <w:tab w:val="left" w:leader="dot" w:pos="6840"/>
          <w:tab w:val="left" w:pos="7920"/>
        </w:tabs>
        <w:spacing w:after="120"/>
        <w:ind w:left="720"/>
        <w:rPr>
          <w:sz w:val="21"/>
          <w:szCs w:val="21"/>
        </w:rPr>
      </w:pPr>
      <w:r>
        <w:rPr>
          <w:sz w:val="21"/>
          <w:szCs w:val="21"/>
        </w:rPr>
        <w:t>Responsibility</w:t>
      </w:r>
    </w:p>
    <w:p w14:paraId="16F07F54" w14:textId="77777777" w:rsidR="0075479B" w:rsidRDefault="0075479B">
      <w:pPr>
        <w:tabs>
          <w:tab w:val="left" w:leader="dot" w:pos="6840"/>
          <w:tab w:val="left" w:pos="7920"/>
        </w:tabs>
        <w:spacing w:after="120"/>
        <w:ind w:left="720"/>
        <w:rPr>
          <w:sz w:val="21"/>
          <w:szCs w:val="21"/>
        </w:rPr>
      </w:pPr>
      <w:r>
        <w:rPr>
          <w:sz w:val="21"/>
          <w:szCs w:val="21"/>
        </w:rPr>
        <w:t>Reporting</w:t>
      </w:r>
    </w:p>
    <w:p w14:paraId="235165E0" w14:textId="77777777" w:rsidR="0075479B" w:rsidRDefault="0075479B">
      <w:pPr>
        <w:tabs>
          <w:tab w:val="left" w:leader="dot" w:pos="6840"/>
          <w:tab w:val="left" w:pos="7920"/>
        </w:tabs>
        <w:spacing w:after="120"/>
        <w:ind w:left="720"/>
        <w:rPr>
          <w:sz w:val="21"/>
          <w:szCs w:val="21"/>
        </w:rPr>
      </w:pPr>
      <w:r>
        <w:rPr>
          <w:sz w:val="21"/>
          <w:szCs w:val="21"/>
        </w:rPr>
        <w:t>Exceptions</w:t>
      </w:r>
    </w:p>
    <w:p w14:paraId="04BE0A3C" w14:textId="77777777" w:rsidR="0075479B" w:rsidRDefault="0075479B">
      <w:pPr>
        <w:keepNext/>
        <w:tabs>
          <w:tab w:val="left" w:leader="dot" w:pos="6840"/>
          <w:tab w:val="left" w:pos="7920"/>
        </w:tabs>
        <w:spacing w:after="120"/>
        <w:rPr>
          <w:b/>
          <w:sz w:val="21"/>
          <w:szCs w:val="21"/>
        </w:rPr>
      </w:pPr>
      <w:r>
        <w:rPr>
          <w:b/>
          <w:smallCaps/>
          <w:sz w:val="21"/>
          <w:szCs w:val="21"/>
        </w:rPr>
        <w:t>Insider Trading</w:t>
      </w:r>
      <w:r>
        <w:rPr>
          <w:b/>
          <w:smallCaps/>
          <w:sz w:val="21"/>
          <w:szCs w:val="21"/>
        </w:rPr>
        <w:tab/>
      </w:r>
      <w:r>
        <w:rPr>
          <w:b/>
          <w:smallCaps/>
          <w:sz w:val="21"/>
          <w:szCs w:val="21"/>
        </w:rPr>
        <w:tab/>
      </w:r>
      <w:r>
        <w:rPr>
          <w:b/>
          <w:sz w:val="21"/>
          <w:szCs w:val="21"/>
        </w:rPr>
        <w:t>Section XII</w:t>
      </w:r>
    </w:p>
    <w:p w14:paraId="099B5AB2" w14:textId="77777777" w:rsidR="0068447B" w:rsidRDefault="0075479B">
      <w:pPr>
        <w:tabs>
          <w:tab w:val="left" w:leader="dot" w:pos="6840"/>
          <w:tab w:val="left" w:pos="7920"/>
        </w:tabs>
        <w:spacing w:after="120"/>
        <w:ind w:left="720"/>
        <w:rPr>
          <w:sz w:val="21"/>
          <w:szCs w:val="21"/>
        </w:rPr>
      </w:pPr>
      <w:r>
        <w:rPr>
          <w:sz w:val="21"/>
          <w:szCs w:val="21"/>
        </w:rPr>
        <w:t>Supervisory Responsibility</w:t>
      </w:r>
    </w:p>
    <w:p w14:paraId="27F3094D" w14:textId="77777777" w:rsidR="0075479B" w:rsidRDefault="0075479B">
      <w:pPr>
        <w:tabs>
          <w:tab w:val="left" w:leader="dot" w:pos="6840"/>
          <w:tab w:val="left" w:pos="7920"/>
        </w:tabs>
        <w:spacing w:after="120"/>
        <w:ind w:left="720"/>
        <w:rPr>
          <w:sz w:val="21"/>
          <w:szCs w:val="21"/>
        </w:rPr>
      </w:pPr>
      <w:r>
        <w:rPr>
          <w:sz w:val="21"/>
          <w:szCs w:val="21"/>
        </w:rPr>
        <w:t>Definitions</w:t>
      </w:r>
    </w:p>
    <w:p w14:paraId="31B89003" w14:textId="77777777" w:rsidR="0075479B" w:rsidRDefault="00485F39">
      <w:pPr>
        <w:tabs>
          <w:tab w:val="left" w:leader="dot" w:pos="6840"/>
          <w:tab w:val="left" w:pos="7920"/>
        </w:tabs>
        <w:spacing w:after="120"/>
        <w:ind w:left="720"/>
        <w:rPr>
          <w:sz w:val="21"/>
          <w:szCs w:val="21"/>
        </w:rPr>
      </w:pPr>
      <w:r>
        <w:rPr>
          <w:sz w:val="21"/>
          <w:szCs w:val="21"/>
        </w:rPr>
        <w:t>The Company</w:t>
      </w:r>
      <w:r w:rsidR="0075479B">
        <w:rPr>
          <w:sz w:val="21"/>
          <w:szCs w:val="21"/>
        </w:rPr>
        <w:t>’s Policy on Insider Trading</w:t>
      </w:r>
    </w:p>
    <w:p w14:paraId="1079900B" w14:textId="77777777" w:rsidR="0075479B" w:rsidRDefault="0075479B">
      <w:pPr>
        <w:tabs>
          <w:tab w:val="left" w:leader="dot" w:pos="6840"/>
          <w:tab w:val="left" w:pos="7920"/>
        </w:tabs>
        <w:spacing w:after="120"/>
        <w:ind w:left="720"/>
        <w:rPr>
          <w:sz w:val="21"/>
          <w:szCs w:val="21"/>
        </w:rPr>
      </w:pPr>
      <w:r>
        <w:rPr>
          <w:sz w:val="21"/>
          <w:szCs w:val="21"/>
        </w:rPr>
        <w:t>Prevention of Insider Trading</w:t>
      </w:r>
    </w:p>
    <w:p w14:paraId="2297BE61" w14:textId="77777777" w:rsidR="0075479B" w:rsidRDefault="0075479B">
      <w:pPr>
        <w:tabs>
          <w:tab w:val="left" w:leader="dot" w:pos="6840"/>
          <w:tab w:val="left" w:pos="7920"/>
        </w:tabs>
        <w:spacing w:after="120"/>
        <w:ind w:left="720"/>
        <w:rPr>
          <w:sz w:val="21"/>
          <w:szCs w:val="21"/>
        </w:rPr>
      </w:pPr>
      <w:r>
        <w:rPr>
          <w:sz w:val="21"/>
          <w:szCs w:val="21"/>
        </w:rPr>
        <w:t>Detection of Insider Trading</w:t>
      </w:r>
    </w:p>
    <w:p w14:paraId="326F548C" w14:textId="77777777" w:rsidR="0075479B" w:rsidRDefault="0075479B">
      <w:pPr>
        <w:keepNext/>
        <w:tabs>
          <w:tab w:val="left" w:leader="dot" w:pos="6840"/>
          <w:tab w:val="left" w:pos="7920"/>
        </w:tabs>
        <w:spacing w:after="120"/>
        <w:rPr>
          <w:b/>
          <w:sz w:val="21"/>
          <w:szCs w:val="21"/>
        </w:rPr>
      </w:pPr>
      <w:r>
        <w:rPr>
          <w:b/>
          <w:smallCaps/>
          <w:sz w:val="21"/>
          <w:szCs w:val="21"/>
        </w:rPr>
        <w:t>Voting Policies</w:t>
      </w:r>
      <w:r>
        <w:rPr>
          <w:b/>
          <w:smallCaps/>
          <w:sz w:val="21"/>
          <w:szCs w:val="21"/>
        </w:rPr>
        <w:tab/>
      </w:r>
      <w:r>
        <w:rPr>
          <w:b/>
          <w:smallCaps/>
          <w:sz w:val="21"/>
          <w:szCs w:val="21"/>
        </w:rPr>
        <w:tab/>
      </w:r>
      <w:r>
        <w:rPr>
          <w:b/>
          <w:sz w:val="21"/>
          <w:szCs w:val="21"/>
        </w:rPr>
        <w:t>Section XIII</w:t>
      </w:r>
    </w:p>
    <w:p w14:paraId="740B595F" w14:textId="77777777" w:rsidR="0075479B" w:rsidRDefault="0075479B">
      <w:pPr>
        <w:tabs>
          <w:tab w:val="left" w:leader="dot" w:pos="6840"/>
          <w:tab w:val="left" w:pos="7920"/>
        </w:tabs>
        <w:spacing w:after="120"/>
        <w:ind w:left="720"/>
        <w:rPr>
          <w:sz w:val="21"/>
          <w:szCs w:val="21"/>
        </w:rPr>
      </w:pPr>
      <w:r>
        <w:rPr>
          <w:sz w:val="21"/>
          <w:szCs w:val="21"/>
        </w:rPr>
        <w:t>Proxy Voting</w:t>
      </w:r>
    </w:p>
    <w:p w14:paraId="72707B88" w14:textId="77777777" w:rsidR="0075479B" w:rsidRDefault="0075479B">
      <w:pPr>
        <w:keepNext/>
        <w:tabs>
          <w:tab w:val="left" w:leader="dot" w:pos="6840"/>
          <w:tab w:val="left" w:pos="7920"/>
        </w:tabs>
        <w:spacing w:after="120"/>
        <w:rPr>
          <w:b/>
          <w:sz w:val="21"/>
          <w:szCs w:val="21"/>
        </w:rPr>
      </w:pPr>
      <w:r>
        <w:rPr>
          <w:b/>
          <w:smallCaps/>
          <w:sz w:val="21"/>
          <w:szCs w:val="21"/>
        </w:rPr>
        <w:t>Complaints</w:t>
      </w:r>
      <w:r>
        <w:rPr>
          <w:b/>
          <w:smallCaps/>
          <w:sz w:val="21"/>
          <w:szCs w:val="21"/>
        </w:rPr>
        <w:tab/>
      </w:r>
      <w:r>
        <w:rPr>
          <w:b/>
          <w:smallCaps/>
          <w:sz w:val="21"/>
          <w:szCs w:val="21"/>
        </w:rPr>
        <w:tab/>
      </w:r>
      <w:r>
        <w:rPr>
          <w:b/>
          <w:sz w:val="21"/>
          <w:szCs w:val="21"/>
        </w:rPr>
        <w:t>Section XIV</w:t>
      </w:r>
    </w:p>
    <w:p w14:paraId="60401182" w14:textId="77777777" w:rsidR="0075479B" w:rsidRDefault="0075479B">
      <w:pPr>
        <w:tabs>
          <w:tab w:val="left" w:leader="dot" w:pos="6840"/>
          <w:tab w:val="left" w:pos="7920"/>
        </w:tabs>
        <w:spacing w:after="120"/>
        <w:ind w:left="720"/>
        <w:rPr>
          <w:sz w:val="21"/>
          <w:szCs w:val="21"/>
        </w:rPr>
      </w:pPr>
      <w:r>
        <w:rPr>
          <w:sz w:val="21"/>
          <w:szCs w:val="21"/>
        </w:rPr>
        <w:t>Supervisory Responsibility</w:t>
      </w:r>
    </w:p>
    <w:p w14:paraId="14EC80DF" w14:textId="77777777" w:rsidR="0075479B" w:rsidRDefault="0075479B">
      <w:pPr>
        <w:tabs>
          <w:tab w:val="left" w:leader="dot" w:pos="6840"/>
          <w:tab w:val="left" w:pos="7920"/>
        </w:tabs>
        <w:spacing w:after="120"/>
        <w:ind w:left="720"/>
        <w:rPr>
          <w:sz w:val="21"/>
          <w:szCs w:val="21"/>
        </w:rPr>
      </w:pPr>
      <w:r>
        <w:rPr>
          <w:sz w:val="21"/>
          <w:szCs w:val="21"/>
        </w:rPr>
        <w:t>Definition</w:t>
      </w:r>
    </w:p>
    <w:p w14:paraId="501899EB" w14:textId="77777777" w:rsidR="0075479B" w:rsidRDefault="0075479B">
      <w:pPr>
        <w:tabs>
          <w:tab w:val="left" w:leader="dot" w:pos="6840"/>
          <w:tab w:val="left" w:pos="7920"/>
        </w:tabs>
        <w:spacing w:after="120"/>
        <w:ind w:left="720"/>
        <w:rPr>
          <w:sz w:val="21"/>
          <w:szCs w:val="21"/>
        </w:rPr>
      </w:pPr>
      <w:r>
        <w:rPr>
          <w:sz w:val="21"/>
          <w:szCs w:val="21"/>
        </w:rPr>
        <w:t>Handling of Customer Complaints</w:t>
      </w:r>
    </w:p>
    <w:p w14:paraId="5AD59AF8" w14:textId="77777777" w:rsidR="0075479B" w:rsidRDefault="0075479B">
      <w:pPr>
        <w:keepNext/>
        <w:tabs>
          <w:tab w:val="left" w:leader="dot" w:pos="6840"/>
          <w:tab w:val="left" w:pos="7920"/>
        </w:tabs>
        <w:spacing w:after="120"/>
        <w:rPr>
          <w:b/>
          <w:sz w:val="21"/>
          <w:szCs w:val="21"/>
        </w:rPr>
      </w:pPr>
      <w:r>
        <w:rPr>
          <w:b/>
          <w:smallCaps/>
          <w:sz w:val="21"/>
          <w:szCs w:val="21"/>
        </w:rPr>
        <w:t>Correspondence</w:t>
      </w:r>
      <w:r>
        <w:rPr>
          <w:b/>
          <w:smallCaps/>
          <w:sz w:val="21"/>
          <w:szCs w:val="21"/>
        </w:rPr>
        <w:tab/>
      </w:r>
      <w:r>
        <w:rPr>
          <w:b/>
          <w:smallCaps/>
          <w:sz w:val="21"/>
          <w:szCs w:val="21"/>
        </w:rPr>
        <w:tab/>
      </w:r>
      <w:r>
        <w:rPr>
          <w:b/>
          <w:sz w:val="21"/>
          <w:szCs w:val="21"/>
        </w:rPr>
        <w:t>Section XV</w:t>
      </w:r>
    </w:p>
    <w:p w14:paraId="4FA70AB0" w14:textId="77777777" w:rsidR="0075479B" w:rsidRDefault="0075479B">
      <w:pPr>
        <w:tabs>
          <w:tab w:val="left" w:leader="dot" w:pos="6840"/>
          <w:tab w:val="left" w:pos="7920"/>
        </w:tabs>
        <w:spacing w:after="120"/>
        <w:ind w:left="720"/>
        <w:rPr>
          <w:sz w:val="21"/>
          <w:szCs w:val="21"/>
        </w:rPr>
      </w:pPr>
      <w:r>
        <w:rPr>
          <w:sz w:val="21"/>
          <w:szCs w:val="21"/>
        </w:rPr>
        <w:t>Responsibility</w:t>
      </w:r>
    </w:p>
    <w:p w14:paraId="5651DFAC" w14:textId="77777777" w:rsidR="0075479B" w:rsidRDefault="0075479B">
      <w:pPr>
        <w:tabs>
          <w:tab w:val="left" w:leader="dot" w:pos="6840"/>
          <w:tab w:val="left" w:pos="7920"/>
        </w:tabs>
        <w:spacing w:after="120"/>
        <w:ind w:left="720"/>
        <w:rPr>
          <w:sz w:val="21"/>
          <w:szCs w:val="21"/>
        </w:rPr>
      </w:pPr>
      <w:r>
        <w:rPr>
          <w:sz w:val="21"/>
          <w:szCs w:val="21"/>
        </w:rPr>
        <w:t xml:space="preserve">Location </w:t>
      </w:r>
      <w:r w:rsidR="006D4B5A">
        <w:rPr>
          <w:sz w:val="21"/>
          <w:szCs w:val="21"/>
        </w:rPr>
        <w:t>through</w:t>
      </w:r>
      <w:r>
        <w:rPr>
          <w:sz w:val="21"/>
          <w:szCs w:val="21"/>
        </w:rPr>
        <w:t xml:space="preserve"> Which Correspondence May be Sent or Received</w:t>
      </w:r>
    </w:p>
    <w:p w14:paraId="1DFEAC3E" w14:textId="77777777" w:rsidR="0075479B" w:rsidRDefault="0075479B">
      <w:pPr>
        <w:tabs>
          <w:tab w:val="left" w:leader="dot" w:pos="6840"/>
          <w:tab w:val="left" w:pos="7920"/>
        </w:tabs>
        <w:spacing w:after="120"/>
        <w:ind w:left="720"/>
        <w:rPr>
          <w:sz w:val="21"/>
          <w:szCs w:val="21"/>
        </w:rPr>
      </w:pPr>
      <w:r>
        <w:rPr>
          <w:sz w:val="21"/>
          <w:szCs w:val="21"/>
        </w:rPr>
        <w:t>Approval</w:t>
      </w:r>
    </w:p>
    <w:p w14:paraId="4E22896F" w14:textId="77777777" w:rsidR="0075479B" w:rsidRDefault="0075479B">
      <w:pPr>
        <w:tabs>
          <w:tab w:val="left" w:leader="dot" w:pos="6840"/>
          <w:tab w:val="left" w:pos="7920"/>
        </w:tabs>
        <w:spacing w:after="120"/>
        <w:ind w:left="720"/>
        <w:rPr>
          <w:sz w:val="21"/>
          <w:szCs w:val="21"/>
        </w:rPr>
      </w:pPr>
      <w:r>
        <w:rPr>
          <w:sz w:val="21"/>
          <w:szCs w:val="21"/>
        </w:rPr>
        <w:t>Records</w:t>
      </w:r>
    </w:p>
    <w:p w14:paraId="1DFF4908" w14:textId="77777777" w:rsidR="0075479B" w:rsidRDefault="0075479B">
      <w:pPr>
        <w:tabs>
          <w:tab w:val="left" w:leader="dot" w:pos="6840"/>
          <w:tab w:val="left" w:pos="7920"/>
        </w:tabs>
        <w:spacing w:after="120"/>
        <w:ind w:left="720"/>
        <w:rPr>
          <w:sz w:val="21"/>
          <w:szCs w:val="21"/>
        </w:rPr>
      </w:pPr>
      <w:r>
        <w:rPr>
          <w:sz w:val="21"/>
          <w:szCs w:val="21"/>
        </w:rPr>
        <w:t>Cold Calling/Telephone Solicitation</w:t>
      </w:r>
    </w:p>
    <w:p w14:paraId="65A18C59" w14:textId="77777777" w:rsidR="0075479B" w:rsidRDefault="0075479B">
      <w:pPr>
        <w:tabs>
          <w:tab w:val="left" w:leader="dot" w:pos="6840"/>
          <w:tab w:val="left" w:pos="7920"/>
        </w:tabs>
        <w:spacing w:after="120"/>
        <w:rPr>
          <w:b/>
          <w:sz w:val="21"/>
          <w:szCs w:val="21"/>
        </w:rPr>
      </w:pPr>
    </w:p>
    <w:p w14:paraId="01922760" w14:textId="77777777" w:rsidR="0075479B" w:rsidRDefault="0075479B">
      <w:pPr>
        <w:tabs>
          <w:tab w:val="left" w:leader="dot" w:pos="6840"/>
          <w:tab w:val="left" w:pos="7920"/>
        </w:tabs>
      </w:pPr>
    </w:p>
    <w:p w14:paraId="5EFD36B6" w14:textId="77777777" w:rsidR="0075479B" w:rsidRDefault="0075479B">
      <w:pPr>
        <w:sectPr w:rsidR="0075479B" w:rsidSect="00315DF8">
          <w:footerReference w:type="even" r:id="rId8"/>
          <w:footerReference w:type="default" r:id="rId9"/>
          <w:footerReference w:type="first" r:id="rId10"/>
          <w:type w:val="continuous"/>
          <w:pgSz w:w="12240" w:h="15840" w:code="1"/>
          <w:pgMar w:top="1152" w:right="1440" w:bottom="1440" w:left="1440" w:header="1440" w:footer="864" w:gutter="0"/>
          <w:pgNumType w:fmt="numberInDash"/>
          <w:cols w:space="720"/>
          <w:titlePg/>
          <w:docGrid w:linePitch="360"/>
        </w:sectPr>
      </w:pPr>
    </w:p>
    <w:p w14:paraId="3328BDBC" w14:textId="77777777" w:rsidR="0075479B" w:rsidRPr="00603D9B" w:rsidRDefault="0075479B">
      <w:pPr>
        <w:keepNext/>
        <w:spacing w:after="600"/>
        <w:rPr>
          <w:b/>
          <w:smallCaps/>
          <w:sz w:val="32"/>
          <w:szCs w:val="28"/>
        </w:rPr>
      </w:pPr>
      <w:r w:rsidRPr="00603D9B">
        <w:rPr>
          <w:b/>
          <w:smallCaps/>
          <w:sz w:val="32"/>
          <w:szCs w:val="28"/>
        </w:rPr>
        <w:lastRenderedPageBreak/>
        <w:t>Supervisory Procedures Manual</w:t>
      </w:r>
    </w:p>
    <w:p w14:paraId="3D039D87" w14:textId="3E2882A9" w:rsidR="0075479B" w:rsidRPr="00B317FD" w:rsidRDefault="0075479B">
      <w:pPr>
        <w:pStyle w:val="Heading1"/>
        <w:rPr>
          <w:sz w:val="24"/>
        </w:rPr>
      </w:pPr>
      <w:r w:rsidRPr="00B317FD">
        <w:rPr>
          <w:sz w:val="24"/>
        </w:rPr>
        <w:fldChar w:fldCharType="begin"/>
      </w:r>
      <w:r w:rsidRPr="00B317FD">
        <w:rPr>
          <w:sz w:val="24"/>
        </w:rPr>
        <w:instrText xml:space="preserve"> SEQ SeqIII \r1 \*ROMAN \*MERGEFORMAT </w:instrText>
      </w:r>
      <w:r w:rsidRPr="00B317FD">
        <w:rPr>
          <w:sz w:val="24"/>
        </w:rPr>
        <w:fldChar w:fldCharType="separate"/>
      </w:r>
      <w:r w:rsidR="002A078E">
        <w:rPr>
          <w:noProof/>
          <w:sz w:val="24"/>
        </w:rPr>
        <w:t>I</w:t>
      </w:r>
      <w:r w:rsidRPr="00B317FD">
        <w:rPr>
          <w:sz w:val="24"/>
        </w:rPr>
        <w:fldChar w:fldCharType="end"/>
      </w:r>
      <w:r w:rsidRPr="00B317FD">
        <w:rPr>
          <w:sz w:val="24"/>
        </w:rPr>
        <w:t>.</w:t>
      </w:r>
      <w:r w:rsidRPr="00B317FD">
        <w:rPr>
          <w:sz w:val="24"/>
        </w:rPr>
        <w:tab/>
        <w:t>Introduction</w:t>
      </w:r>
    </w:p>
    <w:p w14:paraId="4EBF21C7" w14:textId="1C4FF817"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Purpose</w:t>
      </w:r>
      <w:r w:rsidRPr="00603D9B">
        <w:rPr>
          <w:sz w:val="18"/>
        </w:rPr>
        <w:t xml:space="preserve">.  </w:t>
      </w:r>
      <w:r w:rsidRPr="00603D9B">
        <w:rPr>
          <w:b/>
          <w:sz w:val="18"/>
        </w:rPr>
        <w:t>Cutter &amp; Company, Inc.</w:t>
      </w:r>
      <w:r w:rsidRPr="00603D9B">
        <w:rPr>
          <w:sz w:val="18"/>
        </w:rPr>
        <w:t xml:space="preserve"> (“</w:t>
      </w:r>
      <w:r w:rsidR="00485F39" w:rsidRPr="00603D9B">
        <w:rPr>
          <w:sz w:val="18"/>
        </w:rPr>
        <w:t>Company</w:t>
      </w:r>
      <w:r w:rsidRPr="00603D9B">
        <w:rPr>
          <w:sz w:val="18"/>
        </w:rPr>
        <w:t xml:space="preserve">”) is an Investment </w:t>
      </w:r>
      <w:r w:rsidR="009A1659" w:rsidRPr="00603D9B">
        <w:rPr>
          <w:sz w:val="18"/>
        </w:rPr>
        <w:t>Advisor</w:t>
      </w:r>
      <w:r w:rsidRPr="00603D9B">
        <w:rPr>
          <w:sz w:val="18"/>
        </w:rPr>
        <w:t xml:space="preserve"> registered with the Securities Exchange Commission </w:t>
      </w:r>
      <w:r w:rsidRPr="00603D9B">
        <w:rPr>
          <w:sz w:val="18"/>
        </w:rPr>
        <w:noBreakHyphen/>
        <w:t xml:space="preserve"> </w:t>
      </w:r>
      <w:smartTag w:uri="urn:schemas-microsoft-com:office:smarttags" w:element="stockticker">
        <w:r w:rsidRPr="00603D9B">
          <w:rPr>
            <w:sz w:val="18"/>
          </w:rPr>
          <w:t>SEC</w:t>
        </w:r>
      </w:smartTag>
      <w:r w:rsidRPr="00603D9B">
        <w:rPr>
          <w:sz w:val="18"/>
        </w:rPr>
        <w:t xml:space="preserve"> file number 801 </w:t>
      </w:r>
      <w:r w:rsidRPr="00603D9B">
        <w:rPr>
          <w:sz w:val="18"/>
        </w:rPr>
        <w:noBreakHyphen/>
        <w:t xml:space="preserve"> 39590.  This manual contains the written supervisory procedures of </w:t>
      </w:r>
      <w:r w:rsidR="00E85D8B">
        <w:rPr>
          <w:sz w:val="18"/>
        </w:rPr>
        <w:t>t</w:t>
      </w:r>
      <w:r w:rsidR="00485F39" w:rsidRPr="00603D9B">
        <w:rPr>
          <w:sz w:val="18"/>
        </w:rPr>
        <w:t>he Company</w:t>
      </w:r>
      <w:r w:rsidRPr="00603D9B">
        <w:rPr>
          <w:sz w:val="18"/>
        </w:rPr>
        <w:t xml:space="preserve"> and shall be followed by all </w:t>
      </w:r>
      <w:r w:rsidR="0007221B" w:rsidRPr="00603D9B">
        <w:rPr>
          <w:sz w:val="18"/>
        </w:rPr>
        <w:t xml:space="preserve">Investment </w:t>
      </w:r>
      <w:r w:rsidR="009A1659" w:rsidRPr="00603D9B">
        <w:rPr>
          <w:sz w:val="18"/>
        </w:rPr>
        <w:t>Advisor</w:t>
      </w:r>
      <w:r w:rsidR="0007221B" w:rsidRPr="00603D9B">
        <w:rPr>
          <w:sz w:val="18"/>
        </w:rPr>
        <w:t xml:space="preserve"> Representatives (IAR’s)</w:t>
      </w:r>
      <w:r w:rsidR="00501C6B" w:rsidRPr="00603D9B">
        <w:rPr>
          <w:sz w:val="18"/>
        </w:rPr>
        <w:t xml:space="preserve"> of </w:t>
      </w:r>
      <w:r w:rsidR="00E85D8B">
        <w:rPr>
          <w:sz w:val="18"/>
        </w:rPr>
        <w:t>t</w:t>
      </w:r>
      <w:r w:rsidR="00485F39" w:rsidRPr="00603D9B">
        <w:rPr>
          <w:sz w:val="18"/>
        </w:rPr>
        <w:t>he Company</w:t>
      </w:r>
      <w:r w:rsidRPr="00603D9B">
        <w:rPr>
          <w:sz w:val="18"/>
        </w:rPr>
        <w:t xml:space="preserve"> in the carrying out of their responsibilities.  Its purpose is to help ensure that </w:t>
      </w:r>
      <w:r w:rsidR="00E85D8B">
        <w:rPr>
          <w:sz w:val="18"/>
        </w:rPr>
        <w:t>t</w:t>
      </w:r>
      <w:r w:rsidR="00485F39" w:rsidRPr="00603D9B">
        <w:rPr>
          <w:sz w:val="18"/>
        </w:rPr>
        <w:t>he Company</w:t>
      </w:r>
      <w:r w:rsidRPr="00603D9B">
        <w:rPr>
          <w:sz w:val="18"/>
        </w:rPr>
        <w:t xml:space="preserve"> conducts its business in compliance with all applicable federal and state laws, rules and regulations and in keeping with the highest level of professional and ethical standards.</w:t>
      </w:r>
    </w:p>
    <w:p w14:paraId="157FB20D" w14:textId="16002B61" w:rsidR="00EB1066"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Guidelines Only</w:t>
      </w:r>
      <w:r w:rsidRPr="00603D9B">
        <w:rPr>
          <w:sz w:val="18"/>
        </w:rPr>
        <w:t xml:space="preserve">.  The information and procedures provided within this manual represent </w:t>
      </w:r>
      <w:r w:rsidRPr="00603D9B">
        <w:rPr>
          <w:b/>
          <w:i/>
          <w:sz w:val="18"/>
        </w:rPr>
        <w:t>guidelines</w:t>
      </w:r>
      <w:r w:rsidRPr="00603D9B">
        <w:rPr>
          <w:sz w:val="18"/>
        </w:rPr>
        <w:t xml:space="preserve"> to be followed by </w:t>
      </w:r>
      <w:r w:rsidR="00E85D8B">
        <w:rPr>
          <w:sz w:val="18"/>
        </w:rPr>
        <w:t>t</w:t>
      </w:r>
      <w:r w:rsidR="00485F39" w:rsidRPr="00603D9B">
        <w:rPr>
          <w:sz w:val="18"/>
        </w:rPr>
        <w:t>he Company</w:t>
      </w:r>
      <w:r w:rsidRPr="00603D9B">
        <w:rPr>
          <w:sz w:val="18"/>
        </w:rPr>
        <w:t xml:space="preserve">’s supervisory personnel </w:t>
      </w:r>
      <w:r w:rsidR="00E85D8B">
        <w:rPr>
          <w:sz w:val="18"/>
        </w:rPr>
        <w:t xml:space="preserve">and its IAR’s </w:t>
      </w:r>
      <w:r w:rsidRPr="00603D9B">
        <w:rPr>
          <w:sz w:val="18"/>
        </w:rPr>
        <w:t xml:space="preserve">and are not inclusive of all laws, rules and regulations that govern the activities of </w:t>
      </w:r>
      <w:r w:rsidR="00E85D8B">
        <w:rPr>
          <w:sz w:val="18"/>
        </w:rPr>
        <w:t>t</w:t>
      </w:r>
      <w:r w:rsidR="00485F39" w:rsidRPr="00603D9B">
        <w:rPr>
          <w:sz w:val="18"/>
        </w:rPr>
        <w:t>he Company</w:t>
      </w:r>
      <w:r w:rsidRPr="00603D9B">
        <w:rPr>
          <w:sz w:val="18"/>
        </w:rPr>
        <w:t>.</w:t>
      </w:r>
    </w:p>
    <w:p w14:paraId="5EDE5FA2" w14:textId="3AF06607"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Amendments</w:t>
      </w:r>
      <w:r w:rsidRPr="00603D9B">
        <w:rPr>
          <w:sz w:val="18"/>
        </w:rPr>
        <w:t xml:space="preserve">.  </w:t>
      </w:r>
      <w:r w:rsidR="00485F39" w:rsidRPr="00603D9B">
        <w:rPr>
          <w:sz w:val="18"/>
        </w:rPr>
        <w:t>The Company</w:t>
      </w:r>
      <w:r w:rsidRPr="00603D9B">
        <w:rPr>
          <w:sz w:val="18"/>
        </w:rPr>
        <w:t xml:space="preserve">’s Chief Compliance Officer will review this manual at least annually and amend it as appropriate within a reasonable time after changes occur in federal and state securities laws, rules and regulations, and as changes occur in </w:t>
      </w:r>
      <w:r w:rsidR="00E85D8B">
        <w:rPr>
          <w:sz w:val="18"/>
        </w:rPr>
        <w:t>t</w:t>
      </w:r>
      <w:r w:rsidR="00485F39" w:rsidRPr="00603D9B">
        <w:rPr>
          <w:sz w:val="18"/>
        </w:rPr>
        <w:t>he Company</w:t>
      </w:r>
      <w:r w:rsidRPr="00603D9B">
        <w:rPr>
          <w:sz w:val="18"/>
        </w:rPr>
        <w:t>’s supervisory system.</w:t>
      </w:r>
    </w:p>
    <w:p w14:paraId="1407AB90" w14:textId="6519A290"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D</w:t>
      </w:r>
      <w:r w:rsidRPr="00603D9B">
        <w:rPr>
          <w:b/>
          <w:sz w:val="18"/>
        </w:rPr>
        <w:fldChar w:fldCharType="end"/>
      </w:r>
      <w:r w:rsidRPr="00603D9B">
        <w:rPr>
          <w:b/>
          <w:sz w:val="18"/>
        </w:rPr>
        <w:t>.</w:t>
      </w:r>
      <w:r w:rsidRPr="00603D9B">
        <w:rPr>
          <w:b/>
          <w:sz w:val="18"/>
        </w:rPr>
        <w:tab/>
        <w:t>Questions</w:t>
      </w:r>
      <w:r w:rsidRPr="00603D9B">
        <w:rPr>
          <w:sz w:val="18"/>
        </w:rPr>
        <w:t>.  Any questions concerning the policies and procedures contained within this manual or regarding any regulations should be directed to the appropriate supervisor or to the Chief Compliance Officer.</w:t>
      </w:r>
    </w:p>
    <w:p w14:paraId="054D6166" w14:textId="77777777" w:rsidR="0075479B" w:rsidRPr="00603D9B" w:rsidRDefault="0075479B" w:rsidP="00603D9B">
      <w:pPr>
        <w:pStyle w:val="Heading2"/>
        <w:numPr>
          <w:ilvl w:val="0"/>
          <w:numId w:val="19"/>
        </w:numPr>
        <w:rPr>
          <w:sz w:val="18"/>
        </w:rPr>
      </w:pPr>
      <w:r w:rsidRPr="00603D9B">
        <w:rPr>
          <w:b/>
          <w:sz w:val="18"/>
        </w:rPr>
        <w:t>Limitations on Use</w:t>
      </w:r>
      <w:r w:rsidRPr="00603D9B">
        <w:rPr>
          <w:sz w:val="18"/>
        </w:rPr>
        <w:t xml:space="preserve">.  </w:t>
      </w:r>
      <w:r w:rsidR="00485F39" w:rsidRPr="00603D9B">
        <w:rPr>
          <w:sz w:val="18"/>
        </w:rPr>
        <w:t>The Company</w:t>
      </w:r>
      <w:r w:rsidRPr="00603D9B">
        <w:rPr>
          <w:sz w:val="18"/>
        </w:rPr>
        <w:t xml:space="preserve"> is the sole owner of all rights to this manual and it must be returned to </w:t>
      </w:r>
      <w:r w:rsidR="00E85D8B">
        <w:rPr>
          <w:sz w:val="18"/>
        </w:rPr>
        <w:t>t</w:t>
      </w:r>
      <w:r w:rsidR="00485F39" w:rsidRPr="00603D9B">
        <w:rPr>
          <w:sz w:val="18"/>
        </w:rPr>
        <w:t>he Company</w:t>
      </w:r>
      <w:r w:rsidRPr="00603D9B">
        <w:rPr>
          <w:sz w:val="18"/>
        </w:rPr>
        <w:t xml:space="preserve"> immediately upon termination of employment</w:t>
      </w:r>
      <w:r w:rsidR="00501C6B" w:rsidRPr="00603D9B">
        <w:rPr>
          <w:sz w:val="18"/>
        </w:rPr>
        <w:t xml:space="preserve"> or affiliation</w:t>
      </w:r>
      <w:r w:rsidRPr="00603D9B">
        <w:rPr>
          <w:sz w:val="18"/>
        </w:rPr>
        <w:t>.  The information contained herein is confidential and proprietary and may not be disclosed to any third-party or otherwise shared or disseminated in any way.</w:t>
      </w:r>
    </w:p>
    <w:p w14:paraId="049E2E5F" w14:textId="77777777" w:rsidR="0075479B" w:rsidRDefault="0075479B" w:rsidP="00EB1066">
      <w:pPr>
        <w:pStyle w:val="Heading2"/>
        <w:keepNext/>
        <w:numPr>
          <w:ilvl w:val="0"/>
          <w:numId w:val="19"/>
        </w:numPr>
        <w:spacing w:line="240" w:lineRule="auto"/>
        <w:rPr>
          <w:sz w:val="18"/>
        </w:rPr>
      </w:pPr>
      <w:r w:rsidRPr="00603D9B">
        <w:rPr>
          <w:b/>
          <w:sz w:val="18"/>
        </w:rPr>
        <w:t>Abbreviations</w:t>
      </w:r>
      <w:r w:rsidRPr="00603D9B">
        <w:rPr>
          <w:sz w:val="18"/>
        </w:rPr>
        <w:t>.  For purposes of this manual, the following abbreviations have been used:</w:t>
      </w:r>
    </w:p>
    <w:p w14:paraId="43659B59" w14:textId="77777777" w:rsidR="0075479B" w:rsidRPr="00603D9B" w:rsidRDefault="0075479B" w:rsidP="00EB1066">
      <w:pPr>
        <w:tabs>
          <w:tab w:val="left" w:leader="dot" w:pos="6480"/>
          <w:tab w:val="left" w:pos="7200"/>
        </w:tabs>
        <w:ind w:left="1152"/>
        <w:rPr>
          <w:sz w:val="18"/>
        </w:rPr>
      </w:pPr>
      <w:r w:rsidRPr="00603D9B">
        <w:rPr>
          <w:sz w:val="18"/>
        </w:rPr>
        <w:t>Cutter &amp; Company, Inc.</w:t>
      </w:r>
      <w:r w:rsidRPr="00603D9B">
        <w:rPr>
          <w:sz w:val="18"/>
        </w:rPr>
        <w:tab/>
      </w:r>
      <w:r w:rsidRPr="00603D9B">
        <w:rPr>
          <w:sz w:val="18"/>
        </w:rPr>
        <w:tab/>
      </w:r>
      <w:r w:rsidR="00485F39" w:rsidRPr="00603D9B">
        <w:rPr>
          <w:sz w:val="18"/>
        </w:rPr>
        <w:t>Company</w:t>
      </w:r>
    </w:p>
    <w:p w14:paraId="2C057EF3" w14:textId="77777777" w:rsidR="0075479B" w:rsidRPr="00603D9B" w:rsidRDefault="0075479B">
      <w:pPr>
        <w:tabs>
          <w:tab w:val="left" w:leader="dot" w:pos="6480"/>
          <w:tab w:val="left" w:pos="7200"/>
        </w:tabs>
        <w:spacing w:line="360" w:lineRule="auto"/>
        <w:ind w:left="1152"/>
        <w:rPr>
          <w:sz w:val="18"/>
        </w:rPr>
      </w:pPr>
      <w:r w:rsidRPr="00603D9B">
        <w:rPr>
          <w:sz w:val="18"/>
        </w:rPr>
        <w:t>Chief Compliance Officer</w:t>
      </w:r>
      <w:r w:rsidRPr="00603D9B">
        <w:rPr>
          <w:sz w:val="18"/>
        </w:rPr>
        <w:tab/>
      </w:r>
      <w:r w:rsidRPr="00603D9B">
        <w:rPr>
          <w:sz w:val="18"/>
        </w:rPr>
        <w:tab/>
        <w:t>CCO</w:t>
      </w:r>
    </w:p>
    <w:p w14:paraId="69E3ED0B" w14:textId="77777777" w:rsidR="0075479B" w:rsidRPr="00603D9B" w:rsidRDefault="0075479B">
      <w:pPr>
        <w:tabs>
          <w:tab w:val="left" w:leader="dot" w:pos="6480"/>
          <w:tab w:val="left" w:pos="7200"/>
        </w:tabs>
        <w:spacing w:line="360" w:lineRule="auto"/>
        <w:ind w:left="1152"/>
        <w:rPr>
          <w:sz w:val="18"/>
        </w:rPr>
      </w:pPr>
      <w:r w:rsidRPr="00603D9B">
        <w:rPr>
          <w:sz w:val="18"/>
        </w:rPr>
        <w:t>Business Continuity Plan……………………………………</w:t>
      </w:r>
      <w:r w:rsidRPr="00603D9B">
        <w:rPr>
          <w:sz w:val="18"/>
        </w:rPr>
        <w:tab/>
      </w:r>
      <w:r w:rsidRPr="00603D9B">
        <w:rPr>
          <w:sz w:val="18"/>
        </w:rPr>
        <w:tab/>
      </w:r>
      <w:smartTag w:uri="urn:schemas-microsoft-com:office:smarttags" w:element="stockticker">
        <w:r w:rsidRPr="00603D9B">
          <w:rPr>
            <w:sz w:val="18"/>
          </w:rPr>
          <w:t>BCP</w:t>
        </w:r>
      </w:smartTag>
    </w:p>
    <w:p w14:paraId="6809A4BF" w14:textId="77777777" w:rsidR="0075479B" w:rsidRPr="00603D9B" w:rsidRDefault="0075479B">
      <w:pPr>
        <w:tabs>
          <w:tab w:val="left" w:leader="dot" w:pos="6480"/>
          <w:tab w:val="left" w:pos="7200"/>
        </w:tabs>
        <w:spacing w:line="360" w:lineRule="auto"/>
        <w:ind w:left="1152"/>
        <w:rPr>
          <w:sz w:val="18"/>
        </w:rPr>
      </w:pPr>
      <w:r w:rsidRPr="00603D9B">
        <w:rPr>
          <w:sz w:val="18"/>
        </w:rPr>
        <w:t>Employee Retirement Income Security Act</w:t>
      </w:r>
      <w:r w:rsidRPr="00603D9B">
        <w:rPr>
          <w:sz w:val="18"/>
        </w:rPr>
        <w:tab/>
      </w:r>
      <w:r w:rsidRPr="00603D9B">
        <w:rPr>
          <w:sz w:val="18"/>
        </w:rPr>
        <w:tab/>
        <w:t>ERISA</w:t>
      </w:r>
    </w:p>
    <w:p w14:paraId="550226DA" w14:textId="77777777" w:rsidR="0075479B" w:rsidRPr="00603D9B" w:rsidRDefault="0075479B">
      <w:pPr>
        <w:tabs>
          <w:tab w:val="left" w:leader="dot" w:pos="6480"/>
          <w:tab w:val="left" w:pos="7200"/>
        </w:tabs>
        <w:spacing w:line="360" w:lineRule="auto"/>
        <w:ind w:left="1152"/>
        <w:rPr>
          <w:sz w:val="18"/>
        </w:rPr>
      </w:pPr>
      <w:r w:rsidRPr="00603D9B">
        <w:rPr>
          <w:sz w:val="18"/>
        </w:rPr>
        <w:t>Investment Advisors Act of 1940</w:t>
      </w:r>
      <w:r w:rsidRPr="00603D9B">
        <w:rPr>
          <w:sz w:val="18"/>
        </w:rPr>
        <w:tab/>
      </w:r>
      <w:r w:rsidRPr="00603D9B">
        <w:rPr>
          <w:sz w:val="18"/>
        </w:rPr>
        <w:tab/>
        <w:t>Advisors Act</w:t>
      </w:r>
    </w:p>
    <w:p w14:paraId="4E994F83" w14:textId="77777777" w:rsidR="0075479B" w:rsidRPr="00603D9B" w:rsidRDefault="0075479B">
      <w:pPr>
        <w:tabs>
          <w:tab w:val="left" w:leader="dot" w:pos="6480"/>
          <w:tab w:val="left" w:pos="7200"/>
        </w:tabs>
        <w:spacing w:line="360" w:lineRule="auto"/>
        <w:ind w:left="1152"/>
        <w:rPr>
          <w:sz w:val="18"/>
        </w:rPr>
      </w:pPr>
      <w:r w:rsidRPr="00603D9B">
        <w:rPr>
          <w:sz w:val="18"/>
        </w:rPr>
        <w:t>National Securities Market Improvement Act, 1996</w:t>
      </w:r>
      <w:r w:rsidRPr="00603D9B">
        <w:rPr>
          <w:sz w:val="18"/>
        </w:rPr>
        <w:tab/>
      </w:r>
      <w:r w:rsidRPr="00603D9B">
        <w:rPr>
          <w:sz w:val="18"/>
        </w:rPr>
        <w:tab/>
        <w:t>NSMIA</w:t>
      </w:r>
    </w:p>
    <w:p w14:paraId="6A8C3804" w14:textId="77777777" w:rsidR="0075479B" w:rsidRPr="00603D9B" w:rsidRDefault="0075479B">
      <w:pPr>
        <w:tabs>
          <w:tab w:val="left" w:leader="dot" w:pos="6480"/>
          <w:tab w:val="left" w:pos="7200"/>
        </w:tabs>
        <w:spacing w:line="360" w:lineRule="auto"/>
        <w:ind w:left="1152"/>
        <w:rPr>
          <w:sz w:val="18"/>
        </w:rPr>
      </w:pPr>
      <w:r w:rsidRPr="00603D9B">
        <w:rPr>
          <w:sz w:val="18"/>
        </w:rPr>
        <w:t>Investment Advisors Registration Depository</w:t>
      </w:r>
      <w:r w:rsidRPr="00603D9B">
        <w:rPr>
          <w:sz w:val="18"/>
        </w:rPr>
        <w:tab/>
      </w:r>
      <w:r w:rsidRPr="00603D9B">
        <w:rPr>
          <w:sz w:val="18"/>
        </w:rPr>
        <w:tab/>
        <w:t>IARD</w:t>
      </w:r>
    </w:p>
    <w:p w14:paraId="204DF315" w14:textId="77777777" w:rsidR="0075479B" w:rsidRPr="00603D9B" w:rsidRDefault="0075479B">
      <w:pPr>
        <w:tabs>
          <w:tab w:val="left" w:leader="dot" w:pos="6480"/>
          <w:tab w:val="left" w:pos="7200"/>
        </w:tabs>
        <w:spacing w:line="360" w:lineRule="auto"/>
        <w:ind w:left="1152"/>
        <w:rPr>
          <w:sz w:val="18"/>
        </w:rPr>
      </w:pPr>
      <w:r w:rsidRPr="00603D9B">
        <w:rPr>
          <w:sz w:val="18"/>
        </w:rPr>
        <w:t>Investment Advisors Supervision Coordination Act</w:t>
      </w:r>
      <w:r w:rsidRPr="00603D9B">
        <w:rPr>
          <w:sz w:val="18"/>
        </w:rPr>
        <w:tab/>
      </w:r>
      <w:r w:rsidRPr="00603D9B">
        <w:rPr>
          <w:sz w:val="18"/>
        </w:rPr>
        <w:tab/>
        <w:t>The Coordination Act</w:t>
      </w:r>
    </w:p>
    <w:p w14:paraId="6973293E" w14:textId="77777777" w:rsidR="0075479B" w:rsidRPr="00603D9B" w:rsidRDefault="002B02A0">
      <w:pPr>
        <w:tabs>
          <w:tab w:val="left" w:leader="dot" w:pos="6480"/>
          <w:tab w:val="left" w:pos="7200"/>
        </w:tabs>
        <w:spacing w:line="360" w:lineRule="auto"/>
        <w:ind w:left="1152"/>
        <w:rPr>
          <w:sz w:val="18"/>
        </w:rPr>
      </w:pPr>
      <w:r w:rsidRPr="00603D9B">
        <w:rPr>
          <w:sz w:val="18"/>
        </w:rPr>
        <w:t>Financial Industry Regulatory Authority</w:t>
      </w:r>
      <w:r w:rsidRPr="00603D9B">
        <w:rPr>
          <w:sz w:val="18"/>
        </w:rPr>
        <w:tab/>
      </w:r>
      <w:r w:rsidRPr="00603D9B">
        <w:rPr>
          <w:sz w:val="18"/>
        </w:rPr>
        <w:tab/>
        <w:t>FINRA</w:t>
      </w:r>
    </w:p>
    <w:p w14:paraId="02022DB5" w14:textId="77777777" w:rsidR="0075479B" w:rsidRPr="00603D9B" w:rsidRDefault="0075479B">
      <w:pPr>
        <w:tabs>
          <w:tab w:val="left" w:leader="dot" w:pos="6480"/>
          <w:tab w:val="left" w:pos="7200"/>
        </w:tabs>
        <w:spacing w:line="360" w:lineRule="auto"/>
        <w:ind w:left="1152"/>
        <w:rPr>
          <w:sz w:val="18"/>
        </w:rPr>
      </w:pPr>
      <w:smartTag w:uri="urn:schemas-microsoft-com:office:smarttags" w:element="place">
        <w:smartTag w:uri="urn:schemas-microsoft-com:office:smarttags" w:element="country-region">
          <w:r w:rsidRPr="00603D9B">
            <w:rPr>
              <w:sz w:val="18"/>
            </w:rPr>
            <w:t>U.S.</w:t>
          </w:r>
        </w:smartTag>
      </w:smartTag>
      <w:r w:rsidRPr="00603D9B">
        <w:rPr>
          <w:sz w:val="18"/>
        </w:rPr>
        <w:t xml:space="preserve"> Securities and Exchange Commission</w:t>
      </w:r>
      <w:r w:rsidRPr="00603D9B">
        <w:rPr>
          <w:sz w:val="18"/>
        </w:rPr>
        <w:tab/>
      </w:r>
      <w:r w:rsidRPr="00603D9B">
        <w:rPr>
          <w:sz w:val="18"/>
        </w:rPr>
        <w:tab/>
      </w:r>
      <w:smartTag w:uri="urn:schemas-microsoft-com:office:smarttags" w:element="stockticker">
        <w:r w:rsidRPr="00603D9B">
          <w:rPr>
            <w:sz w:val="18"/>
          </w:rPr>
          <w:t>SEC</w:t>
        </w:r>
      </w:smartTag>
    </w:p>
    <w:p w14:paraId="28A027BC" w14:textId="77777777" w:rsidR="00501C6B" w:rsidRPr="00603D9B" w:rsidRDefault="00501C6B">
      <w:pPr>
        <w:tabs>
          <w:tab w:val="left" w:leader="dot" w:pos="6480"/>
          <w:tab w:val="left" w:pos="7200"/>
        </w:tabs>
        <w:spacing w:line="360" w:lineRule="auto"/>
        <w:ind w:left="1152"/>
        <w:rPr>
          <w:sz w:val="18"/>
        </w:rPr>
      </w:pPr>
      <w:r w:rsidRPr="00603D9B">
        <w:rPr>
          <w:sz w:val="18"/>
        </w:rPr>
        <w:t xml:space="preserve">Investment </w:t>
      </w:r>
      <w:r w:rsidR="009A1659" w:rsidRPr="00603D9B">
        <w:rPr>
          <w:sz w:val="18"/>
        </w:rPr>
        <w:t>Advisor</w:t>
      </w:r>
      <w:r w:rsidRPr="00603D9B">
        <w:rPr>
          <w:sz w:val="18"/>
        </w:rPr>
        <w:t xml:space="preserve"> Representative…………………………</w:t>
      </w:r>
      <w:r w:rsidRPr="00603D9B">
        <w:rPr>
          <w:sz w:val="18"/>
        </w:rPr>
        <w:tab/>
      </w:r>
      <w:r w:rsidRPr="00603D9B">
        <w:rPr>
          <w:sz w:val="18"/>
        </w:rPr>
        <w:tab/>
        <w:t xml:space="preserve">IAR                                       </w:t>
      </w:r>
    </w:p>
    <w:p w14:paraId="23212CDF" w14:textId="77777777" w:rsidR="0075479B" w:rsidRPr="00603D9B" w:rsidRDefault="0075479B">
      <w:pPr>
        <w:spacing w:after="360"/>
        <w:rPr>
          <w:sz w:val="18"/>
        </w:rPr>
        <w:sectPr w:rsidR="0075479B" w:rsidRPr="00603D9B" w:rsidSect="003F74E1">
          <w:footerReference w:type="default" r:id="rId11"/>
          <w:footerReference w:type="first" r:id="rId12"/>
          <w:pgSz w:w="12240" w:h="15840" w:code="1"/>
          <w:pgMar w:top="1440" w:right="1440" w:bottom="1260" w:left="1440" w:header="1440" w:footer="864" w:gutter="0"/>
          <w:pgNumType w:fmt="numberInDash"/>
          <w:cols w:space="720"/>
          <w:docGrid w:linePitch="360"/>
        </w:sectPr>
      </w:pPr>
    </w:p>
    <w:p w14:paraId="4AC31BC3" w14:textId="676791E9" w:rsidR="0075479B" w:rsidRPr="00B317FD" w:rsidRDefault="0075479B">
      <w:pPr>
        <w:pStyle w:val="Heading1"/>
        <w:rPr>
          <w:sz w:val="24"/>
        </w:rPr>
      </w:pPr>
      <w:r w:rsidRPr="00B317FD">
        <w:rPr>
          <w:sz w:val="24"/>
        </w:rPr>
        <w:lastRenderedPageBreak/>
        <w:fldChar w:fldCharType="begin"/>
      </w:r>
      <w:r w:rsidRPr="00B317FD">
        <w:rPr>
          <w:sz w:val="24"/>
        </w:rPr>
        <w:instrText xml:space="preserve"> SEQ SeqIII \n \*ROMAN \*MERGEFORMAT </w:instrText>
      </w:r>
      <w:r w:rsidRPr="00B317FD">
        <w:rPr>
          <w:sz w:val="24"/>
        </w:rPr>
        <w:fldChar w:fldCharType="separate"/>
      </w:r>
      <w:r w:rsidR="002A078E">
        <w:rPr>
          <w:noProof/>
          <w:sz w:val="24"/>
        </w:rPr>
        <w:t>II</w:t>
      </w:r>
      <w:r w:rsidRPr="00B317FD">
        <w:rPr>
          <w:sz w:val="24"/>
        </w:rPr>
        <w:fldChar w:fldCharType="end"/>
      </w:r>
      <w:r w:rsidRPr="00B317FD">
        <w:rPr>
          <w:sz w:val="24"/>
        </w:rPr>
        <w:t>.</w:t>
      </w:r>
      <w:r w:rsidRPr="00B317FD">
        <w:rPr>
          <w:sz w:val="24"/>
        </w:rPr>
        <w:tab/>
        <w:t xml:space="preserve">Registration </w:t>
      </w:r>
      <w:smartTag w:uri="urn:schemas-microsoft-com:office:smarttags" w:element="stockticker">
        <w:r w:rsidRPr="00B317FD">
          <w:rPr>
            <w:sz w:val="24"/>
          </w:rPr>
          <w:t>And</w:t>
        </w:r>
      </w:smartTag>
      <w:r w:rsidRPr="00B317FD">
        <w:rPr>
          <w:sz w:val="24"/>
        </w:rPr>
        <w:t xml:space="preserve"> Licensing</w:t>
      </w:r>
    </w:p>
    <w:p w14:paraId="3A0CDCE2" w14:textId="2010D23B"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Registration</w:t>
      </w:r>
      <w:r w:rsidRPr="00603D9B">
        <w:rPr>
          <w:sz w:val="18"/>
        </w:rPr>
        <w:t xml:space="preserve">.  Prior to October 1996, all investment </w:t>
      </w:r>
      <w:r w:rsidR="009A1659" w:rsidRPr="00603D9B">
        <w:rPr>
          <w:sz w:val="18"/>
        </w:rPr>
        <w:t>advisor</w:t>
      </w:r>
      <w:r w:rsidRPr="00603D9B">
        <w:rPr>
          <w:sz w:val="18"/>
        </w:rPr>
        <w:t xml:space="preserve"> firms were required to register with the </w:t>
      </w:r>
      <w:smartTag w:uri="urn:schemas-microsoft-com:office:smarttags" w:element="stockticker">
        <w:r w:rsidRPr="00603D9B">
          <w:rPr>
            <w:sz w:val="18"/>
          </w:rPr>
          <w:t>SEC</w:t>
        </w:r>
      </w:smartTag>
      <w:r w:rsidRPr="00603D9B">
        <w:rPr>
          <w:sz w:val="18"/>
        </w:rPr>
        <w:t>.  However, under the Coordination Act of NSMIA, which went into effect in July 1997, those firms managing under</w:t>
      </w:r>
      <w:r w:rsidR="00D252D5" w:rsidRPr="00603D9B">
        <w:rPr>
          <w:sz w:val="18"/>
        </w:rPr>
        <w:t xml:space="preserve"> $25 million in client assets were</w:t>
      </w:r>
      <w:r w:rsidRPr="00603D9B">
        <w:rPr>
          <w:sz w:val="18"/>
        </w:rPr>
        <w:t xml:space="preserve"> required to register with the applicable state securities commissions, while those managing in excess of $25 million retained </w:t>
      </w:r>
      <w:smartTag w:uri="urn:schemas-microsoft-com:office:smarttags" w:element="stockticker">
        <w:r w:rsidRPr="00603D9B">
          <w:rPr>
            <w:sz w:val="18"/>
          </w:rPr>
          <w:t>SEC</w:t>
        </w:r>
      </w:smartTag>
      <w:r w:rsidRPr="00603D9B">
        <w:rPr>
          <w:sz w:val="18"/>
        </w:rPr>
        <w:t xml:space="preserve"> registrations.  </w:t>
      </w:r>
      <w:r w:rsidR="00DF265D" w:rsidRPr="00603D9B">
        <w:rPr>
          <w:sz w:val="18"/>
        </w:rPr>
        <w:t xml:space="preserve">As a result of the Dodd-Frank </w:t>
      </w:r>
      <w:r w:rsidR="00D252D5" w:rsidRPr="00603D9B">
        <w:rPr>
          <w:sz w:val="18"/>
        </w:rPr>
        <w:t>Wall Street Reform and Consumer Protection Act</w:t>
      </w:r>
      <w:r w:rsidR="00DF265D" w:rsidRPr="00603D9B">
        <w:rPr>
          <w:sz w:val="18"/>
        </w:rPr>
        <w:t xml:space="preserve">, effective July </w:t>
      </w:r>
      <w:r w:rsidR="00D252D5" w:rsidRPr="00603D9B">
        <w:rPr>
          <w:sz w:val="18"/>
        </w:rPr>
        <w:t>2</w:t>
      </w:r>
      <w:r w:rsidR="00DF265D" w:rsidRPr="00603D9B">
        <w:rPr>
          <w:sz w:val="18"/>
        </w:rPr>
        <w:t xml:space="preserve">1, 2011, all investment advisors managing less than $100 million must register with the </w:t>
      </w:r>
      <w:r w:rsidR="00D252D5" w:rsidRPr="00603D9B">
        <w:rPr>
          <w:sz w:val="18"/>
        </w:rPr>
        <w:t xml:space="preserve">appropriate </w:t>
      </w:r>
      <w:r w:rsidR="00DF265D" w:rsidRPr="00603D9B">
        <w:rPr>
          <w:sz w:val="18"/>
        </w:rPr>
        <w:t>state</w:t>
      </w:r>
      <w:r w:rsidR="00D252D5" w:rsidRPr="00603D9B">
        <w:rPr>
          <w:sz w:val="18"/>
        </w:rPr>
        <w:t xml:space="preserve"> securities commission(s)</w:t>
      </w:r>
      <w:r w:rsidR="00DF265D" w:rsidRPr="00603D9B">
        <w:rPr>
          <w:sz w:val="18"/>
        </w:rPr>
        <w:t xml:space="preserve"> – and withdraw their registration from the SEC (if previously registered there).  Cutter &amp; Company manages in excess of $100 million.  </w:t>
      </w:r>
      <w:r w:rsidRPr="00603D9B">
        <w:rPr>
          <w:sz w:val="18"/>
        </w:rPr>
        <w:t xml:space="preserve">Therefore, </w:t>
      </w:r>
      <w:r w:rsidR="00E85D8B">
        <w:rPr>
          <w:sz w:val="18"/>
        </w:rPr>
        <w:t>t</w:t>
      </w:r>
      <w:r w:rsidR="00485F39" w:rsidRPr="00603D9B">
        <w:rPr>
          <w:sz w:val="18"/>
        </w:rPr>
        <w:t>he Company</w:t>
      </w:r>
      <w:r w:rsidRPr="00603D9B">
        <w:rPr>
          <w:sz w:val="18"/>
        </w:rPr>
        <w:t xml:space="preserve"> is required to </w:t>
      </w:r>
      <w:r w:rsidR="00FE080C">
        <w:rPr>
          <w:sz w:val="18"/>
        </w:rPr>
        <w:t>register</w:t>
      </w:r>
      <w:r w:rsidRPr="00603D9B">
        <w:rPr>
          <w:sz w:val="18"/>
        </w:rPr>
        <w:t xml:space="preserve"> as an investment </w:t>
      </w:r>
      <w:r w:rsidR="009A1659" w:rsidRPr="00603D9B">
        <w:rPr>
          <w:sz w:val="18"/>
        </w:rPr>
        <w:t>advisor</w:t>
      </w:r>
      <w:r w:rsidRPr="00603D9B">
        <w:rPr>
          <w:sz w:val="18"/>
        </w:rPr>
        <w:t xml:space="preserve"> with the </w:t>
      </w:r>
      <w:smartTag w:uri="urn:schemas-microsoft-com:office:smarttags" w:element="stockticker">
        <w:r w:rsidRPr="00603D9B">
          <w:rPr>
            <w:sz w:val="18"/>
          </w:rPr>
          <w:t>SEC</w:t>
        </w:r>
      </w:smartTag>
      <w:r w:rsidRPr="00603D9B">
        <w:rPr>
          <w:sz w:val="18"/>
        </w:rPr>
        <w:t xml:space="preserve">.  </w:t>
      </w:r>
      <w:r w:rsidR="00485F39" w:rsidRPr="00603D9B">
        <w:rPr>
          <w:sz w:val="18"/>
        </w:rPr>
        <w:t>The Company</w:t>
      </w:r>
      <w:r w:rsidRPr="00603D9B">
        <w:rPr>
          <w:sz w:val="18"/>
        </w:rPr>
        <w:t xml:space="preserve"> is also required to register in its “home” state and file a “notice filing” in any other state in which it: has a place of business; holds itself out as an investment </w:t>
      </w:r>
      <w:r w:rsidR="009A1659" w:rsidRPr="00603D9B">
        <w:rPr>
          <w:sz w:val="18"/>
        </w:rPr>
        <w:t>advisor</w:t>
      </w:r>
      <w:r w:rsidRPr="00603D9B">
        <w:rPr>
          <w:sz w:val="18"/>
        </w:rPr>
        <w:t>; has more than five (5) clients</w:t>
      </w:r>
      <w:r w:rsidR="00FE080C">
        <w:rPr>
          <w:sz w:val="18"/>
        </w:rPr>
        <w:t xml:space="preserve"> (may vary by state)</w:t>
      </w:r>
      <w:r w:rsidRPr="00603D9B">
        <w:rPr>
          <w:sz w:val="18"/>
        </w:rPr>
        <w:t>; or has IAR’s with a place of business in that state</w:t>
      </w:r>
      <w:r w:rsidR="00FE080C">
        <w:rPr>
          <w:sz w:val="18"/>
        </w:rPr>
        <w:t>.</w:t>
      </w:r>
      <w:r w:rsidRPr="00603D9B">
        <w:rPr>
          <w:sz w:val="18"/>
        </w:rPr>
        <w:t xml:space="preserve">  The Chief Compliance Officer (CCO) shall ensure that </w:t>
      </w:r>
      <w:r w:rsidR="00E85D8B">
        <w:rPr>
          <w:sz w:val="18"/>
        </w:rPr>
        <w:t>t</w:t>
      </w:r>
      <w:r w:rsidR="00485F39" w:rsidRPr="00603D9B">
        <w:rPr>
          <w:sz w:val="18"/>
        </w:rPr>
        <w:t>he Company</w:t>
      </w:r>
      <w:r w:rsidRPr="00603D9B">
        <w:rPr>
          <w:sz w:val="18"/>
        </w:rPr>
        <w:t xml:space="preserve"> and its IAR’s are at all times properly registered and licensed as required by applicable federal and state rules and regulations.</w:t>
      </w:r>
    </w:p>
    <w:p w14:paraId="1A82AA2A" w14:textId="3D8F69D0" w:rsidR="0075479B" w:rsidRDefault="0075479B" w:rsidP="003F74E1">
      <w:pPr>
        <w:pStyle w:val="NoSpacing"/>
        <w:spacing w:line="360" w:lineRule="auto"/>
        <w:ind w:left="1152" w:hanging="43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Designation of Chief Compliance Officer (CCO)</w:t>
      </w:r>
      <w:r w:rsidRPr="00603D9B">
        <w:rPr>
          <w:sz w:val="18"/>
        </w:rPr>
        <w:t xml:space="preserve">.  Effective </w:t>
      </w:r>
      <w:smartTag w:uri="urn:schemas-microsoft-com:office:smarttags" w:element="date">
        <w:smartTagPr>
          <w:attr w:name="ls" w:val="trans"/>
          <w:attr w:name="Month" w:val="10"/>
          <w:attr w:name="Day" w:val="5"/>
          <w:attr w:name="Year" w:val="2004"/>
        </w:smartTagPr>
        <w:r w:rsidRPr="00603D9B">
          <w:rPr>
            <w:sz w:val="18"/>
          </w:rPr>
          <w:t>10/5/04</w:t>
        </w:r>
      </w:smartTag>
      <w:r w:rsidRPr="00603D9B">
        <w:rPr>
          <w:sz w:val="18"/>
        </w:rPr>
        <w:t xml:space="preserve">, </w:t>
      </w:r>
      <w:r w:rsidR="00E85D8B">
        <w:rPr>
          <w:sz w:val="18"/>
        </w:rPr>
        <w:t>t</w:t>
      </w:r>
      <w:r w:rsidR="00485F39" w:rsidRPr="00603D9B">
        <w:rPr>
          <w:sz w:val="18"/>
        </w:rPr>
        <w:t>he Company</w:t>
      </w:r>
      <w:r w:rsidRPr="00603D9B">
        <w:rPr>
          <w:sz w:val="18"/>
        </w:rPr>
        <w:t xml:space="preserve"> has designated Deborah Castiglioni as the Chief Compliance Officer.  This individual will be responsible for all compliance functions.  This individual has been empowered by </w:t>
      </w:r>
      <w:r w:rsidR="00E85D8B">
        <w:rPr>
          <w:sz w:val="18"/>
        </w:rPr>
        <w:t>t</w:t>
      </w:r>
      <w:r w:rsidR="00485F39" w:rsidRPr="00603D9B">
        <w:rPr>
          <w:sz w:val="18"/>
        </w:rPr>
        <w:t>he Company</w:t>
      </w:r>
      <w:r w:rsidRPr="00603D9B">
        <w:rPr>
          <w:sz w:val="18"/>
        </w:rPr>
        <w:t xml:space="preserve"> with full responsibility and authority to develop and enforce appropriate policies and procedures for </w:t>
      </w:r>
      <w:r w:rsidR="00E85D8B">
        <w:rPr>
          <w:sz w:val="18"/>
        </w:rPr>
        <w:t>t</w:t>
      </w:r>
      <w:r w:rsidR="00485F39" w:rsidRPr="00603D9B">
        <w:rPr>
          <w:sz w:val="18"/>
        </w:rPr>
        <w:t>he Company</w:t>
      </w:r>
      <w:r w:rsidRPr="00603D9B">
        <w:rPr>
          <w:sz w:val="18"/>
        </w:rPr>
        <w:t xml:space="preserve">.  These policies and procedures will be reasonably designed to prevent violation of federal and/or state securities laws.  The CCO will be responsible for the review of </w:t>
      </w:r>
      <w:r w:rsidR="00E85D8B">
        <w:rPr>
          <w:sz w:val="18"/>
        </w:rPr>
        <w:t>t</w:t>
      </w:r>
      <w:r w:rsidR="00485F39" w:rsidRPr="00603D9B">
        <w:rPr>
          <w:sz w:val="18"/>
        </w:rPr>
        <w:t>he Company</w:t>
      </w:r>
      <w:r w:rsidRPr="00603D9B">
        <w:rPr>
          <w:sz w:val="18"/>
        </w:rPr>
        <w:t>’s policies and procedures on an annual basis,</w:t>
      </w:r>
      <w:r w:rsidR="0065184A" w:rsidRPr="00603D9B">
        <w:rPr>
          <w:sz w:val="18"/>
        </w:rPr>
        <w:t xml:space="preserve"> or more frequently as necessary,</w:t>
      </w:r>
      <w:r w:rsidRPr="00603D9B">
        <w:rPr>
          <w:sz w:val="18"/>
        </w:rPr>
        <w:t xml:space="preserve"> making changes in such polici</w:t>
      </w:r>
      <w:r w:rsidR="006E3AFA" w:rsidRPr="00603D9B">
        <w:rPr>
          <w:sz w:val="18"/>
        </w:rPr>
        <w:t>es and procedures when required</w:t>
      </w:r>
      <w:r w:rsidRPr="00603D9B">
        <w:rPr>
          <w:sz w:val="18"/>
        </w:rPr>
        <w:t xml:space="preserve">.  Copies of </w:t>
      </w:r>
      <w:r w:rsidR="00E85D8B">
        <w:rPr>
          <w:sz w:val="18"/>
        </w:rPr>
        <w:t>t</w:t>
      </w:r>
      <w:r w:rsidR="00485F39" w:rsidRPr="00603D9B">
        <w:rPr>
          <w:sz w:val="18"/>
        </w:rPr>
        <w:t>he Company</w:t>
      </w:r>
      <w:r w:rsidRPr="00603D9B">
        <w:rPr>
          <w:sz w:val="18"/>
        </w:rPr>
        <w:t>’s policies and procedures will be maintained for a minimum of 5 years.</w:t>
      </w:r>
    </w:p>
    <w:p w14:paraId="21C6BB7E" w14:textId="77777777" w:rsidR="00603D9B" w:rsidRPr="00603D9B" w:rsidRDefault="00603D9B" w:rsidP="003F74E1">
      <w:pPr>
        <w:pStyle w:val="NoSpacing"/>
        <w:spacing w:line="360" w:lineRule="auto"/>
        <w:rPr>
          <w:sz w:val="18"/>
        </w:rPr>
      </w:pPr>
    </w:p>
    <w:p w14:paraId="60138705" w14:textId="284A4112" w:rsidR="0075479B" w:rsidRPr="00603D9B" w:rsidRDefault="0075479B">
      <w:pPr>
        <w:pStyle w:val="Heading2"/>
        <w:keepNext/>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 xml:space="preserve">Definition of “Investment </w:t>
      </w:r>
      <w:r w:rsidR="009A1659" w:rsidRPr="00603D9B">
        <w:rPr>
          <w:b/>
          <w:sz w:val="18"/>
        </w:rPr>
        <w:t>Advisor</w:t>
      </w:r>
      <w:r w:rsidRPr="00603D9B">
        <w:rPr>
          <w:b/>
          <w:sz w:val="18"/>
        </w:rPr>
        <w:t xml:space="preserve"> Representative” (IAR)</w:t>
      </w:r>
      <w:r w:rsidRPr="00603D9B">
        <w:rPr>
          <w:sz w:val="18"/>
        </w:rPr>
        <w:t>.  IAR’s include individuals meeting one of the following criteria:</w:t>
      </w:r>
    </w:p>
    <w:p w14:paraId="682FB822" w14:textId="3607BC8B" w:rsidR="0075479B" w:rsidRPr="00603D9B" w:rsidRDefault="0075479B">
      <w:pPr>
        <w:pStyle w:val="Heading3"/>
        <w:keepNext/>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 xml:space="preserve">Any partner, officer, director or any person performing similar functions employed by or associated with </w:t>
      </w:r>
      <w:r w:rsidR="00E85D8B">
        <w:rPr>
          <w:sz w:val="18"/>
        </w:rPr>
        <w:t>t</w:t>
      </w:r>
      <w:r w:rsidR="00485F39" w:rsidRPr="00603D9B">
        <w:rPr>
          <w:sz w:val="18"/>
        </w:rPr>
        <w:t>he Company</w:t>
      </w:r>
      <w:r w:rsidRPr="00603D9B">
        <w:rPr>
          <w:sz w:val="18"/>
        </w:rPr>
        <w:t xml:space="preserve"> (except for clerical or ministerial personnel) who:</w:t>
      </w:r>
    </w:p>
    <w:p w14:paraId="09B7F115" w14:textId="09BFC719" w:rsidR="00603D9B" w:rsidRPr="00603D9B" w:rsidRDefault="0075479B" w:rsidP="00BB1D40">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 xml:space="preserve">makes </w:t>
      </w:r>
      <w:r w:rsidR="009E000A" w:rsidRPr="00603D9B">
        <w:rPr>
          <w:sz w:val="18"/>
        </w:rPr>
        <w:t xml:space="preserve">discretionary decisions </w:t>
      </w:r>
      <w:r w:rsidRPr="00603D9B">
        <w:rPr>
          <w:sz w:val="18"/>
        </w:rPr>
        <w:t>regarding s</w:t>
      </w:r>
      <w:r w:rsidR="009E000A" w:rsidRPr="00603D9B">
        <w:rPr>
          <w:sz w:val="18"/>
        </w:rPr>
        <w:t>ecurities or fixed income products on behalf of clients;</w:t>
      </w:r>
    </w:p>
    <w:p w14:paraId="70A8685A" w14:textId="6530C7D5"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manages accounts or portfolios of clients;</w:t>
      </w:r>
    </w:p>
    <w:p w14:paraId="07B8279B" w14:textId="5E73EED5"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t>determines what advice should be given;</w:t>
      </w:r>
    </w:p>
    <w:p w14:paraId="3ED40FCB" w14:textId="5DB0B8DB"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d</w:t>
      </w:r>
      <w:r w:rsidRPr="00603D9B">
        <w:rPr>
          <w:sz w:val="18"/>
        </w:rPr>
        <w:fldChar w:fldCharType="end"/>
      </w:r>
      <w:r w:rsidRPr="00603D9B">
        <w:rPr>
          <w:sz w:val="18"/>
        </w:rPr>
        <w:t>.</w:t>
      </w:r>
      <w:r w:rsidRPr="00603D9B">
        <w:rPr>
          <w:sz w:val="18"/>
        </w:rPr>
        <w:tab/>
        <w:t>solicits the sale of or sells investment advisory services (unless incidental to his or her profession); or,</w:t>
      </w:r>
    </w:p>
    <w:p w14:paraId="686EB835" w14:textId="7430685E" w:rsidR="007547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e</w:t>
      </w:r>
      <w:r w:rsidRPr="00603D9B">
        <w:rPr>
          <w:sz w:val="18"/>
        </w:rPr>
        <w:fldChar w:fldCharType="end"/>
      </w:r>
      <w:r w:rsidRPr="00603D9B">
        <w:rPr>
          <w:sz w:val="18"/>
        </w:rPr>
        <w:t>.</w:t>
      </w:r>
      <w:r w:rsidRPr="00603D9B">
        <w:rPr>
          <w:sz w:val="18"/>
        </w:rPr>
        <w:tab/>
        <w:t>supervises employees who pe</w:t>
      </w:r>
      <w:r w:rsidR="00501C6B" w:rsidRPr="00603D9B">
        <w:rPr>
          <w:sz w:val="18"/>
        </w:rPr>
        <w:t>rform any of the foregoing.</w:t>
      </w:r>
    </w:p>
    <w:p w14:paraId="7A9DC4CF" w14:textId="77777777" w:rsidR="003F74E1" w:rsidRPr="003F74E1" w:rsidRDefault="003F74E1" w:rsidP="003F74E1"/>
    <w:p w14:paraId="11942732" w14:textId="77777777" w:rsidR="00B65312" w:rsidRDefault="0075479B">
      <w:pPr>
        <w:spacing w:line="360" w:lineRule="auto"/>
        <w:ind w:left="1210" w:hanging="440"/>
        <w:rPr>
          <w:sz w:val="18"/>
        </w:rPr>
      </w:pPr>
      <w:r w:rsidRPr="00603D9B">
        <w:rPr>
          <w:b/>
          <w:sz w:val="18"/>
        </w:rPr>
        <w:t>D.</w:t>
      </w:r>
      <w:r w:rsidRPr="00603D9B">
        <w:rPr>
          <w:b/>
          <w:sz w:val="18"/>
        </w:rPr>
        <w:tab/>
        <w:t xml:space="preserve">Form </w:t>
      </w:r>
      <w:smartTag w:uri="urn:schemas-microsoft-com:office:smarttags" w:element="stockticker">
        <w:r w:rsidRPr="00603D9B">
          <w:rPr>
            <w:b/>
            <w:sz w:val="18"/>
          </w:rPr>
          <w:t>ADV</w:t>
        </w:r>
      </w:smartTag>
      <w:r w:rsidR="00D92EE3">
        <w:rPr>
          <w:b/>
          <w:sz w:val="18"/>
        </w:rPr>
        <w:t>/CRS</w:t>
      </w:r>
      <w:r w:rsidRPr="00603D9B">
        <w:rPr>
          <w:sz w:val="18"/>
        </w:rPr>
        <w:t xml:space="preserve">.  </w:t>
      </w:r>
      <w:r w:rsidR="00485F39" w:rsidRPr="00603D9B">
        <w:rPr>
          <w:sz w:val="18"/>
        </w:rPr>
        <w:t>The Company</w:t>
      </w:r>
      <w:r w:rsidRPr="00603D9B">
        <w:rPr>
          <w:sz w:val="18"/>
        </w:rPr>
        <w:t xml:space="preserve"> will file Form </w:t>
      </w:r>
      <w:smartTag w:uri="urn:schemas-microsoft-com:office:smarttags" w:element="stockticker">
        <w:r w:rsidRPr="00603D9B">
          <w:rPr>
            <w:sz w:val="18"/>
          </w:rPr>
          <w:t>ADV</w:t>
        </w:r>
      </w:smartTag>
      <w:r w:rsidR="00DF780C">
        <w:rPr>
          <w:sz w:val="18"/>
        </w:rPr>
        <w:t xml:space="preserve"> and Form CRS</w:t>
      </w:r>
      <w:r w:rsidRPr="00603D9B">
        <w:rPr>
          <w:sz w:val="18"/>
        </w:rPr>
        <w:t xml:space="preserve"> through the IARD.  </w:t>
      </w:r>
    </w:p>
    <w:p w14:paraId="7BB07583" w14:textId="77777777" w:rsidR="00D92EE3" w:rsidRPr="00603D9B" w:rsidRDefault="00D92EE3">
      <w:pPr>
        <w:spacing w:line="360" w:lineRule="auto"/>
        <w:ind w:left="1210" w:hanging="440"/>
        <w:rPr>
          <w:sz w:val="18"/>
        </w:rPr>
      </w:pPr>
    </w:p>
    <w:p w14:paraId="3B992650" w14:textId="77777777" w:rsidR="0075479B" w:rsidRPr="00603D9B" w:rsidRDefault="005E5FFC">
      <w:pPr>
        <w:tabs>
          <w:tab w:val="left" w:pos="1800"/>
        </w:tabs>
        <w:spacing w:after="360" w:line="360" w:lineRule="auto"/>
        <w:ind w:left="1152"/>
        <w:rPr>
          <w:sz w:val="18"/>
        </w:rPr>
      </w:pPr>
      <w:r>
        <w:rPr>
          <w:b/>
          <w:sz w:val="18"/>
        </w:rPr>
        <w:t>Part 2</w:t>
      </w:r>
      <w:r w:rsidR="0075479B" w:rsidRPr="00603D9B">
        <w:rPr>
          <w:b/>
          <w:sz w:val="18"/>
        </w:rPr>
        <w:t xml:space="preserve"> of Form </w:t>
      </w:r>
      <w:smartTag w:uri="urn:schemas-microsoft-com:office:smarttags" w:element="stockticker">
        <w:r w:rsidR="0075479B" w:rsidRPr="00603D9B">
          <w:rPr>
            <w:b/>
            <w:sz w:val="18"/>
          </w:rPr>
          <w:t>ADV</w:t>
        </w:r>
      </w:smartTag>
      <w:r w:rsidR="0075479B" w:rsidRPr="00603D9B">
        <w:rPr>
          <w:sz w:val="18"/>
        </w:rPr>
        <w:t xml:space="preserve">.  </w:t>
      </w:r>
      <w:r w:rsidR="00B65312">
        <w:rPr>
          <w:sz w:val="18"/>
        </w:rPr>
        <w:t xml:space="preserve">  </w:t>
      </w:r>
      <w:r>
        <w:rPr>
          <w:i/>
          <w:sz w:val="18"/>
        </w:rPr>
        <w:t>Part 2</w:t>
      </w:r>
      <w:r w:rsidR="0075479B" w:rsidRPr="00603D9B">
        <w:rPr>
          <w:i/>
          <w:sz w:val="18"/>
        </w:rPr>
        <w:t xml:space="preserve"> of Form </w:t>
      </w:r>
      <w:smartTag w:uri="urn:schemas-microsoft-com:office:smarttags" w:element="stockticker">
        <w:r w:rsidR="0075479B" w:rsidRPr="00603D9B">
          <w:rPr>
            <w:i/>
            <w:sz w:val="18"/>
          </w:rPr>
          <w:t>ADV</w:t>
        </w:r>
      </w:smartTag>
      <w:r w:rsidR="0075479B" w:rsidRPr="00603D9B">
        <w:rPr>
          <w:sz w:val="18"/>
        </w:rPr>
        <w:t xml:space="preserve"> discloses, among other information, </w:t>
      </w:r>
      <w:r w:rsidR="00E85D8B">
        <w:rPr>
          <w:sz w:val="18"/>
        </w:rPr>
        <w:t>t</w:t>
      </w:r>
      <w:r w:rsidR="00485F39" w:rsidRPr="00603D9B">
        <w:rPr>
          <w:sz w:val="18"/>
        </w:rPr>
        <w:t>he Company</w:t>
      </w:r>
      <w:r w:rsidR="0075479B" w:rsidRPr="00603D9B">
        <w:rPr>
          <w:sz w:val="18"/>
        </w:rPr>
        <w:t>’s services and fee structure, and potential conflicts of inte</w:t>
      </w:r>
      <w:r w:rsidR="00333358" w:rsidRPr="00603D9B">
        <w:rPr>
          <w:sz w:val="18"/>
        </w:rPr>
        <w:t xml:space="preserve">rests.  </w:t>
      </w:r>
      <w:r w:rsidR="00485F39" w:rsidRPr="00603D9B">
        <w:rPr>
          <w:sz w:val="18"/>
        </w:rPr>
        <w:t>The Company</w:t>
      </w:r>
      <w:r w:rsidR="00333358" w:rsidRPr="00603D9B">
        <w:rPr>
          <w:sz w:val="18"/>
        </w:rPr>
        <w:t xml:space="preserve"> uses Part 2A and B</w:t>
      </w:r>
      <w:r w:rsidR="0075479B" w:rsidRPr="00603D9B">
        <w:rPr>
          <w:sz w:val="18"/>
        </w:rPr>
        <w:t xml:space="preserve"> of Form </w:t>
      </w:r>
      <w:smartTag w:uri="urn:schemas-microsoft-com:office:smarttags" w:element="stockticker">
        <w:r w:rsidR="0075479B" w:rsidRPr="00603D9B">
          <w:rPr>
            <w:sz w:val="18"/>
          </w:rPr>
          <w:t>ADV</w:t>
        </w:r>
      </w:smartTag>
      <w:r w:rsidR="0075479B" w:rsidRPr="00603D9B">
        <w:rPr>
          <w:sz w:val="18"/>
        </w:rPr>
        <w:t xml:space="preserve"> as its disclosure brochure.  </w:t>
      </w:r>
      <w:r w:rsidR="00485F39" w:rsidRPr="00603D9B">
        <w:rPr>
          <w:sz w:val="18"/>
        </w:rPr>
        <w:t>The Company</w:t>
      </w:r>
      <w:r w:rsidR="00333358" w:rsidRPr="00603D9B">
        <w:rPr>
          <w:sz w:val="18"/>
        </w:rPr>
        <w:t xml:space="preserve"> will amend </w:t>
      </w:r>
      <w:r w:rsidR="00E85D8B">
        <w:rPr>
          <w:sz w:val="18"/>
        </w:rPr>
        <w:t>its disclosure brochures</w:t>
      </w:r>
      <w:r w:rsidR="0075479B" w:rsidRPr="00603D9B">
        <w:rPr>
          <w:sz w:val="18"/>
        </w:rPr>
        <w:t xml:space="preserve"> promptly when </w:t>
      </w:r>
      <w:r w:rsidR="00E85D8B">
        <w:rPr>
          <w:sz w:val="18"/>
        </w:rPr>
        <w:t xml:space="preserve">they </w:t>
      </w:r>
      <w:r w:rsidR="0075479B" w:rsidRPr="00603D9B">
        <w:rPr>
          <w:sz w:val="18"/>
        </w:rPr>
        <w:t xml:space="preserve">become materially inaccurate by </w:t>
      </w:r>
      <w:r w:rsidR="00E942C4" w:rsidRPr="00603D9B">
        <w:rPr>
          <w:sz w:val="18"/>
        </w:rPr>
        <w:lastRenderedPageBreak/>
        <w:t xml:space="preserve">substituting the incorrect language with accurate wording and preparing a separate summary of the </w:t>
      </w:r>
      <w:r w:rsidR="006D0D38" w:rsidRPr="00603D9B">
        <w:rPr>
          <w:sz w:val="18"/>
        </w:rPr>
        <w:t xml:space="preserve">material </w:t>
      </w:r>
      <w:r w:rsidR="00E942C4" w:rsidRPr="00603D9B">
        <w:rPr>
          <w:sz w:val="18"/>
        </w:rPr>
        <w:t>changes that were made, to be inc</w:t>
      </w:r>
      <w:r w:rsidR="00333358" w:rsidRPr="00603D9B">
        <w:rPr>
          <w:sz w:val="18"/>
        </w:rPr>
        <w:t>luded as part of our ADV Part 2</w:t>
      </w:r>
      <w:r w:rsidR="006D0D38" w:rsidRPr="00603D9B">
        <w:rPr>
          <w:sz w:val="18"/>
        </w:rPr>
        <w:t>, either within the brochure (cover page or the page immediately thereafter) or as an exhibit to the brochure</w:t>
      </w:r>
      <w:r w:rsidR="00E942C4" w:rsidRPr="00603D9B">
        <w:rPr>
          <w:sz w:val="18"/>
        </w:rPr>
        <w:t>.</w:t>
      </w:r>
      <w:r w:rsidR="0075479B" w:rsidRPr="00603D9B">
        <w:rPr>
          <w:sz w:val="18"/>
        </w:rPr>
        <w:t xml:space="preserve">  Additionally, </w:t>
      </w:r>
      <w:r w:rsidR="00E85D8B">
        <w:rPr>
          <w:sz w:val="18"/>
        </w:rPr>
        <w:t>t</w:t>
      </w:r>
      <w:r w:rsidR="00485F39" w:rsidRPr="00603D9B">
        <w:rPr>
          <w:sz w:val="18"/>
        </w:rPr>
        <w:t>he Company</w:t>
      </w:r>
      <w:r w:rsidR="0075479B" w:rsidRPr="00603D9B">
        <w:rPr>
          <w:sz w:val="18"/>
        </w:rPr>
        <w:t xml:space="preserve"> will deliver </w:t>
      </w:r>
      <w:r w:rsidR="00333358" w:rsidRPr="00603D9B">
        <w:rPr>
          <w:sz w:val="18"/>
        </w:rPr>
        <w:t>or cause delivery of the Part 2</w:t>
      </w:r>
      <w:r w:rsidR="0075479B" w:rsidRPr="00603D9B">
        <w:rPr>
          <w:sz w:val="18"/>
        </w:rPr>
        <w:t xml:space="preserve"> </w:t>
      </w:r>
      <w:r w:rsidR="00DF780C">
        <w:rPr>
          <w:sz w:val="18"/>
        </w:rPr>
        <w:t xml:space="preserve">and Form CRS </w:t>
      </w:r>
      <w:r w:rsidR="0075479B" w:rsidRPr="00603D9B">
        <w:rPr>
          <w:sz w:val="18"/>
        </w:rPr>
        <w:t xml:space="preserve">to prospective clients, and </w:t>
      </w:r>
      <w:r w:rsidR="00E942C4" w:rsidRPr="00603D9B">
        <w:rPr>
          <w:sz w:val="18"/>
        </w:rPr>
        <w:t xml:space="preserve">provide </w:t>
      </w:r>
      <w:r w:rsidR="00E326E6" w:rsidRPr="00603D9B">
        <w:rPr>
          <w:sz w:val="18"/>
        </w:rPr>
        <w:t xml:space="preserve">to existing clients </w:t>
      </w:r>
      <w:r w:rsidR="007226D5">
        <w:rPr>
          <w:sz w:val="18"/>
        </w:rPr>
        <w:t>a</w:t>
      </w:r>
      <w:r w:rsidR="00E942C4" w:rsidRPr="00603D9B">
        <w:rPr>
          <w:sz w:val="18"/>
        </w:rPr>
        <w:t xml:space="preserve"> summary of any </w:t>
      </w:r>
      <w:r w:rsidR="007226D5">
        <w:rPr>
          <w:sz w:val="18"/>
        </w:rPr>
        <w:t xml:space="preserve">material </w:t>
      </w:r>
      <w:r w:rsidR="00E942C4" w:rsidRPr="00603D9B">
        <w:rPr>
          <w:sz w:val="18"/>
        </w:rPr>
        <w:t>changes</w:t>
      </w:r>
      <w:r w:rsidR="007226D5">
        <w:rPr>
          <w:sz w:val="18"/>
        </w:rPr>
        <w:t xml:space="preserve"> to the </w:t>
      </w:r>
      <w:r w:rsidR="00DF780C">
        <w:rPr>
          <w:sz w:val="18"/>
        </w:rPr>
        <w:t xml:space="preserve">Part 2 </w:t>
      </w:r>
      <w:r w:rsidR="007226D5">
        <w:rPr>
          <w:sz w:val="18"/>
        </w:rPr>
        <w:t>br</w:t>
      </w:r>
      <w:r w:rsidR="00E942C4" w:rsidRPr="00603D9B">
        <w:rPr>
          <w:sz w:val="18"/>
        </w:rPr>
        <w:t>ochure</w:t>
      </w:r>
      <w:r w:rsidR="007226D5">
        <w:rPr>
          <w:sz w:val="18"/>
        </w:rPr>
        <w:t xml:space="preserve"> </w:t>
      </w:r>
      <w:r>
        <w:rPr>
          <w:sz w:val="18"/>
        </w:rPr>
        <w:t>within 120 days of such change</w:t>
      </w:r>
      <w:r w:rsidR="00D92EE3">
        <w:rPr>
          <w:sz w:val="18"/>
        </w:rPr>
        <w:t xml:space="preserve"> and any material changes to Form CRS within 60 days of any material updates being made</w:t>
      </w:r>
      <w:r>
        <w:rPr>
          <w:sz w:val="18"/>
        </w:rPr>
        <w:t>.</w:t>
      </w:r>
      <w:r w:rsidR="0075479B" w:rsidRPr="00603D9B">
        <w:rPr>
          <w:sz w:val="18"/>
        </w:rPr>
        <w:t xml:space="preserve">  </w:t>
      </w:r>
      <w:r w:rsidR="00485F39" w:rsidRPr="00603D9B">
        <w:rPr>
          <w:sz w:val="18"/>
        </w:rPr>
        <w:t>The Company</w:t>
      </w:r>
      <w:r w:rsidR="0075479B" w:rsidRPr="00603D9B">
        <w:rPr>
          <w:sz w:val="18"/>
        </w:rPr>
        <w:t xml:space="preserve"> is required to file the </w:t>
      </w:r>
      <w:r w:rsidR="00E326E6" w:rsidRPr="00603D9B">
        <w:rPr>
          <w:sz w:val="18"/>
        </w:rPr>
        <w:t xml:space="preserve">ADV </w:t>
      </w:r>
      <w:r>
        <w:rPr>
          <w:sz w:val="18"/>
        </w:rPr>
        <w:t>Part 2</w:t>
      </w:r>
      <w:r w:rsidR="0075479B" w:rsidRPr="00603D9B">
        <w:rPr>
          <w:sz w:val="18"/>
        </w:rPr>
        <w:t xml:space="preserve"> </w:t>
      </w:r>
      <w:r w:rsidR="00E326E6" w:rsidRPr="00603D9B">
        <w:rPr>
          <w:sz w:val="18"/>
        </w:rPr>
        <w:t>electronically wit</w:t>
      </w:r>
      <w:r w:rsidR="0075479B" w:rsidRPr="00603D9B">
        <w:rPr>
          <w:sz w:val="18"/>
        </w:rPr>
        <w:t>h the SEC</w:t>
      </w:r>
      <w:r w:rsidR="00E326E6" w:rsidRPr="00603D9B">
        <w:rPr>
          <w:sz w:val="18"/>
        </w:rPr>
        <w:t xml:space="preserve"> no later than 90 days after the fiscal year end (March 31</w:t>
      </w:r>
      <w:r w:rsidR="00E326E6" w:rsidRPr="00603D9B">
        <w:rPr>
          <w:sz w:val="18"/>
          <w:vertAlign w:val="superscript"/>
        </w:rPr>
        <w:t>st</w:t>
      </w:r>
      <w:r w:rsidR="00E326E6" w:rsidRPr="00603D9B">
        <w:rPr>
          <w:sz w:val="18"/>
        </w:rPr>
        <w:t>)</w:t>
      </w:r>
      <w:r w:rsidR="0075479B" w:rsidRPr="00603D9B">
        <w:rPr>
          <w:sz w:val="18"/>
        </w:rPr>
        <w:t xml:space="preserve">.  </w:t>
      </w:r>
      <w:r w:rsidR="007226D5">
        <w:rPr>
          <w:sz w:val="18"/>
        </w:rPr>
        <w:t xml:space="preserve">Individual disclosure brochures for each IAR and/or investment advisory team will be delivered to all prospective clients at the time of, or prior to, the opening of an account.  An updated IAR brochure will be mailed to existing clients </w:t>
      </w:r>
      <w:r>
        <w:rPr>
          <w:sz w:val="18"/>
        </w:rPr>
        <w:t xml:space="preserve">within 120 days, </w:t>
      </w:r>
      <w:r w:rsidR="007226D5">
        <w:rPr>
          <w:sz w:val="18"/>
        </w:rPr>
        <w:t>if/when there are material changes made.</w:t>
      </w:r>
    </w:p>
    <w:p w14:paraId="7D5FB17C" w14:textId="77777777" w:rsidR="00D92EE3" w:rsidRDefault="00607E6A" w:rsidP="00D92EE3">
      <w:pPr>
        <w:spacing w:line="360" w:lineRule="auto"/>
        <w:ind w:left="1210" w:hanging="440"/>
        <w:rPr>
          <w:sz w:val="18"/>
        </w:rPr>
      </w:pPr>
      <w:r w:rsidRPr="00603D9B">
        <w:rPr>
          <w:b/>
          <w:sz w:val="18"/>
        </w:rPr>
        <w:t>E</w:t>
      </w:r>
      <w:r w:rsidR="0075479B" w:rsidRPr="00603D9B">
        <w:rPr>
          <w:b/>
          <w:sz w:val="18"/>
        </w:rPr>
        <w:t>.</w:t>
      </w:r>
      <w:r w:rsidR="0075479B" w:rsidRPr="00603D9B">
        <w:rPr>
          <w:b/>
          <w:sz w:val="18"/>
        </w:rPr>
        <w:tab/>
        <w:t>Review and Updating of Form</w:t>
      </w:r>
      <w:r w:rsidR="0075479B" w:rsidRPr="00603D9B">
        <w:rPr>
          <w:sz w:val="18"/>
        </w:rPr>
        <w:t xml:space="preserve">.  It is the responsibility of the CCO to review the </w:t>
      </w:r>
      <w:smartTag w:uri="urn:schemas-microsoft-com:office:smarttags" w:element="stockticker">
        <w:r w:rsidR="0075479B" w:rsidRPr="00603D9B">
          <w:rPr>
            <w:sz w:val="18"/>
          </w:rPr>
          <w:t>ADV</w:t>
        </w:r>
      </w:smartTag>
      <w:r w:rsidR="00D92EE3">
        <w:rPr>
          <w:sz w:val="18"/>
        </w:rPr>
        <w:t xml:space="preserve"> documents and Form CRS</w:t>
      </w:r>
      <w:r w:rsidR="0075479B" w:rsidRPr="00603D9B">
        <w:rPr>
          <w:sz w:val="18"/>
        </w:rPr>
        <w:t xml:space="preserve"> on an ongoing basis to ensure that all information is current and accurate.  </w:t>
      </w:r>
      <w:r w:rsidR="00D92EE3">
        <w:rPr>
          <w:sz w:val="18"/>
        </w:rPr>
        <w:t>T</w:t>
      </w:r>
      <w:r w:rsidR="00D92EE3" w:rsidRPr="00603D9B">
        <w:rPr>
          <w:sz w:val="18"/>
        </w:rPr>
        <w:t>he Company will file amendments to the Form</w:t>
      </w:r>
      <w:r w:rsidR="00D92EE3">
        <w:rPr>
          <w:sz w:val="18"/>
        </w:rPr>
        <w:t>s</w:t>
      </w:r>
      <w:r w:rsidR="00D92EE3" w:rsidRPr="00603D9B">
        <w:rPr>
          <w:sz w:val="18"/>
        </w:rPr>
        <w:t xml:space="preserve"> </w:t>
      </w:r>
      <w:smartTag w:uri="urn:schemas-microsoft-com:office:smarttags" w:element="stockticker">
        <w:r w:rsidR="00D92EE3" w:rsidRPr="00603D9B">
          <w:rPr>
            <w:sz w:val="18"/>
          </w:rPr>
          <w:t>ADV</w:t>
        </w:r>
      </w:smartTag>
      <w:r w:rsidR="00D92EE3">
        <w:rPr>
          <w:sz w:val="18"/>
        </w:rPr>
        <w:t xml:space="preserve"> </w:t>
      </w:r>
      <w:r w:rsidR="00D92EE3" w:rsidRPr="00603D9B">
        <w:rPr>
          <w:sz w:val="18"/>
        </w:rPr>
        <w:t>through the IARD at least annually (within 90 days of fiscal year end, or more frequently, if required).</w:t>
      </w:r>
      <w:r w:rsidR="00D92EE3">
        <w:rPr>
          <w:sz w:val="18"/>
        </w:rPr>
        <w:t xml:space="preserve">  Form CRS will be updated and filed with the SEC within 30 days of any material change.  Existing clients will receive notice of any material changes to Form CRS within 60 days.</w:t>
      </w:r>
    </w:p>
    <w:p w14:paraId="5B28EDDD" w14:textId="77777777" w:rsidR="00D92EE3" w:rsidRDefault="00D92EE3" w:rsidP="00D92EE3">
      <w:pPr>
        <w:spacing w:line="360" w:lineRule="auto"/>
        <w:ind w:left="1210" w:hanging="440"/>
        <w:rPr>
          <w:sz w:val="18"/>
        </w:rPr>
      </w:pPr>
    </w:p>
    <w:p w14:paraId="4C3A0F07" w14:textId="77777777" w:rsidR="0075479B" w:rsidRPr="00603D9B" w:rsidRDefault="00607E6A">
      <w:pPr>
        <w:pStyle w:val="Heading2"/>
        <w:rPr>
          <w:sz w:val="18"/>
        </w:rPr>
      </w:pPr>
      <w:r w:rsidRPr="00603D9B">
        <w:rPr>
          <w:b/>
          <w:sz w:val="18"/>
        </w:rPr>
        <w:t>F</w:t>
      </w:r>
      <w:r w:rsidR="0075479B" w:rsidRPr="00603D9B">
        <w:rPr>
          <w:b/>
          <w:sz w:val="18"/>
        </w:rPr>
        <w:t>.</w:t>
      </w:r>
      <w:r w:rsidR="0075479B" w:rsidRPr="00603D9B">
        <w:rPr>
          <w:b/>
          <w:sz w:val="18"/>
        </w:rPr>
        <w:tab/>
        <w:t>Filing Fees</w:t>
      </w:r>
      <w:r w:rsidR="0075479B" w:rsidRPr="00603D9B">
        <w:rPr>
          <w:sz w:val="18"/>
        </w:rPr>
        <w:t xml:space="preserve">.  The CCO will also be responsible for maintaining required capital balances with </w:t>
      </w:r>
      <w:r w:rsidR="002B02A0" w:rsidRPr="00603D9B">
        <w:rPr>
          <w:sz w:val="18"/>
        </w:rPr>
        <w:t>FINRA</w:t>
      </w:r>
      <w:r w:rsidR="0075479B" w:rsidRPr="00603D9B">
        <w:rPr>
          <w:sz w:val="18"/>
        </w:rPr>
        <w:t xml:space="preserve"> to facilitate the payment of annual registration fees for </w:t>
      </w:r>
      <w:r w:rsidR="00E85D8B">
        <w:rPr>
          <w:sz w:val="18"/>
        </w:rPr>
        <w:t>t</w:t>
      </w:r>
      <w:r w:rsidR="00485F39" w:rsidRPr="00603D9B">
        <w:rPr>
          <w:sz w:val="18"/>
        </w:rPr>
        <w:t>he Company</w:t>
      </w:r>
      <w:r w:rsidR="0075479B" w:rsidRPr="00603D9B">
        <w:rPr>
          <w:sz w:val="18"/>
        </w:rPr>
        <w:t xml:space="preserve"> and its IAR’s as well as renewal fees when they are due.</w:t>
      </w:r>
    </w:p>
    <w:p w14:paraId="6A5F4DEA" w14:textId="77777777" w:rsidR="0075479B" w:rsidRPr="00603D9B" w:rsidRDefault="00607E6A">
      <w:pPr>
        <w:pStyle w:val="Heading2"/>
        <w:rPr>
          <w:sz w:val="18"/>
        </w:rPr>
      </w:pPr>
      <w:r w:rsidRPr="00603D9B">
        <w:rPr>
          <w:b/>
          <w:sz w:val="18"/>
        </w:rPr>
        <w:t>G</w:t>
      </w:r>
      <w:r w:rsidR="0075479B" w:rsidRPr="00603D9B">
        <w:rPr>
          <w:b/>
          <w:sz w:val="18"/>
        </w:rPr>
        <w:t>.</w:t>
      </w:r>
      <w:r w:rsidR="0075479B" w:rsidRPr="00603D9B">
        <w:rPr>
          <w:b/>
          <w:sz w:val="18"/>
        </w:rPr>
        <w:tab/>
        <w:t xml:space="preserve">Withdrawal from </w:t>
      </w:r>
      <w:smartTag w:uri="urn:schemas-microsoft-com:office:smarttags" w:element="stockticker">
        <w:r w:rsidR="0075479B" w:rsidRPr="00603D9B">
          <w:rPr>
            <w:b/>
            <w:sz w:val="18"/>
          </w:rPr>
          <w:t>SEC</w:t>
        </w:r>
      </w:smartTag>
      <w:r w:rsidR="0075479B" w:rsidRPr="00603D9B">
        <w:rPr>
          <w:b/>
          <w:sz w:val="18"/>
        </w:rPr>
        <w:t xml:space="preserve"> Registration</w:t>
      </w:r>
      <w:r w:rsidR="0075479B" w:rsidRPr="00603D9B">
        <w:rPr>
          <w:sz w:val="18"/>
        </w:rPr>
        <w:t xml:space="preserve">.  If at any time </w:t>
      </w:r>
      <w:r w:rsidR="00E85D8B">
        <w:rPr>
          <w:sz w:val="18"/>
        </w:rPr>
        <w:t>t</w:t>
      </w:r>
      <w:r w:rsidR="00485F39" w:rsidRPr="00603D9B">
        <w:rPr>
          <w:sz w:val="18"/>
        </w:rPr>
        <w:t>he Company</w:t>
      </w:r>
      <w:r w:rsidR="0075479B" w:rsidRPr="00603D9B">
        <w:rPr>
          <w:sz w:val="18"/>
        </w:rPr>
        <w:t xml:space="preserve"> is required to withdraw from registration with the </w:t>
      </w:r>
      <w:smartTag w:uri="urn:schemas-microsoft-com:office:smarttags" w:element="stockticker">
        <w:r w:rsidR="0075479B" w:rsidRPr="00603D9B">
          <w:rPr>
            <w:sz w:val="18"/>
          </w:rPr>
          <w:t>SEC</w:t>
        </w:r>
      </w:smartTag>
      <w:r w:rsidR="00A76170" w:rsidRPr="00603D9B">
        <w:rPr>
          <w:sz w:val="18"/>
        </w:rPr>
        <w:t>,</w:t>
      </w:r>
      <w:r w:rsidR="0075479B" w:rsidRPr="00603D9B">
        <w:rPr>
          <w:sz w:val="18"/>
        </w:rPr>
        <w:t xml:space="preserve"> it will do so by filing electronically the Form </w:t>
      </w:r>
      <w:smartTag w:uri="urn:schemas-microsoft-com:office:smarttags" w:element="stockticker">
        <w:r w:rsidR="0075479B" w:rsidRPr="00603D9B">
          <w:rPr>
            <w:sz w:val="18"/>
          </w:rPr>
          <w:t>ADV</w:t>
        </w:r>
      </w:smartTag>
      <w:r w:rsidR="0075479B" w:rsidRPr="00603D9B">
        <w:rPr>
          <w:sz w:val="18"/>
        </w:rPr>
        <w:t xml:space="preserve">-W through the IARD.  The Form </w:t>
      </w:r>
      <w:smartTag w:uri="urn:schemas-microsoft-com:office:smarttags" w:element="stockticker">
        <w:r w:rsidR="0075479B" w:rsidRPr="00603D9B">
          <w:rPr>
            <w:sz w:val="18"/>
          </w:rPr>
          <w:t>ADV</w:t>
        </w:r>
      </w:smartTag>
      <w:r w:rsidR="0075479B" w:rsidRPr="00603D9B">
        <w:rPr>
          <w:sz w:val="18"/>
        </w:rPr>
        <w:t xml:space="preserve">-W will also permit the firm to request “partial withdrawal” to omit certain items that are not required from </w:t>
      </w:r>
      <w:r w:rsidR="00E85D8B">
        <w:rPr>
          <w:sz w:val="18"/>
        </w:rPr>
        <w:t>t</w:t>
      </w:r>
      <w:r w:rsidR="00485F39" w:rsidRPr="00603D9B">
        <w:rPr>
          <w:sz w:val="18"/>
        </w:rPr>
        <w:t>he Company</w:t>
      </w:r>
      <w:r w:rsidR="0075479B" w:rsidRPr="00603D9B">
        <w:rPr>
          <w:sz w:val="18"/>
        </w:rPr>
        <w:t xml:space="preserve"> if it is continuing in the business as a state-registered </w:t>
      </w:r>
      <w:r w:rsidR="009A1659" w:rsidRPr="00603D9B">
        <w:rPr>
          <w:sz w:val="18"/>
        </w:rPr>
        <w:t>advisor</w:t>
      </w:r>
      <w:r w:rsidR="0075479B" w:rsidRPr="00603D9B">
        <w:rPr>
          <w:sz w:val="18"/>
        </w:rPr>
        <w:t>.</w:t>
      </w:r>
    </w:p>
    <w:p w14:paraId="653D0A0F" w14:textId="77777777" w:rsidR="003E3DD1" w:rsidRPr="00603D9B" w:rsidRDefault="00607E6A" w:rsidP="003E3DD1">
      <w:pPr>
        <w:pStyle w:val="Heading2"/>
        <w:keepNext/>
        <w:jc w:val="left"/>
        <w:rPr>
          <w:b/>
          <w:sz w:val="18"/>
        </w:rPr>
      </w:pPr>
      <w:r w:rsidRPr="00603D9B">
        <w:rPr>
          <w:b/>
          <w:sz w:val="18"/>
        </w:rPr>
        <w:t>H</w:t>
      </w:r>
      <w:r w:rsidR="0075479B" w:rsidRPr="00603D9B">
        <w:rPr>
          <w:b/>
          <w:sz w:val="18"/>
        </w:rPr>
        <w:t>.</w:t>
      </w:r>
      <w:r w:rsidR="0075479B" w:rsidRPr="00603D9B">
        <w:rPr>
          <w:b/>
          <w:sz w:val="18"/>
        </w:rPr>
        <w:tab/>
        <w:t>Regulatory Reporting</w:t>
      </w:r>
    </w:p>
    <w:p w14:paraId="71B7CB8C" w14:textId="77777777" w:rsidR="0075479B" w:rsidRPr="00603D9B" w:rsidRDefault="003E3DD1" w:rsidP="003E3DD1">
      <w:pPr>
        <w:pStyle w:val="Heading2"/>
        <w:keepNext/>
        <w:ind w:left="1584"/>
        <w:jc w:val="left"/>
        <w:rPr>
          <w:sz w:val="18"/>
        </w:rPr>
      </w:pPr>
      <w:r w:rsidRPr="00603D9B">
        <w:rPr>
          <w:b/>
          <w:sz w:val="18"/>
        </w:rPr>
        <w:t>1</w:t>
      </w:r>
      <w:r w:rsidR="0075479B" w:rsidRPr="00603D9B">
        <w:rPr>
          <w:b/>
          <w:sz w:val="18"/>
        </w:rPr>
        <w:t>.</w:t>
      </w:r>
      <w:r w:rsidRPr="00603D9B">
        <w:rPr>
          <w:b/>
          <w:sz w:val="18"/>
        </w:rPr>
        <w:t xml:space="preserve">     </w:t>
      </w:r>
      <w:r w:rsidR="0075479B" w:rsidRPr="00603D9B">
        <w:rPr>
          <w:b/>
          <w:sz w:val="18"/>
        </w:rPr>
        <w:t>Annual Renewal</w:t>
      </w:r>
      <w:r w:rsidR="0075479B" w:rsidRPr="00603D9B">
        <w:rPr>
          <w:sz w:val="18"/>
        </w:rPr>
        <w:t xml:space="preserve">.  </w:t>
      </w:r>
      <w:r w:rsidR="00485F39" w:rsidRPr="00603D9B">
        <w:rPr>
          <w:sz w:val="18"/>
        </w:rPr>
        <w:t>The Company</w:t>
      </w:r>
      <w:r w:rsidR="0075479B" w:rsidRPr="00603D9B">
        <w:rPr>
          <w:sz w:val="18"/>
        </w:rPr>
        <w:t xml:space="preserve"> will file an an</w:t>
      </w:r>
      <w:r w:rsidRPr="00603D9B">
        <w:rPr>
          <w:sz w:val="18"/>
        </w:rPr>
        <w:t xml:space="preserve">nual updating amendment </w:t>
      </w:r>
      <w:r w:rsidR="003329B6">
        <w:rPr>
          <w:sz w:val="18"/>
        </w:rPr>
        <w:t>and ADV Part 1 and 2</w:t>
      </w:r>
      <w:r w:rsidR="00333358" w:rsidRPr="00603D9B">
        <w:rPr>
          <w:sz w:val="18"/>
        </w:rPr>
        <w:t xml:space="preserve">A </w:t>
      </w:r>
      <w:r w:rsidRPr="00603D9B">
        <w:rPr>
          <w:sz w:val="18"/>
        </w:rPr>
        <w:t>via the</w:t>
      </w:r>
      <w:r w:rsidR="00E326E6" w:rsidRPr="00603D9B">
        <w:rPr>
          <w:sz w:val="18"/>
        </w:rPr>
        <w:t xml:space="preserve"> </w:t>
      </w:r>
      <w:r w:rsidRPr="00603D9B">
        <w:rPr>
          <w:sz w:val="18"/>
        </w:rPr>
        <w:t>I</w:t>
      </w:r>
      <w:r w:rsidR="0075479B" w:rsidRPr="00603D9B">
        <w:rPr>
          <w:sz w:val="18"/>
        </w:rPr>
        <w:t xml:space="preserve">ARD </w:t>
      </w:r>
      <w:r w:rsidR="00E326E6" w:rsidRPr="00603D9B">
        <w:rPr>
          <w:sz w:val="18"/>
        </w:rPr>
        <w:t xml:space="preserve">system </w:t>
      </w:r>
      <w:r w:rsidR="0075479B" w:rsidRPr="00603D9B">
        <w:rPr>
          <w:sz w:val="18"/>
        </w:rPr>
        <w:t>within ninety (90) days after its fiscal year-end.  It is the responsibility of the CCO to file or cause the filing of the annual updating amendment</w:t>
      </w:r>
      <w:r w:rsidR="00333358" w:rsidRPr="00603D9B">
        <w:rPr>
          <w:sz w:val="18"/>
        </w:rPr>
        <w:t xml:space="preserve"> and the ADV Part </w:t>
      </w:r>
      <w:r w:rsidR="003329B6">
        <w:rPr>
          <w:sz w:val="18"/>
        </w:rPr>
        <w:t>1 and 2</w:t>
      </w:r>
      <w:r w:rsidR="006D0D38" w:rsidRPr="00603D9B">
        <w:rPr>
          <w:sz w:val="18"/>
        </w:rPr>
        <w:t>A.</w:t>
      </w:r>
    </w:p>
    <w:p w14:paraId="33089B7E" w14:textId="605B079D" w:rsidR="003F74E1" w:rsidRPr="003F74E1" w:rsidRDefault="0075479B" w:rsidP="00B317FD">
      <w:pPr>
        <w:pStyle w:val="Heading3"/>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Material Changes</w:t>
      </w:r>
      <w:r w:rsidRPr="00603D9B">
        <w:rPr>
          <w:sz w:val="18"/>
        </w:rPr>
        <w:t xml:space="preserve">.  In addition to the annual updating amendment, the CCO is responsible for filing additional amendments </w:t>
      </w:r>
      <w:r w:rsidRPr="00603D9B">
        <w:rPr>
          <w:sz w:val="18"/>
          <w:u w:val="single"/>
        </w:rPr>
        <w:t>promptly</w:t>
      </w:r>
      <w:r w:rsidRPr="00603D9B">
        <w:rPr>
          <w:sz w:val="18"/>
        </w:rPr>
        <w:t xml:space="preserve"> if:</w:t>
      </w:r>
    </w:p>
    <w:p w14:paraId="6C41FE52" w14:textId="77777777" w:rsidR="0075479B" w:rsidRPr="00E92345" w:rsidRDefault="0075479B">
      <w:pPr>
        <w:numPr>
          <w:ilvl w:val="0"/>
          <w:numId w:val="4"/>
        </w:numPr>
        <w:tabs>
          <w:tab w:val="clear" w:pos="-1080"/>
          <w:tab w:val="num" w:pos="2592"/>
        </w:tabs>
        <w:spacing w:line="360" w:lineRule="auto"/>
        <w:ind w:left="2592" w:hanging="432"/>
        <w:rPr>
          <w:sz w:val="18"/>
        </w:rPr>
      </w:pPr>
      <w:r w:rsidRPr="00E92345">
        <w:rPr>
          <w:sz w:val="18"/>
        </w:rPr>
        <w:t xml:space="preserve">information </w:t>
      </w:r>
      <w:r w:rsidR="00E723EA" w:rsidRPr="00E92345">
        <w:rPr>
          <w:sz w:val="18"/>
        </w:rPr>
        <w:t>provided in response to Items l (except 1.0 and Section 1.F of Schedule D),</w:t>
      </w:r>
      <w:r w:rsidRPr="00E92345">
        <w:rPr>
          <w:sz w:val="18"/>
        </w:rPr>
        <w:t xml:space="preserve"> 3, 9, </w:t>
      </w:r>
      <w:r w:rsidR="006D0D38" w:rsidRPr="00E92345">
        <w:rPr>
          <w:sz w:val="18"/>
        </w:rPr>
        <w:t xml:space="preserve">(except 9.A(2), 9.B(2), and 9.(E) </w:t>
      </w:r>
      <w:r w:rsidR="00B65312" w:rsidRPr="00E92345">
        <w:rPr>
          <w:sz w:val="18"/>
        </w:rPr>
        <w:t xml:space="preserve">and 9.(F)), </w:t>
      </w:r>
      <w:r w:rsidRPr="00E92345">
        <w:rPr>
          <w:sz w:val="18"/>
        </w:rPr>
        <w:t>or 11 of Part 1A or It</w:t>
      </w:r>
      <w:r w:rsidR="00B65312" w:rsidRPr="00E92345">
        <w:rPr>
          <w:sz w:val="18"/>
        </w:rPr>
        <w:t>ems 1, 2.A. through 2.F., or 2.I</w:t>
      </w:r>
      <w:r w:rsidRPr="00E92345">
        <w:rPr>
          <w:sz w:val="18"/>
        </w:rPr>
        <w:t xml:space="preserve">. of Part 1B </w:t>
      </w:r>
      <w:r w:rsidR="00E723EA" w:rsidRPr="00E92345">
        <w:rPr>
          <w:sz w:val="18"/>
        </w:rPr>
        <w:t xml:space="preserve">or Sections 1 or 3 of Schedule R </w:t>
      </w:r>
      <w:r w:rsidRPr="00E92345">
        <w:rPr>
          <w:sz w:val="18"/>
        </w:rPr>
        <w:t>become</w:t>
      </w:r>
      <w:r w:rsidR="00E723EA" w:rsidRPr="00E92345">
        <w:rPr>
          <w:sz w:val="18"/>
        </w:rPr>
        <w:t>s</w:t>
      </w:r>
      <w:r w:rsidRPr="00E92345">
        <w:rPr>
          <w:sz w:val="18"/>
        </w:rPr>
        <w:t xml:space="preserve"> inaccurate in any way;</w:t>
      </w:r>
    </w:p>
    <w:p w14:paraId="3AC68FEB" w14:textId="77777777" w:rsidR="0075479B" w:rsidRPr="00E92345" w:rsidRDefault="0075479B">
      <w:pPr>
        <w:numPr>
          <w:ilvl w:val="0"/>
          <w:numId w:val="4"/>
        </w:numPr>
        <w:tabs>
          <w:tab w:val="num" w:pos="2592"/>
        </w:tabs>
        <w:spacing w:line="360" w:lineRule="auto"/>
        <w:ind w:left="2592" w:hanging="432"/>
        <w:rPr>
          <w:sz w:val="18"/>
        </w:rPr>
      </w:pPr>
      <w:r w:rsidRPr="00E92345">
        <w:rPr>
          <w:sz w:val="18"/>
        </w:rPr>
        <w:t>information provided in response to Items 4, 8, or 10 of Part 1A or Item 2.G. of Part 1B</w:t>
      </w:r>
      <w:r w:rsidR="00E723EA" w:rsidRPr="00E92345">
        <w:rPr>
          <w:sz w:val="18"/>
        </w:rPr>
        <w:t xml:space="preserve"> or Section 10 of Schedule R</w:t>
      </w:r>
      <w:r w:rsidRPr="00E92345">
        <w:rPr>
          <w:sz w:val="18"/>
        </w:rPr>
        <w:t xml:space="preserve"> becomes </w:t>
      </w:r>
      <w:r w:rsidRPr="00E92345">
        <w:rPr>
          <w:sz w:val="18"/>
          <w:u w:val="single"/>
        </w:rPr>
        <w:t>materially</w:t>
      </w:r>
      <w:r w:rsidRPr="00E92345">
        <w:rPr>
          <w:sz w:val="18"/>
        </w:rPr>
        <w:t xml:space="preserve"> inaccurate; or</w:t>
      </w:r>
    </w:p>
    <w:p w14:paraId="6E8BF539" w14:textId="77777777" w:rsidR="0075479B" w:rsidRPr="00603D9B" w:rsidRDefault="0075479B">
      <w:pPr>
        <w:numPr>
          <w:ilvl w:val="0"/>
          <w:numId w:val="4"/>
        </w:numPr>
        <w:tabs>
          <w:tab w:val="num" w:pos="2592"/>
        </w:tabs>
        <w:spacing w:line="360" w:lineRule="auto"/>
        <w:ind w:left="2592" w:hanging="432"/>
        <w:rPr>
          <w:sz w:val="18"/>
        </w:rPr>
      </w:pPr>
      <w:r w:rsidRPr="00603D9B">
        <w:rPr>
          <w:sz w:val="18"/>
        </w:rPr>
        <w:t xml:space="preserve">information provided in </w:t>
      </w:r>
      <w:r w:rsidR="00E85D8B">
        <w:rPr>
          <w:sz w:val="18"/>
        </w:rPr>
        <w:t>t</w:t>
      </w:r>
      <w:r w:rsidR="00485F39" w:rsidRPr="00603D9B">
        <w:rPr>
          <w:sz w:val="18"/>
        </w:rPr>
        <w:t>he Company</w:t>
      </w:r>
      <w:r w:rsidR="006D0D38" w:rsidRPr="00603D9B">
        <w:rPr>
          <w:sz w:val="18"/>
        </w:rPr>
        <w:t xml:space="preserve"> brochure (ADV </w:t>
      </w:r>
      <w:r w:rsidRPr="00603D9B">
        <w:rPr>
          <w:sz w:val="18"/>
        </w:rPr>
        <w:t>Part</w:t>
      </w:r>
      <w:r w:rsidR="00E85D8B">
        <w:rPr>
          <w:sz w:val="18"/>
        </w:rPr>
        <w:t xml:space="preserve"> 2</w:t>
      </w:r>
      <w:r w:rsidR="006D0D38" w:rsidRPr="00603D9B">
        <w:rPr>
          <w:sz w:val="18"/>
        </w:rPr>
        <w:t>)</w:t>
      </w:r>
      <w:r w:rsidRPr="00603D9B">
        <w:rPr>
          <w:sz w:val="18"/>
        </w:rPr>
        <w:t xml:space="preserve"> becomes materially inaccurate.</w:t>
      </w:r>
    </w:p>
    <w:p w14:paraId="0A4B7728" w14:textId="77777777" w:rsidR="006D0D38" w:rsidRPr="00603D9B" w:rsidRDefault="006D0D38">
      <w:pPr>
        <w:numPr>
          <w:ilvl w:val="0"/>
          <w:numId w:val="4"/>
        </w:numPr>
        <w:tabs>
          <w:tab w:val="num" w:pos="2592"/>
        </w:tabs>
        <w:spacing w:line="360" w:lineRule="auto"/>
        <w:ind w:left="2592" w:hanging="432"/>
        <w:rPr>
          <w:sz w:val="18"/>
        </w:rPr>
      </w:pPr>
      <w:r w:rsidRPr="00603D9B">
        <w:rPr>
          <w:sz w:val="18"/>
        </w:rPr>
        <w:t xml:space="preserve">ADV Part 2B will be promptly updated if any part of it becomes </w:t>
      </w:r>
      <w:r w:rsidRPr="00603D9B">
        <w:rPr>
          <w:i/>
          <w:sz w:val="18"/>
          <w:u w:val="single"/>
        </w:rPr>
        <w:t xml:space="preserve">materially </w:t>
      </w:r>
      <w:r w:rsidRPr="00603D9B">
        <w:rPr>
          <w:sz w:val="18"/>
        </w:rPr>
        <w:t>inaccurate</w:t>
      </w:r>
    </w:p>
    <w:p w14:paraId="0C26FF4B" w14:textId="77777777" w:rsidR="00D92EE3" w:rsidRDefault="0075479B" w:rsidP="00D92EE3">
      <w:pPr>
        <w:spacing w:line="360" w:lineRule="auto"/>
        <w:ind w:left="2160"/>
        <w:rPr>
          <w:i/>
          <w:sz w:val="18"/>
        </w:rPr>
      </w:pPr>
      <w:r w:rsidRPr="00603D9B">
        <w:rPr>
          <w:i/>
          <w:sz w:val="18"/>
        </w:rPr>
        <w:lastRenderedPageBreak/>
        <w:t xml:space="preserve">NOTE: If an “other-than-annual” amendment is being submitted, responses to Items 2, 5, 6, 7, </w:t>
      </w:r>
      <w:r w:rsidR="00E723EA">
        <w:rPr>
          <w:i/>
          <w:sz w:val="18"/>
        </w:rPr>
        <w:t>9.A(2), 9.B(2), 9.E, 9.F or 12 of Part 1A, Items 2.H. or 2.J. of Part 1B, Section 1.F of Schedule D or Section 2 of Schedule R are</w:t>
      </w:r>
      <w:r w:rsidRPr="00603D9B">
        <w:rPr>
          <w:i/>
          <w:sz w:val="18"/>
        </w:rPr>
        <w:t xml:space="preserve"> not </w:t>
      </w:r>
      <w:r w:rsidR="00E723EA">
        <w:rPr>
          <w:i/>
          <w:sz w:val="18"/>
        </w:rPr>
        <w:t xml:space="preserve">required to </w:t>
      </w:r>
      <w:r w:rsidRPr="00603D9B">
        <w:rPr>
          <w:i/>
          <w:sz w:val="18"/>
        </w:rPr>
        <w:t>be updated, even if responses to tho</w:t>
      </w:r>
      <w:r w:rsidR="00E723EA">
        <w:rPr>
          <w:i/>
          <w:sz w:val="18"/>
        </w:rPr>
        <w:t>se items have become inaccurate</w:t>
      </w:r>
      <w:r w:rsidR="00D92EE3">
        <w:rPr>
          <w:i/>
          <w:sz w:val="18"/>
        </w:rPr>
        <w:t xml:space="preserve">.  </w:t>
      </w:r>
    </w:p>
    <w:p w14:paraId="4F1C97D8" w14:textId="77777777" w:rsidR="00B65312" w:rsidRDefault="00B65312">
      <w:pPr>
        <w:spacing w:line="360" w:lineRule="auto"/>
        <w:ind w:left="2160"/>
        <w:rPr>
          <w:i/>
          <w:sz w:val="18"/>
        </w:rPr>
      </w:pPr>
    </w:p>
    <w:p w14:paraId="16FA0AC5" w14:textId="77777777" w:rsidR="00367790" w:rsidRDefault="00367790" w:rsidP="00367790">
      <w:pPr>
        <w:spacing w:line="360" w:lineRule="auto"/>
        <w:ind w:left="1350"/>
        <w:rPr>
          <w:sz w:val="18"/>
        </w:rPr>
      </w:pPr>
      <w:r>
        <w:rPr>
          <w:b/>
          <w:sz w:val="18"/>
        </w:rPr>
        <w:t xml:space="preserve">3.  Section 13 Reporting Requirements Regarding Securities Holdings.  </w:t>
      </w:r>
      <w:r>
        <w:rPr>
          <w:sz w:val="18"/>
        </w:rPr>
        <w:t>Sections 13(d), (f), (g) and (h) of the Securities Exchange Act of 1934 are intended to provide regulators, investors and the subject issuers with information about accumulations of securities that may have the potential to change or influence control of the issuer.  Section 13 is concerned with voting authority and identifying large traders.</w:t>
      </w:r>
    </w:p>
    <w:p w14:paraId="117BDE1E" w14:textId="77777777" w:rsidR="00F97088" w:rsidRDefault="00F97088" w:rsidP="00367790">
      <w:pPr>
        <w:spacing w:line="360" w:lineRule="auto"/>
        <w:ind w:left="1350"/>
        <w:rPr>
          <w:sz w:val="18"/>
        </w:rPr>
      </w:pPr>
    </w:p>
    <w:p w14:paraId="5804E15D" w14:textId="77777777" w:rsidR="00F97088" w:rsidRDefault="00F97088" w:rsidP="00367790">
      <w:pPr>
        <w:spacing w:line="360" w:lineRule="auto"/>
        <w:ind w:left="1350"/>
        <w:rPr>
          <w:sz w:val="18"/>
        </w:rPr>
      </w:pPr>
      <w:r w:rsidRPr="00F97088">
        <w:rPr>
          <w:sz w:val="18"/>
          <w:u w:val="single"/>
        </w:rPr>
        <w:t>Section 13</w:t>
      </w:r>
      <w:r>
        <w:rPr>
          <w:sz w:val="18"/>
          <w:u w:val="single"/>
        </w:rPr>
        <w:t>(</w:t>
      </w:r>
      <w:r w:rsidRPr="00F97088">
        <w:rPr>
          <w:sz w:val="18"/>
          <w:u w:val="single"/>
        </w:rPr>
        <w:t>d</w:t>
      </w:r>
      <w:r>
        <w:rPr>
          <w:sz w:val="18"/>
          <w:u w:val="single"/>
        </w:rPr>
        <w:t>)</w:t>
      </w:r>
      <w:r>
        <w:rPr>
          <w:sz w:val="18"/>
        </w:rPr>
        <w:t>:</w:t>
      </w:r>
    </w:p>
    <w:p w14:paraId="4E469D07" w14:textId="77777777" w:rsidR="00F97088" w:rsidRDefault="00F97088" w:rsidP="00367790">
      <w:pPr>
        <w:spacing w:line="360" w:lineRule="auto"/>
        <w:ind w:left="1350"/>
        <w:rPr>
          <w:sz w:val="18"/>
        </w:rPr>
      </w:pPr>
      <w:r>
        <w:rPr>
          <w:sz w:val="18"/>
        </w:rPr>
        <w:t xml:space="preserve">Any beneficial owner of more than 5% of the outstanding shares of a voting equity security must report on Schedule 13(d).  The intent of Section 13(d) is to supply information concerning certain accumulations of beneficial ownership, presumably with either the intent or effect of causing a change in control of an issuer.    Exception reports </w:t>
      </w:r>
      <w:r w:rsidR="00B41615">
        <w:rPr>
          <w:sz w:val="18"/>
        </w:rPr>
        <w:t>generated</w:t>
      </w:r>
      <w:r>
        <w:rPr>
          <w:sz w:val="18"/>
        </w:rPr>
        <w:t xml:space="preserve"> by our clearing partners provide us with the ability to review our equity holdings to verify if/when a Section 13(d) filing is or will be required. </w:t>
      </w:r>
    </w:p>
    <w:p w14:paraId="0602F322" w14:textId="77777777" w:rsidR="00CE7AC4" w:rsidRPr="00367790" w:rsidRDefault="00CE7AC4" w:rsidP="00367790">
      <w:pPr>
        <w:spacing w:line="360" w:lineRule="auto"/>
        <w:ind w:left="1350"/>
        <w:rPr>
          <w:sz w:val="18"/>
        </w:rPr>
      </w:pPr>
    </w:p>
    <w:p w14:paraId="3A360DCF" w14:textId="77777777" w:rsidR="00367790" w:rsidRDefault="00CE7AC4" w:rsidP="00367790">
      <w:pPr>
        <w:spacing w:line="360" w:lineRule="auto"/>
        <w:ind w:left="1350"/>
        <w:rPr>
          <w:sz w:val="18"/>
          <w:u w:val="single"/>
        </w:rPr>
      </w:pPr>
      <w:r w:rsidRPr="00CE7AC4">
        <w:rPr>
          <w:sz w:val="18"/>
          <w:u w:val="single"/>
        </w:rPr>
        <w:t>Section 13(f):</w:t>
      </w:r>
    </w:p>
    <w:p w14:paraId="46BC895A" w14:textId="77777777" w:rsidR="00CE7AC4" w:rsidRDefault="00CE7AC4" w:rsidP="00367790">
      <w:pPr>
        <w:spacing w:line="360" w:lineRule="auto"/>
        <w:ind w:left="1350"/>
        <w:rPr>
          <w:sz w:val="18"/>
        </w:rPr>
      </w:pPr>
      <w:r>
        <w:rPr>
          <w:sz w:val="18"/>
        </w:rPr>
        <w:t>An institutional investment manager that exercises discretion with respect to 13(f) equity securities having an aggregate fair market value of at least $100,000,000 ($100 million) on the last day of any month, shall file a 13F Report within 45 days after the last day of a calendar year when the firm first hit the $100 million mark, and subsequent quarters as instructed on Form 13F.</w:t>
      </w:r>
    </w:p>
    <w:p w14:paraId="49EE22A7" w14:textId="77777777" w:rsidR="00CE7AC4" w:rsidRDefault="00CE7AC4" w:rsidP="00367790">
      <w:pPr>
        <w:spacing w:line="360" w:lineRule="auto"/>
        <w:ind w:left="1350"/>
        <w:rPr>
          <w:sz w:val="18"/>
        </w:rPr>
      </w:pPr>
    </w:p>
    <w:p w14:paraId="4FB43C28" w14:textId="77777777" w:rsidR="00CE7AC4" w:rsidRPr="00CE7AC4" w:rsidRDefault="00CE7AC4" w:rsidP="00367790">
      <w:pPr>
        <w:spacing w:line="360" w:lineRule="auto"/>
        <w:ind w:left="1350"/>
        <w:rPr>
          <w:sz w:val="18"/>
        </w:rPr>
      </w:pPr>
      <w:r>
        <w:rPr>
          <w:sz w:val="18"/>
        </w:rPr>
        <w:t>The Company has discretionary equity assets under its management that exceeds $100 million and subsequently the Company currently files a 13F report within 45 days calendar days after each quarter end.</w:t>
      </w:r>
    </w:p>
    <w:p w14:paraId="50749C0D" w14:textId="77777777" w:rsidR="00367790" w:rsidRDefault="00367790" w:rsidP="00367790">
      <w:pPr>
        <w:spacing w:line="360" w:lineRule="auto"/>
        <w:ind w:left="1350"/>
        <w:rPr>
          <w:b/>
          <w:sz w:val="18"/>
        </w:rPr>
      </w:pPr>
    </w:p>
    <w:p w14:paraId="2493908A" w14:textId="77777777" w:rsidR="00CE7AC4" w:rsidRDefault="00CE7AC4" w:rsidP="00367790">
      <w:pPr>
        <w:spacing w:line="360" w:lineRule="auto"/>
        <w:ind w:left="1350"/>
        <w:rPr>
          <w:sz w:val="18"/>
          <w:u w:val="single"/>
        </w:rPr>
      </w:pPr>
      <w:r w:rsidRPr="00CE7AC4">
        <w:rPr>
          <w:sz w:val="18"/>
          <w:u w:val="single"/>
        </w:rPr>
        <w:t>Section 13(g):</w:t>
      </w:r>
    </w:p>
    <w:p w14:paraId="4C1CD49A" w14:textId="77777777" w:rsidR="00CE7AC4" w:rsidRDefault="00CE7AC4" w:rsidP="00367790">
      <w:pPr>
        <w:spacing w:line="360" w:lineRule="auto"/>
        <w:ind w:left="1350"/>
        <w:rPr>
          <w:sz w:val="18"/>
        </w:rPr>
      </w:pPr>
      <w:r w:rsidRPr="00CE7AC4">
        <w:rPr>
          <w:sz w:val="18"/>
        </w:rPr>
        <w:t>Certain</w:t>
      </w:r>
      <w:r>
        <w:rPr>
          <w:sz w:val="18"/>
        </w:rPr>
        <w:t xml:space="preserve"> types of institutional investors, (broker/dealers, investment advisors, banks, insurance companies and mutual funds, among others) are permitted to file a short form filing to report a position over 5% of the outstanding shares of a company.  The criteria require that the institutional investor has acquired its beneficial interest in the shares in the ordinary course of business and not for the purpose or effect of changing or influencing control.  Section 13(g) seeks information about ownership status, not acquisition.  The 13(g) filing is required on an annual basis.  The Company reviews its equity holding exception reports to determine if the Company owns a position of 5% or more of the outstanding shares of a company and will file a 13(g) report when and as necessary.</w:t>
      </w:r>
    </w:p>
    <w:p w14:paraId="0914E2F4" w14:textId="77777777" w:rsidR="00CE7AC4" w:rsidRDefault="00CE7AC4" w:rsidP="00367790">
      <w:pPr>
        <w:spacing w:line="360" w:lineRule="auto"/>
        <w:ind w:left="1350"/>
        <w:rPr>
          <w:sz w:val="18"/>
        </w:rPr>
      </w:pPr>
    </w:p>
    <w:p w14:paraId="0153574D" w14:textId="77777777" w:rsidR="00CE7AC4" w:rsidRPr="00CE7AC4" w:rsidRDefault="00CE7AC4" w:rsidP="00367790">
      <w:pPr>
        <w:spacing w:line="360" w:lineRule="auto"/>
        <w:ind w:left="1350"/>
        <w:rPr>
          <w:sz w:val="18"/>
          <w:u w:val="single"/>
        </w:rPr>
      </w:pPr>
      <w:r w:rsidRPr="00CE7AC4">
        <w:rPr>
          <w:sz w:val="18"/>
          <w:u w:val="single"/>
        </w:rPr>
        <w:t>Section 13(h)</w:t>
      </w:r>
      <w:r>
        <w:rPr>
          <w:sz w:val="18"/>
          <w:u w:val="single"/>
        </w:rPr>
        <w:t>:</w:t>
      </w:r>
    </w:p>
    <w:p w14:paraId="7548E256" w14:textId="77777777" w:rsidR="00CE7AC4" w:rsidRDefault="00CE7AC4" w:rsidP="00367790">
      <w:pPr>
        <w:spacing w:line="360" w:lineRule="auto"/>
        <w:ind w:left="1350"/>
        <w:rPr>
          <w:sz w:val="18"/>
        </w:rPr>
      </w:pPr>
      <w:r>
        <w:rPr>
          <w:sz w:val="18"/>
        </w:rPr>
        <w:t>Large traders (a person whose transactions in NMS (exchange listed) securities equal or exceed 2 million shares or $20 million during any calendar day, or 20 million shares or $200 million during any calendar month) will file form 13H within 10 days of the triggering event.  Form 13H is filed at least annually, and with quarterly updates should significant changes occur (e.g., selecting a new broker).</w:t>
      </w:r>
    </w:p>
    <w:p w14:paraId="081FF462" w14:textId="77777777" w:rsidR="00CE7AC4" w:rsidRDefault="00CE7AC4" w:rsidP="00367790">
      <w:pPr>
        <w:spacing w:line="360" w:lineRule="auto"/>
        <w:ind w:left="1350"/>
        <w:rPr>
          <w:sz w:val="18"/>
        </w:rPr>
      </w:pPr>
    </w:p>
    <w:p w14:paraId="4CEF0B46" w14:textId="77777777" w:rsidR="00CE7AC4" w:rsidRPr="00CE7AC4" w:rsidRDefault="00CE7AC4" w:rsidP="00367790">
      <w:pPr>
        <w:spacing w:line="360" w:lineRule="auto"/>
        <w:ind w:left="1350"/>
        <w:rPr>
          <w:sz w:val="18"/>
        </w:rPr>
      </w:pPr>
      <w:r>
        <w:rPr>
          <w:sz w:val="18"/>
        </w:rPr>
        <w:lastRenderedPageBreak/>
        <w:t>The Company regularly reviews its trading activity levels to ascertain whether or not a 13H filing is required and will file a 13H within 10 days of the first triggering event requiring the Company to do so.</w:t>
      </w:r>
    </w:p>
    <w:p w14:paraId="099054B3" w14:textId="77777777" w:rsidR="00367790" w:rsidRDefault="00367790" w:rsidP="00367790">
      <w:pPr>
        <w:spacing w:line="360" w:lineRule="auto"/>
        <w:ind w:left="1350"/>
        <w:rPr>
          <w:b/>
          <w:sz w:val="18"/>
        </w:rPr>
      </w:pPr>
    </w:p>
    <w:p w14:paraId="010E0975" w14:textId="77777777" w:rsidR="0075479B" w:rsidRDefault="0075479B" w:rsidP="00B317FD">
      <w:pPr>
        <w:pStyle w:val="Heading2"/>
        <w:keepNext/>
        <w:numPr>
          <w:ilvl w:val="0"/>
          <w:numId w:val="29"/>
        </w:numPr>
        <w:spacing w:after="0"/>
        <w:rPr>
          <w:b/>
          <w:sz w:val="18"/>
        </w:rPr>
      </w:pPr>
      <w:r w:rsidRPr="00603D9B">
        <w:rPr>
          <w:b/>
          <w:sz w:val="18"/>
        </w:rPr>
        <w:t>State Licensing and Registration</w:t>
      </w:r>
    </w:p>
    <w:p w14:paraId="128D8A59" w14:textId="77777777" w:rsidR="00B317FD" w:rsidRPr="00B317FD" w:rsidRDefault="00B317FD" w:rsidP="00B317FD"/>
    <w:p w14:paraId="5B013EB1" w14:textId="3F97958F" w:rsidR="0075479B" w:rsidRPr="00603D9B" w:rsidRDefault="0075479B" w:rsidP="003F74E1">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State Requirements</w:t>
      </w:r>
      <w:r w:rsidRPr="00603D9B">
        <w:rPr>
          <w:sz w:val="18"/>
        </w:rPr>
        <w:t xml:space="preserve">.  As noted, </w:t>
      </w:r>
      <w:r w:rsidR="00E85D8B">
        <w:rPr>
          <w:sz w:val="18"/>
        </w:rPr>
        <w:t>t</w:t>
      </w:r>
      <w:r w:rsidR="00485F39" w:rsidRPr="00603D9B">
        <w:rPr>
          <w:sz w:val="18"/>
        </w:rPr>
        <w:t>he Company</w:t>
      </w:r>
      <w:r w:rsidRPr="00603D9B">
        <w:rPr>
          <w:sz w:val="18"/>
        </w:rPr>
        <w:t xml:space="preserve"> must maintain its home state registration, as well as notice file as an Investment </w:t>
      </w:r>
      <w:r w:rsidR="009A1659" w:rsidRPr="00603D9B">
        <w:rPr>
          <w:sz w:val="18"/>
        </w:rPr>
        <w:t>Advisor</w:t>
      </w:r>
      <w:r w:rsidRPr="00603D9B">
        <w:rPr>
          <w:sz w:val="18"/>
        </w:rPr>
        <w:t xml:space="preserve"> in some or all of the states in which it conducts business or maintains an office.  Additionally, IAR’s of </w:t>
      </w:r>
      <w:r w:rsidR="00F5771E">
        <w:rPr>
          <w:sz w:val="18"/>
        </w:rPr>
        <w:t>t</w:t>
      </w:r>
      <w:r w:rsidR="00485F39" w:rsidRPr="00603D9B">
        <w:rPr>
          <w:sz w:val="18"/>
        </w:rPr>
        <w:t>he Company</w:t>
      </w:r>
      <w:r w:rsidRPr="00603D9B">
        <w:rPr>
          <w:sz w:val="18"/>
        </w:rPr>
        <w:t xml:space="preserve"> may need to be registered, licensed or otherwise qualified in those states where they have offices or clients.</w:t>
      </w:r>
    </w:p>
    <w:p w14:paraId="59CEE0C8" w14:textId="264004E9" w:rsidR="0075479B" w:rsidRPr="00603D9B" w:rsidRDefault="0075479B">
      <w:pPr>
        <w:pStyle w:val="Heading3"/>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Supervisory Responsibility</w:t>
      </w:r>
      <w:r w:rsidRPr="00603D9B">
        <w:rPr>
          <w:sz w:val="18"/>
        </w:rPr>
        <w:t>.  It is the responsibility of the CCO</w:t>
      </w:r>
      <w:r w:rsidR="00046F90" w:rsidRPr="00603D9B">
        <w:rPr>
          <w:sz w:val="18"/>
        </w:rPr>
        <w:t xml:space="preserve"> or her designated </w:t>
      </w:r>
      <w:r w:rsidR="00925318" w:rsidRPr="00603D9B">
        <w:rPr>
          <w:sz w:val="18"/>
        </w:rPr>
        <w:t>supervisor</w:t>
      </w:r>
      <w:r w:rsidRPr="00603D9B">
        <w:rPr>
          <w:sz w:val="18"/>
        </w:rPr>
        <w:t xml:space="preserve"> to be aware of the particular requirements of the states in which </w:t>
      </w:r>
      <w:r w:rsidR="009D52C5">
        <w:rPr>
          <w:sz w:val="18"/>
        </w:rPr>
        <w:t>t</w:t>
      </w:r>
      <w:r w:rsidR="00485F39" w:rsidRPr="00603D9B">
        <w:rPr>
          <w:sz w:val="18"/>
        </w:rPr>
        <w:t>he Company</w:t>
      </w:r>
      <w:r w:rsidRPr="00603D9B">
        <w:rPr>
          <w:sz w:val="18"/>
        </w:rPr>
        <w:t xml:space="preserve"> operates and to ensure that </w:t>
      </w:r>
      <w:r w:rsidR="009D52C5">
        <w:rPr>
          <w:sz w:val="18"/>
        </w:rPr>
        <w:t>t</w:t>
      </w:r>
      <w:r w:rsidR="00485F39" w:rsidRPr="00603D9B">
        <w:rPr>
          <w:sz w:val="18"/>
        </w:rPr>
        <w:t>he Company</w:t>
      </w:r>
      <w:r w:rsidRPr="00603D9B">
        <w:rPr>
          <w:sz w:val="18"/>
        </w:rPr>
        <w:t xml:space="preserve"> and its IAR’s are properly registered, licensed and qualified to conduct business pursuant to all applicable laws of those states.</w:t>
      </w:r>
    </w:p>
    <w:p w14:paraId="70923DF5" w14:textId="48285F71" w:rsidR="0075479B" w:rsidRPr="00603D9B" w:rsidRDefault="0075479B">
      <w:pPr>
        <w:pStyle w:val="Heading3"/>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b/>
          <w:sz w:val="18"/>
        </w:rPr>
        <w:tab/>
        <w:t>Restrictions</w:t>
      </w:r>
      <w:r w:rsidRPr="00603D9B">
        <w:rPr>
          <w:sz w:val="18"/>
        </w:rPr>
        <w:t xml:space="preserve">.  Unless otherwise permitted by regulation, </w:t>
      </w:r>
      <w:r w:rsidR="009D52C5">
        <w:rPr>
          <w:sz w:val="18"/>
        </w:rPr>
        <w:t>t</w:t>
      </w:r>
      <w:r w:rsidR="00485F39" w:rsidRPr="00603D9B">
        <w:rPr>
          <w:sz w:val="18"/>
        </w:rPr>
        <w:t>he Company</w:t>
      </w:r>
      <w:r w:rsidRPr="00603D9B">
        <w:rPr>
          <w:sz w:val="18"/>
        </w:rPr>
        <w:t xml:space="preserve"> and </w:t>
      </w:r>
      <w:r w:rsidR="00925318" w:rsidRPr="00603D9B">
        <w:rPr>
          <w:sz w:val="18"/>
        </w:rPr>
        <w:t>its</w:t>
      </w:r>
      <w:r w:rsidRPr="00603D9B">
        <w:rPr>
          <w:sz w:val="18"/>
        </w:rPr>
        <w:t xml:space="preserve"> IAR’s may not solicit or render investment advice for any client domiciled in a state where </w:t>
      </w:r>
      <w:r w:rsidR="009D52C5">
        <w:rPr>
          <w:sz w:val="18"/>
        </w:rPr>
        <w:t>t</w:t>
      </w:r>
      <w:r w:rsidR="00485F39" w:rsidRPr="00603D9B">
        <w:rPr>
          <w:sz w:val="18"/>
        </w:rPr>
        <w:t>he Company</w:t>
      </w:r>
      <w:r w:rsidRPr="00603D9B">
        <w:rPr>
          <w:sz w:val="18"/>
        </w:rPr>
        <w:t xml:space="preserve"> is not properly registered.</w:t>
      </w:r>
    </w:p>
    <w:p w14:paraId="355FD006" w14:textId="77777777" w:rsidR="0075479B" w:rsidRPr="00603D9B" w:rsidRDefault="00607E6A">
      <w:pPr>
        <w:pStyle w:val="Heading2"/>
        <w:keepNext/>
        <w:rPr>
          <w:b/>
          <w:sz w:val="18"/>
        </w:rPr>
      </w:pPr>
      <w:r w:rsidRPr="00603D9B">
        <w:rPr>
          <w:b/>
          <w:sz w:val="18"/>
        </w:rPr>
        <w:t>J</w:t>
      </w:r>
      <w:r w:rsidR="0075479B" w:rsidRPr="00603D9B">
        <w:rPr>
          <w:b/>
          <w:sz w:val="18"/>
        </w:rPr>
        <w:t>.</w:t>
      </w:r>
      <w:r w:rsidR="0075479B" w:rsidRPr="00603D9B">
        <w:rPr>
          <w:b/>
          <w:sz w:val="18"/>
        </w:rPr>
        <w:tab/>
        <w:t xml:space="preserve">Investment </w:t>
      </w:r>
      <w:r w:rsidR="009A1659" w:rsidRPr="00603D9B">
        <w:rPr>
          <w:b/>
          <w:sz w:val="18"/>
        </w:rPr>
        <w:t>Advisor</w:t>
      </w:r>
      <w:r w:rsidR="0075479B" w:rsidRPr="00603D9B">
        <w:rPr>
          <w:b/>
          <w:sz w:val="18"/>
        </w:rPr>
        <w:t xml:space="preserve"> Representative Registration</w:t>
      </w:r>
    </w:p>
    <w:p w14:paraId="37BC3EF0" w14:textId="3FCDACE1"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r>
      <w:r w:rsidR="009D52C5">
        <w:rPr>
          <w:sz w:val="18"/>
        </w:rPr>
        <w:t xml:space="preserve">The CCO will serve as the Super Account Administrator with IARD/CRD.  </w:t>
      </w:r>
      <w:r w:rsidRPr="00603D9B">
        <w:rPr>
          <w:sz w:val="18"/>
        </w:rPr>
        <w:t xml:space="preserve">The CCO </w:t>
      </w:r>
      <w:r w:rsidR="002B02A0" w:rsidRPr="00603D9B">
        <w:rPr>
          <w:sz w:val="18"/>
        </w:rPr>
        <w:t xml:space="preserve">or her designated </w:t>
      </w:r>
      <w:r w:rsidR="00925318" w:rsidRPr="00603D9B">
        <w:rPr>
          <w:sz w:val="18"/>
        </w:rPr>
        <w:t>supervisor</w:t>
      </w:r>
      <w:r w:rsidR="002B02A0" w:rsidRPr="00603D9B">
        <w:rPr>
          <w:sz w:val="18"/>
        </w:rPr>
        <w:t xml:space="preserve"> </w:t>
      </w:r>
      <w:r w:rsidRPr="00603D9B">
        <w:rPr>
          <w:sz w:val="18"/>
        </w:rPr>
        <w:t>is responsible for filing all necessary registration and licensing materials with federal and state regulatory agencies in connection with the registration of each IAR.</w:t>
      </w:r>
    </w:p>
    <w:p w14:paraId="4BC73EF9" w14:textId="77777777" w:rsidR="0075479B" w:rsidRPr="00603D9B" w:rsidRDefault="0075479B" w:rsidP="00B317FD">
      <w:pPr>
        <w:pStyle w:val="Heading3"/>
        <w:spacing w:after="0"/>
        <w:rPr>
          <w:sz w:val="18"/>
        </w:rPr>
      </w:pPr>
      <w:r w:rsidRPr="00603D9B">
        <w:rPr>
          <w:b/>
          <w:sz w:val="18"/>
        </w:rPr>
        <w:t>2.</w:t>
      </w:r>
      <w:r w:rsidRPr="00603D9B">
        <w:rPr>
          <w:sz w:val="18"/>
        </w:rPr>
        <w:tab/>
      </w:r>
      <w:r w:rsidR="00485F39" w:rsidRPr="00603D9B">
        <w:rPr>
          <w:sz w:val="18"/>
        </w:rPr>
        <w:t>The Company</w:t>
      </w:r>
      <w:r w:rsidRPr="00603D9B">
        <w:rPr>
          <w:sz w:val="18"/>
        </w:rPr>
        <w:t xml:space="preserve"> will not register an individual as an IAR of </w:t>
      </w:r>
      <w:r w:rsidR="00F5771E">
        <w:rPr>
          <w:sz w:val="18"/>
        </w:rPr>
        <w:t>the Company</w:t>
      </w:r>
      <w:r w:rsidRPr="00603D9B">
        <w:rPr>
          <w:sz w:val="18"/>
        </w:rPr>
        <w:t xml:space="preserve"> until all prior associations with other investment </w:t>
      </w:r>
      <w:r w:rsidR="009A1659" w:rsidRPr="00603D9B">
        <w:rPr>
          <w:sz w:val="18"/>
        </w:rPr>
        <w:t>advisor</w:t>
      </w:r>
      <w:r w:rsidRPr="00603D9B">
        <w:rPr>
          <w:sz w:val="18"/>
        </w:rPr>
        <w:t>s have been terminated, or dual licensing has been approved by the CCO and the state where registration is required.</w:t>
      </w:r>
    </w:p>
    <w:p w14:paraId="35C7C2BB" w14:textId="77777777" w:rsidR="0075479B" w:rsidRPr="00603D9B" w:rsidRDefault="0075479B" w:rsidP="00B317FD">
      <w:pPr>
        <w:pStyle w:val="Heading3"/>
        <w:spacing w:after="0"/>
        <w:rPr>
          <w:sz w:val="18"/>
        </w:rPr>
      </w:pPr>
      <w:r w:rsidRPr="00603D9B">
        <w:rPr>
          <w:b/>
          <w:sz w:val="18"/>
        </w:rPr>
        <w:t>3.</w:t>
      </w:r>
      <w:r w:rsidRPr="00603D9B">
        <w:rPr>
          <w:sz w:val="18"/>
        </w:rPr>
        <w:tab/>
        <w:t>Once the CC</w:t>
      </w:r>
      <w:r w:rsidR="007226D5">
        <w:rPr>
          <w:sz w:val="18"/>
        </w:rPr>
        <w:t>O is satisfied that the IAR</w:t>
      </w:r>
      <w:r w:rsidRPr="00603D9B">
        <w:rPr>
          <w:sz w:val="18"/>
        </w:rPr>
        <w:t xml:space="preserve"> is required to register with a state, and can qualify for such registration, the CCO </w:t>
      </w:r>
      <w:r w:rsidR="002B02A0" w:rsidRPr="00603D9B">
        <w:rPr>
          <w:sz w:val="18"/>
        </w:rPr>
        <w:t xml:space="preserve">or her designated </w:t>
      </w:r>
      <w:r w:rsidR="006E3AFA" w:rsidRPr="00603D9B">
        <w:rPr>
          <w:sz w:val="18"/>
        </w:rPr>
        <w:t>supervisor</w:t>
      </w:r>
      <w:r w:rsidR="002B02A0" w:rsidRPr="00603D9B">
        <w:rPr>
          <w:sz w:val="18"/>
        </w:rPr>
        <w:t xml:space="preserve"> </w:t>
      </w:r>
      <w:r w:rsidRPr="00603D9B">
        <w:rPr>
          <w:sz w:val="18"/>
        </w:rPr>
        <w:t>will review the registration requireme</w:t>
      </w:r>
      <w:r w:rsidR="002424CA" w:rsidRPr="00603D9B">
        <w:rPr>
          <w:sz w:val="18"/>
        </w:rPr>
        <w:t xml:space="preserve">nts of the applicable state(s) </w:t>
      </w:r>
      <w:r w:rsidRPr="00603D9B">
        <w:rPr>
          <w:sz w:val="18"/>
        </w:rPr>
        <w:t>and make the necessary filings.</w:t>
      </w:r>
    </w:p>
    <w:p w14:paraId="4B864577" w14:textId="77777777" w:rsidR="0075479B" w:rsidRPr="00603D9B" w:rsidRDefault="0075479B" w:rsidP="00B317FD">
      <w:pPr>
        <w:pStyle w:val="Heading3"/>
        <w:spacing w:after="0"/>
        <w:rPr>
          <w:sz w:val="18"/>
        </w:rPr>
      </w:pPr>
      <w:r w:rsidRPr="00603D9B">
        <w:rPr>
          <w:b/>
          <w:sz w:val="18"/>
        </w:rPr>
        <w:t>4.</w:t>
      </w:r>
      <w:r w:rsidRPr="00603D9B">
        <w:rPr>
          <w:sz w:val="18"/>
        </w:rPr>
        <w:tab/>
        <w:t xml:space="preserve">The CCO shall maintain all registration records for each IAR, including </w:t>
      </w:r>
      <w:r w:rsidR="00046F90" w:rsidRPr="00603D9B">
        <w:rPr>
          <w:sz w:val="18"/>
        </w:rPr>
        <w:t>physical and</w:t>
      </w:r>
      <w:r w:rsidR="00545206" w:rsidRPr="00603D9B">
        <w:rPr>
          <w:sz w:val="18"/>
        </w:rPr>
        <w:t>/or</w:t>
      </w:r>
      <w:r w:rsidR="00046F90" w:rsidRPr="00603D9B">
        <w:rPr>
          <w:sz w:val="18"/>
        </w:rPr>
        <w:t xml:space="preserve"> electronic </w:t>
      </w:r>
      <w:r w:rsidRPr="00603D9B">
        <w:rPr>
          <w:sz w:val="18"/>
        </w:rPr>
        <w:t>copies of Form U-4 and U-5</w:t>
      </w:r>
      <w:r w:rsidR="00046F90" w:rsidRPr="00603D9B">
        <w:rPr>
          <w:sz w:val="18"/>
        </w:rPr>
        <w:t xml:space="preserve"> </w:t>
      </w:r>
      <w:r w:rsidR="00925318" w:rsidRPr="00603D9B">
        <w:rPr>
          <w:sz w:val="18"/>
        </w:rPr>
        <w:t>(</w:t>
      </w:r>
      <w:r w:rsidR="00046F90" w:rsidRPr="00603D9B">
        <w:rPr>
          <w:sz w:val="18"/>
        </w:rPr>
        <w:t>where allowed to be maintained electronically</w:t>
      </w:r>
      <w:r w:rsidR="00925318" w:rsidRPr="00603D9B">
        <w:rPr>
          <w:sz w:val="18"/>
        </w:rPr>
        <w:t>)</w:t>
      </w:r>
      <w:r w:rsidRPr="00603D9B">
        <w:rPr>
          <w:sz w:val="18"/>
        </w:rPr>
        <w:t>, employment applications, reference checks, background reviews and correspondence.</w:t>
      </w:r>
    </w:p>
    <w:p w14:paraId="7923D5A5" w14:textId="77777777" w:rsidR="0075479B" w:rsidRDefault="0075479B" w:rsidP="00B317FD">
      <w:pPr>
        <w:pStyle w:val="Heading3"/>
        <w:spacing w:after="0"/>
        <w:rPr>
          <w:sz w:val="18"/>
        </w:rPr>
      </w:pPr>
      <w:r w:rsidRPr="00603D9B">
        <w:rPr>
          <w:b/>
          <w:sz w:val="18"/>
        </w:rPr>
        <w:t>5.</w:t>
      </w:r>
      <w:r w:rsidRPr="00603D9B">
        <w:rPr>
          <w:sz w:val="18"/>
        </w:rPr>
        <w:tab/>
        <w:t xml:space="preserve">The </w:t>
      </w:r>
      <w:r w:rsidR="007226D5">
        <w:rPr>
          <w:sz w:val="18"/>
        </w:rPr>
        <w:t>IAR</w:t>
      </w:r>
      <w:r w:rsidRPr="00603D9B">
        <w:rPr>
          <w:sz w:val="18"/>
        </w:rPr>
        <w:t xml:space="preserve"> may not provide investment advice to any client until he or she has received notice from the CCO</w:t>
      </w:r>
      <w:r w:rsidR="0065184A" w:rsidRPr="00603D9B">
        <w:rPr>
          <w:sz w:val="18"/>
        </w:rPr>
        <w:t>, or her delegate,</w:t>
      </w:r>
      <w:r w:rsidRPr="00603D9B">
        <w:rPr>
          <w:sz w:val="18"/>
        </w:rPr>
        <w:t xml:space="preserve"> that he or she has been granted an IAR registration status (license) from the appropriate state (unless such license is not necessary).</w:t>
      </w:r>
    </w:p>
    <w:p w14:paraId="6EC81EF6" w14:textId="77777777" w:rsidR="00B317FD" w:rsidRPr="00B317FD" w:rsidRDefault="00B317FD" w:rsidP="00B317FD"/>
    <w:p w14:paraId="0E58C5AC" w14:textId="77777777" w:rsidR="0075479B" w:rsidRDefault="00607E6A" w:rsidP="00B317FD">
      <w:pPr>
        <w:pStyle w:val="Heading2"/>
        <w:keepNext/>
        <w:spacing w:after="0"/>
        <w:rPr>
          <w:b/>
          <w:sz w:val="18"/>
        </w:rPr>
      </w:pPr>
      <w:r w:rsidRPr="00603D9B">
        <w:rPr>
          <w:b/>
          <w:sz w:val="18"/>
        </w:rPr>
        <w:t>K</w:t>
      </w:r>
      <w:r w:rsidR="0075479B" w:rsidRPr="00603D9B">
        <w:rPr>
          <w:b/>
          <w:sz w:val="18"/>
        </w:rPr>
        <w:t>.</w:t>
      </w:r>
      <w:r w:rsidR="0075479B" w:rsidRPr="00603D9B">
        <w:rPr>
          <w:b/>
          <w:sz w:val="18"/>
        </w:rPr>
        <w:tab/>
        <w:t>Registration Amendments</w:t>
      </w:r>
    </w:p>
    <w:p w14:paraId="7EA40629" w14:textId="77777777" w:rsidR="00B317FD" w:rsidRPr="00B317FD" w:rsidRDefault="00B317FD" w:rsidP="00B317FD"/>
    <w:p w14:paraId="758D5950" w14:textId="362F431B" w:rsidR="007547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 xml:space="preserve">Each IAR must notify the CCO if any information required by the Form U-4 becomes outdated.  Depending upon the information updated, an amendment to the Form U-4 may be required.  If such an amendment is required, it will be the responsibility of the CCO </w:t>
      </w:r>
      <w:r w:rsidR="00046F90" w:rsidRPr="00603D9B">
        <w:rPr>
          <w:sz w:val="18"/>
        </w:rPr>
        <w:t xml:space="preserve">or her designated </w:t>
      </w:r>
      <w:r w:rsidR="00925318" w:rsidRPr="00603D9B">
        <w:rPr>
          <w:sz w:val="18"/>
        </w:rPr>
        <w:t>supervisor</w:t>
      </w:r>
      <w:r w:rsidR="002B02A0" w:rsidRPr="00603D9B">
        <w:rPr>
          <w:sz w:val="18"/>
        </w:rPr>
        <w:t xml:space="preserve"> </w:t>
      </w:r>
      <w:r w:rsidR="0011091C">
        <w:rPr>
          <w:sz w:val="18"/>
        </w:rPr>
        <w:t xml:space="preserve">to file the </w:t>
      </w:r>
      <w:r w:rsidRPr="00603D9B">
        <w:rPr>
          <w:sz w:val="18"/>
        </w:rPr>
        <w:t>amendment with the appropriate jurisdiction.</w:t>
      </w:r>
    </w:p>
    <w:p w14:paraId="4AA84D2B" w14:textId="77777777" w:rsidR="0075479B" w:rsidRPr="00603D9B" w:rsidRDefault="00607E6A">
      <w:pPr>
        <w:pStyle w:val="Heading2"/>
        <w:rPr>
          <w:sz w:val="18"/>
        </w:rPr>
      </w:pPr>
      <w:r w:rsidRPr="00603D9B">
        <w:rPr>
          <w:b/>
          <w:sz w:val="18"/>
        </w:rPr>
        <w:lastRenderedPageBreak/>
        <w:t>L</w:t>
      </w:r>
      <w:r w:rsidR="0075479B" w:rsidRPr="00603D9B">
        <w:rPr>
          <w:b/>
          <w:sz w:val="18"/>
        </w:rPr>
        <w:t>.</w:t>
      </w:r>
      <w:r w:rsidR="0075479B" w:rsidRPr="00603D9B">
        <w:rPr>
          <w:b/>
          <w:sz w:val="18"/>
        </w:rPr>
        <w:tab/>
        <w:t>Supervision of Sub-</w:t>
      </w:r>
      <w:r w:rsidR="009A1659" w:rsidRPr="00603D9B">
        <w:rPr>
          <w:b/>
          <w:sz w:val="18"/>
        </w:rPr>
        <w:t>Advisor</w:t>
      </w:r>
      <w:r w:rsidR="0075479B" w:rsidRPr="00603D9B">
        <w:rPr>
          <w:b/>
          <w:sz w:val="18"/>
        </w:rPr>
        <w:t>s</w:t>
      </w:r>
      <w:r w:rsidR="0075479B" w:rsidRPr="00603D9B">
        <w:rPr>
          <w:sz w:val="18"/>
        </w:rPr>
        <w:t xml:space="preserve"> The CCO will be responsible for supervising any sub-</w:t>
      </w:r>
      <w:r w:rsidR="009A1659" w:rsidRPr="00603D9B">
        <w:rPr>
          <w:sz w:val="18"/>
        </w:rPr>
        <w:t>advisor</w:t>
      </w:r>
      <w:r w:rsidR="0075479B" w:rsidRPr="00603D9B">
        <w:rPr>
          <w:sz w:val="18"/>
        </w:rPr>
        <w:t xml:space="preserve"> to whom </w:t>
      </w:r>
      <w:r w:rsidR="00F5771E">
        <w:rPr>
          <w:sz w:val="18"/>
        </w:rPr>
        <w:t>the Company</w:t>
      </w:r>
      <w:r w:rsidR="0075479B" w:rsidRPr="00603D9B">
        <w:rPr>
          <w:sz w:val="18"/>
        </w:rPr>
        <w:t xml:space="preserve"> may refer clients.  This will be accomplished by doing the following:</w:t>
      </w:r>
    </w:p>
    <w:p w14:paraId="35A5553F" w14:textId="5A956550" w:rsidR="0075479B" w:rsidRPr="00603D9B" w:rsidRDefault="0075479B" w:rsidP="00B317FD">
      <w:pPr>
        <w:pStyle w:val="Heading2"/>
        <w:spacing w:after="0"/>
        <w:ind w:firstLine="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r>
      <w:r w:rsidR="003F74E1">
        <w:rPr>
          <w:sz w:val="18"/>
        </w:rPr>
        <w:t xml:space="preserve">      </w:t>
      </w:r>
      <w:r w:rsidR="001752C4">
        <w:rPr>
          <w:sz w:val="18"/>
        </w:rPr>
        <w:t>Periodic re</w:t>
      </w:r>
      <w:r w:rsidR="002424CA" w:rsidRPr="00603D9B">
        <w:rPr>
          <w:sz w:val="18"/>
        </w:rPr>
        <w:t>view</w:t>
      </w:r>
      <w:r w:rsidR="001752C4">
        <w:rPr>
          <w:sz w:val="18"/>
        </w:rPr>
        <w:t xml:space="preserve"> of</w:t>
      </w:r>
      <w:r w:rsidRPr="00603D9B">
        <w:rPr>
          <w:sz w:val="18"/>
        </w:rPr>
        <w:t xml:space="preserve"> the sub-</w:t>
      </w:r>
      <w:r w:rsidR="009A1659" w:rsidRPr="00603D9B">
        <w:rPr>
          <w:sz w:val="18"/>
        </w:rPr>
        <w:t>advisor</w:t>
      </w:r>
      <w:r w:rsidR="002424CA" w:rsidRPr="00603D9B">
        <w:rPr>
          <w:sz w:val="18"/>
        </w:rPr>
        <w:t xml:space="preserve">’s form </w:t>
      </w:r>
      <w:smartTag w:uri="urn:schemas-microsoft-com:office:smarttags" w:element="stockticker">
        <w:r w:rsidR="002424CA" w:rsidRPr="00603D9B">
          <w:rPr>
            <w:sz w:val="18"/>
          </w:rPr>
          <w:t>ADV</w:t>
        </w:r>
      </w:smartTag>
      <w:r w:rsidR="001752C4">
        <w:rPr>
          <w:sz w:val="18"/>
        </w:rPr>
        <w:t>.</w:t>
      </w:r>
    </w:p>
    <w:p w14:paraId="22C41792" w14:textId="09480D54"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sz w:val="18"/>
        </w:rPr>
        <w:tab/>
        <w:t xml:space="preserve">When appropriate, conducting periodic meetings with </w:t>
      </w:r>
      <w:r w:rsidR="00925318" w:rsidRPr="00603D9B">
        <w:rPr>
          <w:sz w:val="18"/>
        </w:rPr>
        <w:t xml:space="preserve">senior management and/or </w:t>
      </w:r>
      <w:r w:rsidRPr="00603D9B">
        <w:rPr>
          <w:sz w:val="18"/>
        </w:rPr>
        <w:t>compliance personnel of the sub-</w:t>
      </w:r>
      <w:r w:rsidR="009A1659" w:rsidRPr="00603D9B">
        <w:rPr>
          <w:sz w:val="18"/>
        </w:rPr>
        <w:t>advisor</w:t>
      </w:r>
      <w:r w:rsidRPr="00603D9B">
        <w:rPr>
          <w:sz w:val="18"/>
        </w:rPr>
        <w:t>;</w:t>
      </w:r>
    </w:p>
    <w:p w14:paraId="57C91308" w14:textId="77777777" w:rsidR="0075479B" w:rsidRDefault="0075479B" w:rsidP="00B317FD">
      <w:pPr>
        <w:pStyle w:val="Heading3"/>
        <w:keepNext/>
        <w:spacing w:after="0"/>
        <w:rPr>
          <w:sz w:val="18"/>
        </w:rPr>
      </w:pPr>
      <w:r w:rsidRPr="00603D9B">
        <w:rPr>
          <w:b/>
          <w:sz w:val="18"/>
        </w:rPr>
        <w:t>3.</w:t>
      </w:r>
      <w:r w:rsidRPr="00603D9B">
        <w:rPr>
          <w:sz w:val="18"/>
        </w:rPr>
        <w:tab/>
        <w:t>Periodically reassess supervisory procedures applicable to the sub-</w:t>
      </w:r>
      <w:r w:rsidR="009A1659" w:rsidRPr="00603D9B">
        <w:rPr>
          <w:sz w:val="18"/>
        </w:rPr>
        <w:t>advisor</w:t>
      </w:r>
      <w:r w:rsidRPr="00603D9B">
        <w:rPr>
          <w:sz w:val="18"/>
        </w:rPr>
        <w:t xml:space="preserve"> in light of:</w:t>
      </w:r>
    </w:p>
    <w:p w14:paraId="57EBEF53" w14:textId="77777777" w:rsidR="00B317FD" w:rsidRPr="00B317FD" w:rsidRDefault="00B317FD" w:rsidP="00B317FD"/>
    <w:p w14:paraId="11491FB1" w14:textId="77777777" w:rsidR="0075479B" w:rsidRPr="00603D9B" w:rsidRDefault="0075479B">
      <w:pPr>
        <w:numPr>
          <w:ilvl w:val="0"/>
          <w:numId w:val="5"/>
        </w:numPr>
        <w:tabs>
          <w:tab w:val="clear" w:pos="-1080"/>
          <w:tab w:val="left" w:pos="2025"/>
        </w:tabs>
        <w:spacing w:line="360" w:lineRule="auto"/>
        <w:ind w:left="2025" w:hanging="427"/>
        <w:rPr>
          <w:sz w:val="18"/>
        </w:rPr>
      </w:pPr>
      <w:r w:rsidRPr="00603D9B">
        <w:rPr>
          <w:sz w:val="18"/>
        </w:rPr>
        <w:t>Changes in a sub-</w:t>
      </w:r>
      <w:r w:rsidR="009A1659" w:rsidRPr="00603D9B">
        <w:rPr>
          <w:sz w:val="18"/>
        </w:rPr>
        <w:t>advisor</w:t>
      </w:r>
      <w:r w:rsidRPr="00603D9B">
        <w:rPr>
          <w:sz w:val="18"/>
        </w:rPr>
        <w:t>’s investment strategy or portfolio manager;</w:t>
      </w:r>
    </w:p>
    <w:p w14:paraId="3D51894A" w14:textId="77777777" w:rsidR="0075479B" w:rsidRPr="00603D9B" w:rsidRDefault="0075479B">
      <w:pPr>
        <w:numPr>
          <w:ilvl w:val="0"/>
          <w:numId w:val="5"/>
        </w:numPr>
        <w:tabs>
          <w:tab w:val="clear" w:pos="-1080"/>
          <w:tab w:val="left" w:pos="2025"/>
        </w:tabs>
        <w:spacing w:line="360" w:lineRule="auto"/>
        <w:ind w:left="2025" w:hanging="427"/>
        <w:rPr>
          <w:sz w:val="18"/>
        </w:rPr>
      </w:pPr>
      <w:r w:rsidRPr="00603D9B">
        <w:rPr>
          <w:sz w:val="18"/>
        </w:rPr>
        <w:t>Significant changes in the sub-</w:t>
      </w:r>
      <w:r w:rsidR="009A1659" w:rsidRPr="00603D9B">
        <w:rPr>
          <w:sz w:val="18"/>
        </w:rPr>
        <w:t>advisor</w:t>
      </w:r>
      <w:r w:rsidRPr="00603D9B">
        <w:rPr>
          <w:sz w:val="18"/>
        </w:rPr>
        <w:t>’s business;</w:t>
      </w:r>
    </w:p>
    <w:p w14:paraId="7C0CBA5D" w14:textId="77777777" w:rsidR="0075479B" w:rsidRPr="00603D9B" w:rsidRDefault="0075479B">
      <w:pPr>
        <w:numPr>
          <w:ilvl w:val="0"/>
          <w:numId w:val="5"/>
        </w:numPr>
        <w:tabs>
          <w:tab w:val="clear" w:pos="-1080"/>
          <w:tab w:val="left" w:pos="2025"/>
        </w:tabs>
        <w:spacing w:line="360" w:lineRule="auto"/>
        <w:ind w:left="2025" w:hanging="427"/>
        <w:rPr>
          <w:sz w:val="18"/>
        </w:rPr>
      </w:pPr>
      <w:r w:rsidRPr="00603D9B">
        <w:rPr>
          <w:sz w:val="18"/>
        </w:rPr>
        <w:t>Dramatic changes in market conditions; or</w:t>
      </w:r>
    </w:p>
    <w:p w14:paraId="0F5683DD" w14:textId="77777777" w:rsidR="005D1700" w:rsidRPr="00603D9B" w:rsidRDefault="0075479B" w:rsidP="005D1700">
      <w:pPr>
        <w:numPr>
          <w:ilvl w:val="0"/>
          <w:numId w:val="5"/>
        </w:numPr>
        <w:tabs>
          <w:tab w:val="clear" w:pos="-1080"/>
          <w:tab w:val="left" w:pos="2025"/>
        </w:tabs>
        <w:spacing w:after="360" w:line="360" w:lineRule="auto"/>
        <w:ind w:left="2025" w:hanging="427"/>
        <w:rPr>
          <w:sz w:val="18"/>
        </w:rPr>
      </w:pPr>
      <w:r w:rsidRPr="00603D9B">
        <w:rPr>
          <w:sz w:val="18"/>
        </w:rPr>
        <w:t>Any other event likely to have a significant effect on the sub-</w:t>
      </w:r>
      <w:r w:rsidR="009A1659" w:rsidRPr="00603D9B">
        <w:rPr>
          <w:sz w:val="18"/>
        </w:rPr>
        <w:t>advisor</w:t>
      </w:r>
      <w:r w:rsidRPr="00603D9B">
        <w:rPr>
          <w:sz w:val="18"/>
        </w:rPr>
        <w:t>’s operations.</w:t>
      </w:r>
    </w:p>
    <w:p w14:paraId="050D755A" w14:textId="0D50C6BE" w:rsidR="005D1700" w:rsidRPr="00603D9B" w:rsidRDefault="005D1700" w:rsidP="005D1700">
      <w:pPr>
        <w:pStyle w:val="Heading3"/>
        <w:rPr>
          <w:sz w:val="18"/>
        </w:rPr>
      </w:pPr>
      <w:r w:rsidRPr="00603D9B">
        <w:rPr>
          <w:sz w:val="18"/>
        </w:rPr>
        <w:t xml:space="preserve"> </w:t>
      </w:r>
      <w:r w:rsidRPr="00603D9B">
        <w:rPr>
          <w:b/>
          <w:sz w:val="18"/>
        </w:rPr>
        <w:t>4.</w:t>
      </w:r>
      <w:r w:rsidR="00B10A19">
        <w:rPr>
          <w:sz w:val="18"/>
        </w:rPr>
        <w:tab/>
        <w:t xml:space="preserve">Review of </w:t>
      </w:r>
      <w:r w:rsidRPr="00603D9B">
        <w:rPr>
          <w:sz w:val="18"/>
        </w:rPr>
        <w:t>due diligence performed by W</w:t>
      </w:r>
      <w:r w:rsidR="00046F90" w:rsidRPr="00603D9B">
        <w:rPr>
          <w:sz w:val="18"/>
        </w:rPr>
        <w:t>ells Fargo</w:t>
      </w:r>
      <w:r w:rsidRPr="00603D9B">
        <w:rPr>
          <w:sz w:val="18"/>
        </w:rPr>
        <w:t xml:space="preserve"> </w:t>
      </w:r>
      <w:r w:rsidR="00545206" w:rsidRPr="00603D9B">
        <w:rPr>
          <w:sz w:val="18"/>
        </w:rPr>
        <w:t>Advisors Manager Strategy</w:t>
      </w:r>
      <w:r w:rsidRPr="00603D9B">
        <w:rPr>
          <w:sz w:val="18"/>
        </w:rPr>
        <w:t xml:space="preserve"> Group when related to sub-</w:t>
      </w:r>
      <w:r w:rsidR="009A1659" w:rsidRPr="00603D9B">
        <w:rPr>
          <w:sz w:val="18"/>
        </w:rPr>
        <w:t>advisor</w:t>
      </w:r>
      <w:r w:rsidRPr="00603D9B">
        <w:rPr>
          <w:sz w:val="18"/>
        </w:rPr>
        <w:t>s utilized within</w:t>
      </w:r>
      <w:r w:rsidR="00D256EF">
        <w:rPr>
          <w:sz w:val="18"/>
        </w:rPr>
        <w:t xml:space="preserve"> the</w:t>
      </w:r>
      <w:r w:rsidRPr="00603D9B">
        <w:rPr>
          <w:sz w:val="18"/>
        </w:rPr>
        <w:t xml:space="preserve"> </w:t>
      </w:r>
      <w:r w:rsidR="00D256EF">
        <w:rPr>
          <w:sz w:val="18"/>
        </w:rPr>
        <w:t>Unified Management Program of</w:t>
      </w:r>
      <w:r w:rsidRPr="00603D9B">
        <w:rPr>
          <w:sz w:val="18"/>
        </w:rPr>
        <w:t xml:space="preserve"> separately managed </w:t>
      </w:r>
      <w:r w:rsidR="00D256EF">
        <w:rPr>
          <w:sz w:val="18"/>
        </w:rPr>
        <w:t>account managers</w:t>
      </w:r>
      <w:r w:rsidRPr="00603D9B">
        <w:rPr>
          <w:sz w:val="18"/>
        </w:rPr>
        <w:t xml:space="preserve"> – including but not limited to:  </w:t>
      </w:r>
      <w:r w:rsidRPr="00D256EF">
        <w:rPr>
          <w:sz w:val="18"/>
        </w:rPr>
        <w:t>Master’s</w:t>
      </w:r>
      <w:r w:rsidR="00B64772" w:rsidRPr="00D256EF">
        <w:rPr>
          <w:sz w:val="18"/>
        </w:rPr>
        <w:t>,</w:t>
      </w:r>
      <w:r w:rsidRPr="00D256EF">
        <w:rPr>
          <w:sz w:val="18"/>
        </w:rPr>
        <w:t xml:space="preserve"> </w:t>
      </w:r>
      <w:r w:rsidR="00B64772" w:rsidRPr="00D256EF">
        <w:rPr>
          <w:sz w:val="18"/>
        </w:rPr>
        <w:t xml:space="preserve">Diversified Managed Allocations, </w:t>
      </w:r>
      <w:r w:rsidR="00DC4C74" w:rsidRPr="00D256EF">
        <w:rPr>
          <w:sz w:val="18"/>
        </w:rPr>
        <w:t xml:space="preserve">Allocation Advisors </w:t>
      </w:r>
      <w:r w:rsidR="00B64772" w:rsidRPr="00D256EF">
        <w:rPr>
          <w:sz w:val="18"/>
        </w:rPr>
        <w:t>and Compass programs.</w:t>
      </w:r>
    </w:p>
    <w:p w14:paraId="705BBCC8" w14:textId="61CDAD95" w:rsidR="00046F90" w:rsidRPr="00B317FD" w:rsidRDefault="0075479B" w:rsidP="00046F90">
      <w:pPr>
        <w:pStyle w:val="Heading1"/>
        <w:jc w:val="left"/>
        <w:rPr>
          <w:sz w:val="24"/>
        </w:rPr>
      </w:pPr>
      <w:r w:rsidRPr="00B317FD">
        <w:rPr>
          <w:sz w:val="24"/>
        </w:rPr>
        <w:fldChar w:fldCharType="begin"/>
      </w:r>
      <w:r w:rsidRPr="00B317FD">
        <w:rPr>
          <w:sz w:val="24"/>
        </w:rPr>
        <w:instrText xml:space="preserve"> SEQ SeqIII \n \*ROMAN \*MERGEFORMAT </w:instrText>
      </w:r>
      <w:r w:rsidRPr="00B317FD">
        <w:rPr>
          <w:sz w:val="24"/>
        </w:rPr>
        <w:fldChar w:fldCharType="separate"/>
      </w:r>
      <w:r w:rsidR="002A078E">
        <w:rPr>
          <w:noProof/>
          <w:sz w:val="24"/>
        </w:rPr>
        <w:t>III</w:t>
      </w:r>
      <w:r w:rsidRPr="00B317FD">
        <w:rPr>
          <w:sz w:val="24"/>
        </w:rPr>
        <w:fldChar w:fldCharType="end"/>
      </w:r>
      <w:r w:rsidRPr="00B317FD">
        <w:rPr>
          <w:sz w:val="24"/>
        </w:rPr>
        <w:t>.</w:t>
      </w:r>
      <w:r w:rsidRPr="00B317FD">
        <w:rPr>
          <w:sz w:val="24"/>
        </w:rPr>
        <w:tab/>
        <w:t xml:space="preserve">Books </w:t>
      </w:r>
      <w:smartTag w:uri="urn:schemas-microsoft-com:office:smarttags" w:element="stockticker">
        <w:r w:rsidRPr="00B317FD">
          <w:rPr>
            <w:sz w:val="24"/>
          </w:rPr>
          <w:t>And</w:t>
        </w:r>
      </w:smartTag>
      <w:r w:rsidRPr="00B317FD">
        <w:rPr>
          <w:sz w:val="24"/>
        </w:rPr>
        <w:t xml:space="preserve"> Records</w:t>
      </w:r>
    </w:p>
    <w:p w14:paraId="0A66429D" w14:textId="70359329" w:rsidR="002D4A54" w:rsidRPr="00603D9B" w:rsidRDefault="0075479B" w:rsidP="00B317FD">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r>
      <w:r w:rsidR="00046F90" w:rsidRPr="00603D9B">
        <w:rPr>
          <w:b/>
          <w:sz w:val="18"/>
        </w:rPr>
        <w:t>Responsibility.</w:t>
      </w:r>
      <w:r w:rsidR="00046F90" w:rsidRPr="00603D9B">
        <w:rPr>
          <w:sz w:val="18"/>
        </w:rPr>
        <w:t xml:space="preserve">  The </w:t>
      </w:r>
      <w:r w:rsidR="00545206" w:rsidRPr="00603D9B">
        <w:rPr>
          <w:sz w:val="18"/>
        </w:rPr>
        <w:t>CCO</w:t>
      </w:r>
      <w:r w:rsidR="00046F90" w:rsidRPr="00603D9B">
        <w:rPr>
          <w:sz w:val="18"/>
        </w:rPr>
        <w:t xml:space="preserve"> is responsible for ensuring that books and records of </w:t>
      </w:r>
      <w:r w:rsidR="00F5771E">
        <w:rPr>
          <w:sz w:val="18"/>
        </w:rPr>
        <w:t>t</w:t>
      </w:r>
      <w:r w:rsidR="00485F39" w:rsidRPr="00603D9B">
        <w:rPr>
          <w:sz w:val="18"/>
        </w:rPr>
        <w:t>he Company</w:t>
      </w:r>
      <w:r w:rsidR="00046F90" w:rsidRPr="00603D9B">
        <w:rPr>
          <w:sz w:val="18"/>
        </w:rPr>
        <w:t xml:space="preserve"> are promptly and accurately prepared and maintained.</w:t>
      </w:r>
    </w:p>
    <w:p w14:paraId="1016418D" w14:textId="7E8651A5"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Five Year Requirements</w:t>
      </w:r>
      <w:r w:rsidRPr="00603D9B">
        <w:rPr>
          <w:sz w:val="18"/>
        </w:rPr>
        <w:t>.  The following records shall be maintained for a period of not less than five (5) years:</w:t>
      </w:r>
    </w:p>
    <w:p w14:paraId="40DD80C2" w14:textId="34EA2AEB"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Journals (cash receipts, cash disbursements, etc.);</w:t>
      </w:r>
    </w:p>
    <w:p w14:paraId="0CA177B5" w14:textId="7196B68C"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sz w:val="18"/>
        </w:rPr>
        <w:tab/>
        <w:t>General ledgers (asset, liability, capital, income/expense accounts, etc.);</w:t>
      </w:r>
    </w:p>
    <w:p w14:paraId="297A1D71" w14:textId="77B10DE8"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sz w:val="18"/>
        </w:rPr>
        <w:tab/>
        <w:t>Order tickets;</w:t>
      </w:r>
    </w:p>
    <w:p w14:paraId="4CC844DA" w14:textId="264D5531"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b/>
          <w:sz w:val="18"/>
        </w:rPr>
        <w:t>.</w:t>
      </w:r>
      <w:r w:rsidRPr="00603D9B">
        <w:rPr>
          <w:sz w:val="18"/>
        </w:rPr>
        <w:tab/>
        <w:t>Check books, bank statements, canceled checks, bala</w:t>
      </w:r>
      <w:r w:rsidR="002424CA" w:rsidRPr="00603D9B">
        <w:rPr>
          <w:sz w:val="18"/>
        </w:rPr>
        <w:t>nce sheets, cash reconciliation</w:t>
      </w:r>
      <w:r w:rsidRPr="00603D9B">
        <w:rPr>
          <w:sz w:val="18"/>
        </w:rPr>
        <w:t>s;</w:t>
      </w:r>
    </w:p>
    <w:p w14:paraId="3A064001" w14:textId="2AC1F05D"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5</w:t>
      </w:r>
      <w:r w:rsidRPr="00603D9B">
        <w:rPr>
          <w:b/>
          <w:sz w:val="18"/>
        </w:rPr>
        <w:fldChar w:fldCharType="end"/>
      </w:r>
      <w:r w:rsidRPr="00603D9B">
        <w:rPr>
          <w:b/>
          <w:sz w:val="18"/>
        </w:rPr>
        <w:t>.</w:t>
      </w:r>
      <w:r w:rsidRPr="00603D9B">
        <w:rPr>
          <w:sz w:val="18"/>
        </w:rPr>
        <w:tab/>
        <w:t>Bills (paid and unpaid);</w:t>
      </w:r>
    </w:p>
    <w:p w14:paraId="1CD233EB" w14:textId="6ACB6C2A"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6</w:t>
      </w:r>
      <w:r w:rsidRPr="00603D9B">
        <w:rPr>
          <w:b/>
          <w:sz w:val="18"/>
        </w:rPr>
        <w:fldChar w:fldCharType="end"/>
      </w:r>
      <w:r w:rsidRPr="00603D9B">
        <w:rPr>
          <w:b/>
          <w:sz w:val="18"/>
        </w:rPr>
        <w:t>.</w:t>
      </w:r>
      <w:r w:rsidRPr="00603D9B">
        <w:rPr>
          <w:sz w:val="18"/>
        </w:rPr>
        <w:tab/>
        <w:t>Trial balances and financial statements;</w:t>
      </w:r>
    </w:p>
    <w:p w14:paraId="471E71C6" w14:textId="02020140"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7</w:t>
      </w:r>
      <w:r w:rsidRPr="00603D9B">
        <w:rPr>
          <w:b/>
          <w:sz w:val="18"/>
        </w:rPr>
        <w:fldChar w:fldCharType="end"/>
      </w:r>
      <w:r w:rsidRPr="00603D9B">
        <w:rPr>
          <w:b/>
          <w:sz w:val="18"/>
        </w:rPr>
        <w:t>.</w:t>
      </w:r>
      <w:r w:rsidRPr="00603D9B">
        <w:rPr>
          <w:sz w:val="18"/>
        </w:rPr>
        <w:tab/>
        <w:t>Written communications received from clients (originals);</w:t>
      </w:r>
    </w:p>
    <w:p w14:paraId="75FF83A1" w14:textId="0DADD03B"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8</w:t>
      </w:r>
      <w:r w:rsidRPr="00603D9B">
        <w:rPr>
          <w:b/>
          <w:sz w:val="18"/>
        </w:rPr>
        <w:fldChar w:fldCharType="end"/>
      </w:r>
      <w:r w:rsidRPr="00603D9B">
        <w:rPr>
          <w:b/>
          <w:sz w:val="18"/>
        </w:rPr>
        <w:t>.</w:t>
      </w:r>
      <w:r w:rsidRPr="00603D9B">
        <w:rPr>
          <w:sz w:val="18"/>
        </w:rPr>
        <w:tab/>
        <w:t>Written communications sent to clients (copies);</w:t>
      </w:r>
    </w:p>
    <w:p w14:paraId="6669BB5C" w14:textId="20B6791F"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9</w:t>
      </w:r>
      <w:r w:rsidRPr="00603D9B">
        <w:rPr>
          <w:b/>
          <w:sz w:val="18"/>
        </w:rPr>
        <w:fldChar w:fldCharType="end"/>
      </w:r>
      <w:r w:rsidRPr="00603D9B">
        <w:rPr>
          <w:b/>
          <w:sz w:val="18"/>
        </w:rPr>
        <w:t>.</w:t>
      </w:r>
      <w:r w:rsidRPr="00603D9B">
        <w:rPr>
          <w:sz w:val="18"/>
        </w:rPr>
        <w:tab/>
        <w:t xml:space="preserve">A list of advisory clients and accounts over which </w:t>
      </w:r>
      <w:r w:rsidR="00F5771E">
        <w:rPr>
          <w:sz w:val="18"/>
        </w:rPr>
        <w:t>t</w:t>
      </w:r>
      <w:r w:rsidR="00485F39" w:rsidRPr="00603D9B">
        <w:rPr>
          <w:sz w:val="18"/>
        </w:rPr>
        <w:t>he Company</w:t>
      </w:r>
      <w:r w:rsidRPr="00603D9B">
        <w:rPr>
          <w:sz w:val="18"/>
        </w:rPr>
        <w:t xml:space="preserve"> has discretion;</w:t>
      </w:r>
    </w:p>
    <w:p w14:paraId="0145ACA4" w14:textId="2D2E886A"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10</w:t>
      </w:r>
      <w:r w:rsidRPr="00603D9B">
        <w:rPr>
          <w:b/>
          <w:sz w:val="18"/>
        </w:rPr>
        <w:fldChar w:fldCharType="end"/>
      </w:r>
      <w:r w:rsidRPr="00603D9B">
        <w:rPr>
          <w:b/>
          <w:sz w:val="18"/>
        </w:rPr>
        <w:t>.</w:t>
      </w:r>
      <w:r w:rsidRPr="00603D9B">
        <w:rPr>
          <w:sz w:val="18"/>
        </w:rPr>
        <w:tab/>
        <w:t>Discretionary power authorization forms (executed);</w:t>
      </w:r>
      <w:r w:rsidR="0014452F">
        <w:rPr>
          <w:sz w:val="18"/>
        </w:rPr>
        <w:t xml:space="preserve"> Written Customer Agreements</w:t>
      </w:r>
    </w:p>
    <w:p w14:paraId="68FCB87D" w14:textId="5EC512AA"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11</w:t>
      </w:r>
      <w:r w:rsidRPr="00603D9B">
        <w:rPr>
          <w:b/>
          <w:sz w:val="18"/>
        </w:rPr>
        <w:fldChar w:fldCharType="end"/>
      </w:r>
      <w:r w:rsidRPr="00603D9B">
        <w:rPr>
          <w:b/>
          <w:sz w:val="18"/>
        </w:rPr>
        <w:t>.</w:t>
      </w:r>
      <w:r w:rsidRPr="00603D9B">
        <w:rPr>
          <w:sz w:val="18"/>
        </w:rPr>
        <w:tab/>
        <w:t>Advertisements</w:t>
      </w:r>
      <w:r w:rsidR="0014452F">
        <w:rPr>
          <w:sz w:val="18"/>
        </w:rPr>
        <w:t xml:space="preserve"> and performance calculations (if any)</w:t>
      </w:r>
      <w:r w:rsidRPr="00603D9B">
        <w:rPr>
          <w:sz w:val="18"/>
        </w:rPr>
        <w:t>;</w:t>
      </w:r>
    </w:p>
    <w:p w14:paraId="423E73FE" w14:textId="2E417A5F"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12</w:t>
      </w:r>
      <w:r w:rsidRPr="00603D9B">
        <w:rPr>
          <w:b/>
          <w:sz w:val="18"/>
        </w:rPr>
        <w:fldChar w:fldCharType="end"/>
      </w:r>
      <w:r w:rsidRPr="00603D9B">
        <w:rPr>
          <w:b/>
          <w:sz w:val="18"/>
        </w:rPr>
        <w:t>.</w:t>
      </w:r>
      <w:r w:rsidRPr="00603D9B">
        <w:rPr>
          <w:sz w:val="18"/>
        </w:rPr>
        <w:tab/>
        <w:t xml:space="preserve">A record of every transaction in a security in which </w:t>
      </w:r>
      <w:r w:rsidR="00F5771E">
        <w:rPr>
          <w:sz w:val="18"/>
        </w:rPr>
        <w:t>t</w:t>
      </w:r>
      <w:r w:rsidR="00485F39" w:rsidRPr="00603D9B">
        <w:rPr>
          <w:sz w:val="18"/>
        </w:rPr>
        <w:t>he Company</w:t>
      </w:r>
      <w:r w:rsidRPr="00603D9B">
        <w:rPr>
          <w:sz w:val="18"/>
        </w:rPr>
        <w:t xml:space="preserve"> holds a direct or indirect ownership</w:t>
      </w:r>
      <w:r w:rsidR="00B41615">
        <w:rPr>
          <w:sz w:val="18"/>
        </w:rPr>
        <w:t xml:space="preserve"> interest</w:t>
      </w:r>
      <w:r w:rsidRPr="00603D9B">
        <w:rPr>
          <w:sz w:val="18"/>
        </w:rPr>
        <w:t>;</w:t>
      </w:r>
    </w:p>
    <w:p w14:paraId="70F4C1BE" w14:textId="2809F00D" w:rsidR="0075479B" w:rsidRDefault="0075479B" w:rsidP="00B65312">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13</w:t>
      </w:r>
      <w:r w:rsidRPr="00603D9B">
        <w:rPr>
          <w:b/>
          <w:sz w:val="18"/>
        </w:rPr>
        <w:fldChar w:fldCharType="end"/>
      </w:r>
      <w:r w:rsidRPr="00603D9B">
        <w:rPr>
          <w:b/>
          <w:sz w:val="18"/>
        </w:rPr>
        <w:t>.</w:t>
      </w:r>
      <w:r w:rsidRPr="00603D9B">
        <w:rPr>
          <w:sz w:val="18"/>
        </w:rPr>
        <w:tab/>
        <w:t xml:space="preserve">Disclosure Document (Form </w:t>
      </w:r>
      <w:smartTag w:uri="urn:schemas-microsoft-com:office:smarttags" w:element="stockticker">
        <w:r w:rsidRPr="00603D9B">
          <w:rPr>
            <w:sz w:val="18"/>
          </w:rPr>
          <w:t>ADV</w:t>
        </w:r>
      </w:smartTag>
      <w:r w:rsidRPr="00603D9B">
        <w:rPr>
          <w:sz w:val="18"/>
        </w:rPr>
        <w:t xml:space="preserve"> Part </w:t>
      </w:r>
      <w:r w:rsidR="003329B6">
        <w:rPr>
          <w:sz w:val="18"/>
        </w:rPr>
        <w:t xml:space="preserve">1 and </w:t>
      </w:r>
      <w:r w:rsidR="00925318" w:rsidRPr="00603D9B">
        <w:rPr>
          <w:sz w:val="18"/>
        </w:rPr>
        <w:t>2A or substitute and each</w:t>
      </w:r>
      <w:r w:rsidRPr="00603D9B">
        <w:rPr>
          <w:sz w:val="18"/>
        </w:rPr>
        <w:t xml:space="preserve"> amendment</w:t>
      </w:r>
      <w:r w:rsidR="00925318" w:rsidRPr="00603D9B">
        <w:rPr>
          <w:sz w:val="18"/>
        </w:rPr>
        <w:t xml:space="preserve"> thereto</w:t>
      </w:r>
      <w:r w:rsidRPr="00603D9B">
        <w:rPr>
          <w:sz w:val="18"/>
        </w:rPr>
        <w:t>);</w:t>
      </w:r>
    </w:p>
    <w:p w14:paraId="78B99A7E" w14:textId="77777777" w:rsidR="007226D5" w:rsidRPr="007226D5" w:rsidRDefault="007226D5" w:rsidP="00B65312">
      <w:pPr>
        <w:spacing w:line="360" w:lineRule="auto"/>
        <w:rPr>
          <w:sz w:val="18"/>
          <w:szCs w:val="18"/>
        </w:rPr>
      </w:pPr>
      <w:r>
        <w:tab/>
      </w:r>
      <w:r>
        <w:tab/>
        <w:t xml:space="preserve">     </w:t>
      </w:r>
      <w:r w:rsidRPr="007226D5">
        <w:rPr>
          <w:b/>
          <w:sz w:val="18"/>
          <w:szCs w:val="18"/>
        </w:rPr>
        <w:t>14</w:t>
      </w:r>
      <w:r>
        <w:rPr>
          <w:sz w:val="18"/>
          <w:szCs w:val="18"/>
        </w:rPr>
        <w:t xml:space="preserve">. </w:t>
      </w:r>
      <w:r w:rsidR="009B56CE">
        <w:rPr>
          <w:sz w:val="18"/>
          <w:szCs w:val="18"/>
        </w:rPr>
        <w:t xml:space="preserve">   </w:t>
      </w:r>
      <w:r>
        <w:rPr>
          <w:sz w:val="18"/>
          <w:szCs w:val="18"/>
        </w:rPr>
        <w:t xml:space="preserve"> IAR Disclosure Document</w:t>
      </w:r>
      <w:r w:rsidR="00B41615">
        <w:rPr>
          <w:sz w:val="18"/>
          <w:szCs w:val="18"/>
        </w:rPr>
        <w:t xml:space="preserve"> (ADV Part 2B)</w:t>
      </w:r>
    </w:p>
    <w:p w14:paraId="0368D960" w14:textId="77777777" w:rsidR="007226D5" w:rsidRPr="007226D5" w:rsidRDefault="007226D5" w:rsidP="007226D5">
      <w:r>
        <w:tab/>
      </w:r>
      <w:r>
        <w:tab/>
        <w:t xml:space="preserve">     </w:t>
      </w:r>
    </w:p>
    <w:p w14:paraId="6867E641" w14:textId="77777777" w:rsidR="0075479B" w:rsidRPr="00603D9B" w:rsidRDefault="007226D5" w:rsidP="00BB1D40">
      <w:pPr>
        <w:pStyle w:val="Heading3"/>
        <w:spacing w:after="0"/>
        <w:rPr>
          <w:sz w:val="18"/>
        </w:rPr>
      </w:pPr>
      <w:r>
        <w:rPr>
          <w:b/>
          <w:sz w:val="18"/>
        </w:rPr>
        <w:lastRenderedPageBreak/>
        <w:t>15</w:t>
      </w:r>
      <w:r w:rsidR="0075479B" w:rsidRPr="00603D9B">
        <w:rPr>
          <w:b/>
          <w:sz w:val="18"/>
        </w:rPr>
        <w:t>.</w:t>
      </w:r>
      <w:r w:rsidR="0075479B" w:rsidRPr="00603D9B">
        <w:rPr>
          <w:sz w:val="18"/>
        </w:rPr>
        <w:tab/>
        <w:t xml:space="preserve">Solicitors’ Disclosure Document (if solicitors refer business to </w:t>
      </w:r>
      <w:r w:rsidR="00872ACB">
        <w:rPr>
          <w:sz w:val="18"/>
        </w:rPr>
        <w:t>t</w:t>
      </w:r>
      <w:r w:rsidR="00485F39" w:rsidRPr="00603D9B">
        <w:rPr>
          <w:sz w:val="18"/>
        </w:rPr>
        <w:t>he Company</w:t>
      </w:r>
      <w:r w:rsidR="0014452F">
        <w:rPr>
          <w:sz w:val="18"/>
        </w:rPr>
        <w:t xml:space="preserve"> or Company </w:t>
      </w:r>
      <w:r w:rsidR="00872ACB">
        <w:rPr>
          <w:sz w:val="18"/>
        </w:rPr>
        <w:t>s</w:t>
      </w:r>
      <w:r w:rsidR="0014452F">
        <w:rPr>
          <w:sz w:val="18"/>
        </w:rPr>
        <w:t xml:space="preserve">olicits </w:t>
      </w:r>
      <w:r w:rsidR="00872ACB">
        <w:rPr>
          <w:sz w:val="18"/>
        </w:rPr>
        <w:t>business to a</w:t>
      </w:r>
      <w:r w:rsidR="0014452F">
        <w:rPr>
          <w:sz w:val="18"/>
        </w:rPr>
        <w:t xml:space="preserve"> third party asset manager</w:t>
      </w:r>
      <w:r w:rsidR="0075479B" w:rsidRPr="00603D9B">
        <w:rPr>
          <w:sz w:val="18"/>
        </w:rPr>
        <w:t>);</w:t>
      </w:r>
    </w:p>
    <w:p w14:paraId="74F93629" w14:textId="77777777" w:rsidR="0075479B" w:rsidRPr="00603D9B" w:rsidRDefault="007226D5" w:rsidP="00BB1D40">
      <w:pPr>
        <w:pStyle w:val="Heading3"/>
        <w:spacing w:after="0"/>
        <w:rPr>
          <w:sz w:val="18"/>
        </w:rPr>
      </w:pPr>
      <w:r>
        <w:rPr>
          <w:b/>
          <w:sz w:val="18"/>
        </w:rPr>
        <w:t>16</w:t>
      </w:r>
      <w:r w:rsidR="0075479B" w:rsidRPr="00603D9B">
        <w:rPr>
          <w:b/>
          <w:sz w:val="18"/>
        </w:rPr>
        <w:t>.</w:t>
      </w:r>
      <w:r w:rsidR="0075479B" w:rsidRPr="00603D9B">
        <w:rPr>
          <w:sz w:val="18"/>
        </w:rPr>
        <w:tab/>
      </w:r>
      <w:r w:rsidR="00872C85" w:rsidRPr="00603D9B">
        <w:rPr>
          <w:sz w:val="18"/>
        </w:rPr>
        <w:t>Copy</w:t>
      </w:r>
      <w:r w:rsidR="0075479B" w:rsidRPr="00603D9B">
        <w:rPr>
          <w:sz w:val="18"/>
        </w:rPr>
        <w:t xml:space="preserve"> of </w:t>
      </w:r>
      <w:r w:rsidR="00872C85" w:rsidRPr="00603D9B">
        <w:rPr>
          <w:sz w:val="18"/>
        </w:rPr>
        <w:t>client</w:t>
      </w:r>
      <w:r w:rsidR="001752C4">
        <w:rPr>
          <w:sz w:val="18"/>
        </w:rPr>
        <w:t xml:space="preserve"> notifications</w:t>
      </w:r>
      <w:r w:rsidR="00872C85" w:rsidRPr="00603D9B">
        <w:rPr>
          <w:sz w:val="18"/>
        </w:rPr>
        <w:t xml:space="preserve"> providing </w:t>
      </w:r>
      <w:r w:rsidR="00F5771E">
        <w:rPr>
          <w:sz w:val="18"/>
        </w:rPr>
        <w:t>t</w:t>
      </w:r>
      <w:r w:rsidR="00485F39" w:rsidRPr="00603D9B">
        <w:rPr>
          <w:sz w:val="18"/>
        </w:rPr>
        <w:t>he Company</w:t>
      </w:r>
      <w:r w:rsidR="00872C85" w:rsidRPr="00603D9B">
        <w:rPr>
          <w:sz w:val="18"/>
        </w:rPr>
        <w:t xml:space="preserve"> Disclosure Document and/o</w:t>
      </w:r>
      <w:r w:rsidR="003329B6">
        <w:rPr>
          <w:sz w:val="18"/>
        </w:rPr>
        <w:t>r statement of material changes, if applicable;</w:t>
      </w:r>
    </w:p>
    <w:p w14:paraId="179FA7FA" w14:textId="52E83903"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14</w:t>
      </w:r>
      <w:r w:rsidRPr="00603D9B">
        <w:rPr>
          <w:b/>
          <w:sz w:val="18"/>
        </w:rPr>
        <w:fldChar w:fldCharType="end"/>
      </w:r>
      <w:r w:rsidR="007226D5">
        <w:rPr>
          <w:b/>
          <w:sz w:val="18"/>
        </w:rPr>
        <w:t>7</w:t>
      </w:r>
      <w:r w:rsidRPr="00603D9B">
        <w:rPr>
          <w:b/>
          <w:sz w:val="18"/>
        </w:rPr>
        <w:t>.</w:t>
      </w:r>
      <w:r w:rsidRPr="00603D9B">
        <w:rPr>
          <w:sz w:val="18"/>
        </w:rPr>
        <w:tab/>
        <w:t xml:space="preserve">Written agreements entered into by </w:t>
      </w:r>
      <w:r w:rsidR="00F5771E">
        <w:rPr>
          <w:sz w:val="18"/>
        </w:rPr>
        <w:t>t</w:t>
      </w:r>
      <w:r w:rsidR="00485F39" w:rsidRPr="00603D9B">
        <w:rPr>
          <w:sz w:val="18"/>
        </w:rPr>
        <w:t>he Company</w:t>
      </w:r>
      <w:r w:rsidRPr="00603D9B">
        <w:rPr>
          <w:sz w:val="18"/>
        </w:rPr>
        <w:t xml:space="preserve"> (maintained for a period of not less than five (5) years </w:t>
      </w:r>
      <w:r w:rsidRPr="00603D9B">
        <w:rPr>
          <w:sz w:val="18"/>
          <w:u w:val="single"/>
        </w:rPr>
        <w:t>after termination of relationship</w:t>
      </w:r>
      <w:r w:rsidR="002424CA" w:rsidRPr="00603D9B">
        <w:rPr>
          <w:sz w:val="18"/>
        </w:rPr>
        <w:t>);</w:t>
      </w:r>
    </w:p>
    <w:p w14:paraId="62FBD6A5" w14:textId="77B75B7F" w:rsidR="002424CA"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15</w:t>
      </w:r>
      <w:r w:rsidRPr="00603D9B">
        <w:rPr>
          <w:b/>
          <w:sz w:val="18"/>
        </w:rPr>
        <w:fldChar w:fldCharType="end"/>
      </w:r>
      <w:r w:rsidR="007226D5">
        <w:rPr>
          <w:b/>
          <w:sz w:val="18"/>
        </w:rPr>
        <w:t>8</w:t>
      </w:r>
      <w:r w:rsidRPr="00603D9B">
        <w:rPr>
          <w:b/>
          <w:sz w:val="18"/>
        </w:rPr>
        <w:t>.</w:t>
      </w:r>
      <w:r w:rsidRPr="00603D9B">
        <w:rPr>
          <w:sz w:val="18"/>
        </w:rPr>
        <w:tab/>
        <w:t>Customer complaint file</w:t>
      </w:r>
      <w:r w:rsidR="002424CA" w:rsidRPr="00603D9B">
        <w:rPr>
          <w:sz w:val="18"/>
        </w:rPr>
        <w:t>;</w:t>
      </w:r>
      <w:r w:rsidRPr="00603D9B">
        <w:rPr>
          <w:sz w:val="18"/>
        </w:rPr>
        <w:t xml:space="preserve"> </w:t>
      </w:r>
    </w:p>
    <w:p w14:paraId="726653F3" w14:textId="0663EB38" w:rsidR="007547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16</w:t>
      </w:r>
      <w:r w:rsidRPr="00603D9B">
        <w:rPr>
          <w:b/>
          <w:sz w:val="18"/>
        </w:rPr>
        <w:fldChar w:fldCharType="end"/>
      </w:r>
      <w:r w:rsidR="007226D5">
        <w:rPr>
          <w:b/>
          <w:sz w:val="18"/>
        </w:rPr>
        <w:t>9</w:t>
      </w:r>
      <w:r w:rsidRPr="00603D9B">
        <w:rPr>
          <w:b/>
          <w:sz w:val="18"/>
        </w:rPr>
        <w:t>.</w:t>
      </w:r>
      <w:r w:rsidRPr="00603D9B">
        <w:rPr>
          <w:sz w:val="18"/>
        </w:rPr>
        <w:tab/>
        <w:t xml:space="preserve">Copies of </w:t>
      </w:r>
      <w:r w:rsidR="00CC5A81">
        <w:rPr>
          <w:sz w:val="18"/>
        </w:rPr>
        <w:t>t</w:t>
      </w:r>
      <w:r w:rsidR="00485F39" w:rsidRPr="00603D9B">
        <w:rPr>
          <w:sz w:val="18"/>
        </w:rPr>
        <w:t>he Company</w:t>
      </w:r>
      <w:r w:rsidRPr="00603D9B">
        <w:rPr>
          <w:sz w:val="18"/>
        </w:rPr>
        <w:t xml:space="preserve"> policies and procedures and any amendments thereto.</w:t>
      </w:r>
    </w:p>
    <w:p w14:paraId="5AAF9394" w14:textId="77777777" w:rsidR="003F74E1" w:rsidRPr="003F74E1" w:rsidRDefault="003F74E1" w:rsidP="003F74E1"/>
    <w:p w14:paraId="1CBD69D0" w14:textId="77777777" w:rsidR="007052F0" w:rsidRPr="00603D9B" w:rsidRDefault="007052F0" w:rsidP="007052F0">
      <w:pPr>
        <w:rPr>
          <w:sz w:val="18"/>
        </w:rPr>
      </w:pPr>
    </w:p>
    <w:p w14:paraId="29910A42" w14:textId="3ED8BEF9"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The Use of Electronic Media to Maintain and Preserve Records</w:t>
      </w:r>
      <w:r w:rsidRPr="00603D9B">
        <w:rPr>
          <w:sz w:val="18"/>
        </w:rPr>
        <w:t xml:space="preserve">.  The CCO shall promptly provide  (1) legible, true, and complete copies of these records in the medium and </w:t>
      </w:r>
      <w:r w:rsidR="002424CA" w:rsidRPr="00603D9B">
        <w:rPr>
          <w:sz w:val="18"/>
        </w:rPr>
        <w:t>format in which they are stored</w:t>
      </w:r>
      <w:r w:rsidRPr="00603D9B">
        <w:rPr>
          <w:sz w:val="18"/>
        </w:rPr>
        <w:t>; and (2) a means to access, view, and print the records upon request by any regulatory authority</w:t>
      </w:r>
    </w:p>
    <w:p w14:paraId="3C435A92" w14:textId="6604DEF2"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D</w:t>
      </w:r>
      <w:r w:rsidRPr="00603D9B">
        <w:rPr>
          <w:b/>
          <w:sz w:val="18"/>
        </w:rPr>
        <w:fldChar w:fldCharType="end"/>
      </w:r>
      <w:r w:rsidRPr="00603D9B">
        <w:rPr>
          <w:b/>
          <w:sz w:val="18"/>
        </w:rPr>
        <w:t>.</w:t>
      </w:r>
      <w:r w:rsidRPr="00603D9B">
        <w:rPr>
          <w:b/>
          <w:sz w:val="18"/>
        </w:rPr>
        <w:tab/>
        <w:t>Corporate Records</w:t>
      </w:r>
      <w:r w:rsidRPr="00603D9B">
        <w:rPr>
          <w:sz w:val="18"/>
        </w:rPr>
        <w:t xml:space="preserve">.  Articles of Incorporation, Minute Books, Stock Certificate Books and other corporate records shall be maintained at all times and for a period of not less than three (3) years after termination of </w:t>
      </w:r>
      <w:r w:rsidR="009F3C52">
        <w:rPr>
          <w:sz w:val="18"/>
        </w:rPr>
        <w:t>t</w:t>
      </w:r>
      <w:r w:rsidR="00485F39" w:rsidRPr="00603D9B">
        <w:rPr>
          <w:sz w:val="18"/>
        </w:rPr>
        <w:t>he Company</w:t>
      </w:r>
      <w:r w:rsidRPr="00603D9B">
        <w:rPr>
          <w:sz w:val="18"/>
        </w:rPr>
        <w:t xml:space="preserve">’s existence.  Such records shall be maintained at a location with reasonable access, and which shall be communicated to the proper regulatory authority upon the required filing of Form </w:t>
      </w:r>
      <w:smartTag w:uri="urn:schemas-microsoft-com:office:smarttags" w:element="stockticker">
        <w:r w:rsidRPr="00603D9B">
          <w:rPr>
            <w:sz w:val="18"/>
          </w:rPr>
          <w:t>ADV</w:t>
        </w:r>
      </w:smartTag>
      <w:r w:rsidRPr="00603D9B">
        <w:rPr>
          <w:sz w:val="18"/>
        </w:rPr>
        <w:t>-W.  Any change in the location of such records will be communicated to the proper regulatory authority promptly.</w:t>
      </w:r>
    </w:p>
    <w:p w14:paraId="7EF66FA6" w14:textId="77777777" w:rsidR="00AA4E65" w:rsidRPr="00603D9B" w:rsidRDefault="0075479B" w:rsidP="00AA4E65">
      <w:pPr>
        <w:pStyle w:val="Heading3"/>
        <w:keepNext/>
        <w:numPr>
          <w:ilvl w:val="0"/>
          <w:numId w:val="24"/>
        </w:numPr>
        <w:rPr>
          <w:b/>
          <w:sz w:val="18"/>
        </w:rPr>
      </w:pPr>
      <w:r w:rsidRPr="00603D9B">
        <w:rPr>
          <w:b/>
          <w:sz w:val="18"/>
        </w:rPr>
        <w:t>Security</w:t>
      </w:r>
    </w:p>
    <w:p w14:paraId="4F2620A0" w14:textId="77777777" w:rsidR="00AA4E65" w:rsidRPr="00603D9B" w:rsidRDefault="00AA4E65" w:rsidP="005B398B">
      <w:pPr>
        <w:pStyle w:val="Heading3"/>
        <w:keepNext/>
        <w:spacing w:after="0"/>
        <w:ind w:hanging="364"/>
        <w:rPr>
          <w:sz w:val="18"/>
        </w:rPr>
      </w:pPr>
      <w:r w:rsidRPr="00603D9B">
        <w:rPr>
          <w:b/>
          <w:sz w:val="18"/>
        </w:rPr>
        <w:t>1</w:t>
      </w:r>
      <w:r w:rsidR="0075479B" w:rsidRPr="00603D9B">
        <w:rPr>
          <w:sz w:val="18"/>
        </w:rPr>
        <w:t>.</w:t>
      </w:r>
      <w:r w:rsidR="0075479B" w:rsidRPr="00603D9B">
        <w:rPr>
          <w:sz w:val="18"/>
        </w:rPr>
        <w:tab/>
        <w:t>The CCO will inform all personnel with access to customer records not to leave their computers unattended unless they a</w:t>
      </w:r>
      <w:r w:rsidR="00992E08">
        <w:rPr>
          <w:sz w:val="18"/>
        </w:rPr>
        <w:t>re turned off or secured in an</w:t>
      </w:r>
      <w:r w:rsidR="0075479B" w:rsidRPr="00603D9B">
        <w:rPr>
          <w:sz w:val="18"/>
        </w:rPr>
        <w:t xml:space="preserve"> appropriate manner.</w:t>
      </w:r>
      <w:r w:rsidR="001A7824">
        <w:rPr>
          <w:sz w:val="18"/>
        </w:rPr>
        <w:t xml:space="preserve">  Screensavers are set to display after 30 minutes of inactivity at a desktop.  Computer passwords are required to be updated every 180 days.</w:t>
      </w:r>
    </w:p>
    <w:p w14:paraId="04BE7491" w14:textId="77777777" w:rsidR="0075479B" w:rsidRDefault="00AA4E65" w:rsidP="005B398B">
      <w:pPr>
        <w:pStyle w:val="Heading3"/>
        <w:keepNext/>
        <w:spacing w:after="0"/>
        <w:ind w:hanging="364"/>
        <w:rPr>
          <w:sz w:val="18"/>
        </w:rPr>
      </w:pPr>
      <w:r w:rsidRPr="00603D9B">
        <w:rPr>
          <w:b/>
          <w:sz w:val="18"/>
        </w:rPr>
        <w:t>2</w:t>
      </w:r>
      <w:r w:rsidR="0075479B" w:rsidRPr="00603D9B">
        <w:rPr>
          <w:sz w:val="18"/>
        </w:rPr>
        <w:t>.</w:t>
      </w:r>
      <w:r w:rsidR="0075479B" w:rsidRPr="00603D9B">
        <w:rPr>
          <w:sz w:val="18"/>
        </w:rPr>
        <w:tab/>
        <w:t xml:space="preserve">The CCO will take steps to assure that whenever an employee/independent contractor leaves </w:t>
      </w:r>
      <w:r w:rsidR="00CC5A81">
        <w:rPr>
          <w:sz w:val="18"/>
        </w:rPr>
        <w:t>t</w:t>
      </w:r>
      <w:r w:rsidR="00485F39" w:rsidRPr="00603D9B">
        <w:rPr>
          <w:sz w:val="18"/>
        </w:rPr>
        <w:t>he Company</w:t>
      </w:r>
      <w:r w:rsidR="0075479B" w:rsidRPr="00603D9B">
        <w:rPr>
          <w:sz w:val="18"/>
        </w:rPr>
        <w:t xml:space="preserve"> any</w:t>
      </w:r>
      <w:r w:rsidR="001752C4">
        <w:rPr>
          <w:sz w:val="18"/>
        </w:rPr>
        <w:t xml:space="preserve"> system accesses,</w:t>
      </w:r>
      <w:r w:rsidR="0075479B" w:rsidRPr="00603D9B">
        <w:rPr>
          <w:sz w:val="18"/>
        </w:rPr>
        <w:t xml:space="preserve"> password</w:t>
      </w:r>
      <w:r w:rsidR="001752C4">
        <w:rPr>
          <w:sz w:val="18"/>
        </w:rPr>
        <w:t>s</w:t>
      </w:r>
      <w:r w:rsidR="0075479B" w:rsidRPr="00603D9B">
        <w:rPr>
          <w:sz w:val="18"/>
        </w:rPr>
        <w:t xml:space="preserve"> or code</w:t>
      </w:r>
      <w:r w:rsidR="001752C4">
        <w:rPr>
          <w:sz w:val="18"/>
        </w:rPr>
        <w:t>s</w:t>
      </w:r>
      <w:r w:rsidR="0075479B" w:rsidRPr="00603D9B">
        <w:rPr>
          <w:sz w:val="18"/>
        </w:rPr>
        <w:t xml:space="preserve"> used to gain access to that p</w:t>
      </w:r>
      <w:r w:rsidR="00992E08">
        <w:rPr>
          <w:sz w:val="18"/>
        </w:rPr>
        <w:t xml:space="preserve">erson’s computer </w:t>
      </w:r>
      <w:r w:rsidR="001752C4">
        <w:rPr>
          <w:sz w:val="18"/>
        </w:rPr>
        <w:t xml:space="preserve">or other company applications </w:t>
      </w:r>
      <w:r w:rsidR="00992E08">
        <w:rPr>
          <w:sz w:val="18"/>
        </w:rPr>
        <w:t>is terminated</w:t>
      </w:r>
      <w:r w:rsidR="0075479B" w:rsidRPr="00603D9B">
        <w:rPr>
          <w:sz w:val="18"/>
        </w:rPr>
        <w:t xml:space="preserve"> or changed.</w:t>
      </w:r>
    </w:p>
    <w:p w14:paraId="198A9B5F" w14:textId="16D81FD3" w:rsidR="00B41615" w:rsidRDefault="00B41615" w:rsidP="001A7824">
      <w:pPr>
        <w:spacing w:line="360" w:lineRule="auto"/>
        <w:ind w:left="1627" w:hanging="360"/>
        <w:rPr>
          <w:sz w:val="18"/>
          <w:szCs w:val="18"/>
        </w:rPr>
      </w:pPr>
      <w:r>
        <w:rPr>
          <w:rFonts w:cs="Arial"/>
          <w:b/>
          <w:bCs/>
          <w:sz w:val="18"/>
        </w:rPr>
        <w:t>3</w:t>
      </w:r>
      <w:r w:rsidRPr="00B41615">
        <w:t>.</w:t>
      </w:r>
      <w:r>
        <w:t xml:space="preserve">  </w:t>
      </w:r>
      <w:r>
        <w:rPr>
          <w:sz w:val="18"/>
          <w:szCs w:val="18"/>
        </w:rPr>
        <w:t>The firm subscribes to KnowBe4, a cyber security firm that allows us to send phishing att</w:t>
      </w:r>
      <w:r w:rsidR="00D256EF">
        <w:rPr>
          <w:sz w:val="18"/>
          <w:szCs w:val="18"/>
        </w:rPr>
        <w:t xml:space="preserve">empts </w:t>
      </w:r>
      <w:r>
        <w:rPr>
          <w:sz w:val="18"/>
          <w:szCs w:val="18"/>
        </w:rPr>
        <w:t xml:space="preserve">to our employees and independent contractors to maintain security awareness.  Additionally, they provide training modules that we may use for those that fail the phishing attempts we initiate, and / or to facilitate </w:t>
      </w:r>
      <w:r w:rsidR="00D256EF">
        <w:rPr>
          <w:sz w:val="18"/>
          <w:szCs w:val="18"/>
        </w:rPr>
        <w:t>cybersecurity</w:t>
      </w:r>
      <w:r>
        <w:rPr>
          <w:sz w:val="18"/>
          <w:szCs w:val="18"/>
        </w:rPr>
        <w:t xml:space="preserve"> awareness training.</w:t>
      </w:r>
    </w:p>
    <w:p w14:paraId="757743EE" w14:textId="77777777" w:rsidR="001A7824" w:rsidRDefault="001A7824" w:rsidP="001A7824">
      <w:pPr>
        <w:spacing w:line="360" w:lineRule="auto"/>
        <w:ind w:left="1627" w:hanging="360"/>
        <w:rPr>
          <w:sz w:val="18"/>
          <w:szCs w:val="18"/>
        </w:rPr>
      </w:pPr>
      <w:r>
        <w:rPr>
          <w:rFonts w:cs="Arial"/>
          <w:b/>
          <w:bCs/>
          <w:sz w:val="18"/>
        </w:rPr>
        <w:t>4.</w:t>
      </w:r>
      <w:r>
        <w:rPr>
          <w:sz w:val="18"/>
          <w:szCs w:val="18"/>
        </w:rPr>
        <w:t xml:space="preserve">    The firm engages an outside business partner to perform penetration testing of our IP address quarterly.</w:t>
      </w:r>
    </w:p>
    <w:p w14:paraId="7B75F90B" w14:textId="77777777" w:rsidR="001752C4" w:rsidRDefault="001752C4" w:rsidP="001A7824">
      <w:pPr>
        <w:spacing w:line="360" w:lineRule="auto"/>
        <w:ind w:left="1627" w:hanging="360"/>
        <w:rPr>
          <w:sz w:val="18"/>
          <w:szCs w:val="18"/>
        </w:rPr>
      </w:pPr>
      <w:r>
        <w:rPr>
          <w:rFonts w:cs="Arial"/>
          <w:b/>
          <w:bCs/>
          <w:sz w:val="18"/>
        </w:rPr>
        <w:t>5.</w:t>
      </w:r>
      <w:r>
        <w:rPr>
          <w:sz w:val="18"/>
          <w:szCs w:val="18"/>
        </w:rPr>
        <w:t xml:space="preserve">     See the firm Cybersecurity Manual for additional security protocols and more detailed information.</w:t>
      </w:r>
    </w:p>
    <w:p w14:paraId="77E0174D" w14:textId="77777777" w:rsidR="001A7824" w:rsidRDefault="001A7824" w:rsidP="001A7824">
      <w:pPr>
        <w:spacing w:line="360" w:lineRule="auto"/>
        <w:ind w:left="1627" w:hanging="360"/>
        <w:rPr>
          <w:sz w:val="18"/>
          <w:szCs w:val="18"/>
        </w:rPr>
      </w:pPr>
    </w:p>
    <w:p w14:paraId="6AEACBFF" w14:textId="77777777" w:rsidR="00AA4E65" w:rsidRDefault="00607E6A" w:rsidP="005B398B">
      <w:pPr>
        <w:pStyle w:val="Heading2"/>
        <w:spacing w:after="0"/>
        <w:rPr>
          <w:sz w:val="18"/>
        </w:rPr>
      </w:pPr>
      <w:r w:rsidRPr="00603D9B">
        <w:rPr>
          <w:b/>
          <w:sz w:val="18"/>
        </w:rPr>
        <w:t>F</w:t>
      </w:r>
      <w:r w:rsidR="0075479B" w:rsidRPr="00603D9B">
        <w:rPr>
          <w:b/>
          <w:sz w:val="18"/>
        </w:rPr>
        <w:t>.</w:t>
      </w:r>
      <w:r w:rsidR="0075479B" w:rsidRPr="00603D9B">
        <w:rPr>
          <w:b/>
          <w:sz w:val="18"/>
        </w:rPr>
        <w:tab/>
        <w:t>E-Mail Retention</w:t>
      </w:r>
      <w:r w:rsidR="00DA6026" w:rsidRPr="00603D9B">
        <w:rPr>
          <w:sz w:val="18"/>
        </w:rPr>
        <w:t> – Advisor shall</w:t>
      </w:r>
      <w:r w:rsidR="0075479B" w:rsidRPr="00603D9B">
        <w:rPr>
          <w:sz w:val="18"/>
        </w:rPr>
        <w:t xml:space="preserve"> maintain a record of all e-mails that pertain to advice being offered, recommendations being made, transactions executed and orders received.  This will be done in such a manner that permits easy location, access and retrieval.  </w:t>
      </w:r>
      <w:r w:rsidR="00485F39" w:rsidRPr="00603D9B">
        <w:rPr>
          <w:sz w:val="18"/>
        </w:rPr>
        <w:t>The Company</w:t>
      </w:r>
      <w:r w:rsidR="0075479B" w:rsidRPr="00603D9B">
        <w:rPr>
          <w:sz w:val="18"/>
        </w:rPr>
        <w:t xml:space="preserve"> will limit access to these records to properly authorized individuals.  The CCO</w:t>
      </w:r>
      <w:r w:rsidR="0052398E" w:rsidRPr="00603D9B">
        <w:rPr>
          <w:sz w:val="18"/>
        </w:rPr>
        <w:t>,</w:t>
      </w:r>
      <w:r w:rsidR="0075479B" w:rsidRPr="00603D9B">
        <w:rPr>
          <w:sz w:val="18"/>
        </w:rPr>
        <w:t xml:space="preserve"> </w:t>
      </w:r>
      <w:r w:rsidR="004F2CD0" w:rsidRPr="00603D9B">
        <w:rPr>
          <w:sz w:val="18"/>
        </w:rPr>
        <w:t xml:space="preserve">or </w:t>
      </w:r>
      <w:r w:rsidR="002424CA" w:rsidRPr="00603D9B">
        <w:rPr>
          <w:sz w:val="18"/>
        </w:rPr>
        <w:t>designated supervisor</w:t>
      </w:r>
      <w:r w:rsidR="0052398E" w:rsidRPr="00603D9B">
        <w:rPr>
          <w:sz w:val="18"/>
        </w:rPr>
        <w:t>,</w:t>
      </w:r>
      <w:r w:rsidR="004F2CD0" w:rsidRPr="00603D9B">
        <w:rPr>
          <w:sz w:val="18"/>
        </w:rPr>
        <w:t xml:space="preserve"> </w:t>
      </w:r>
      <w:r w:rsidR="0075479B" w:rsidRPr="00603D9B">
        <w:rPr>
          <w:sz w:val="18"/>
        </w:rPr>
        <w:t xml:space="preserve">will </w:t>
      </w:r>
      <w:r w:rsidR="00992E08">
        <w:rPr>
          <w:sz w:val="18"/>
        </w:rPr>
        <w:t xml:space="preserve">routinely </w:t>
      </w:r>
      <w:r w:rsidR="0075479B" w:rsidRPr="00603D9B">
        <w:rPr>
          <w:sz w:val="18"/>
        </w:rPr>
        <w:t>revie</w:t>
      </w:r>
      <w:r w:rsidR="00992E08">
        <w:rPr>
          <w:sz w:val="18"/>
        </w:rPr>
        <w:t xml:space="preserve">w E-mail correspondence </w:t>
      </w:r>
      <w:r w:rsidR="0075479B" w:rsidRPr="00603D9B">
        <w:rPr>
          <w:sz w:val="18"/>
        </w:rPr>
        <w:t xml:space="preserve">by sampling approximately </w:t>
      </w:r>
      <w:r w:rsidR="00992E08">
        <w:rPr>
          <w:sz w:val="18"/>
        </w:rPr>
        <w:t>5</w:t>
      </w:r>
      <w:r w:rsidR="0075479B" w:rsidRPr="00603D9B">
        <w:rPr>
          <w:sz w:val="18"/>
        </w:rPr>
        <w:t>% of incoming and outgoing e-mail</w:t>
      </w:r>
      <w:r w:rsidR="00DA6026" w:rsidRPr="00603D9B">
        <w:rPr>
          <w:sz w:val="18"/>
        </w:rPr>
        <w:t xml:space="preserve">, </w:t>
      </w:r>
      <w:r w:rsidR="003329B6">
        <w:rPr>
          <w:sz w:val="18"/>
        </w:rPr>
        <w:t>to include</w:t>
      </w:r>
      <w:r w:rsidR="00DA6026" w:rsidRPr="00603D9B">
        <w:rPr>
          <w:sz w:val="18"/>
        </w:rPr>
        <w:t xml:space="preserve"> e-mail captured due to key words used in our e-mail provider’s system,</w:t>
      </w:r>
      <w:r w:rsidR="002424CA" w:rsidRPr="00603D9B">
        <w:rPr>
          <w:sz w:val="18"/>
        </w:rPr>
        <w:t xml:space="preserve"> </w:t>
      </w:r>
      <w:r w:rsidR="003329B6">
        <w:rPr>
          <w:sz w:val="18"/>
        </w:rPr>
        <w:t xml:space="preserve">but </w:t>
      </w:r>
      <w:r w:rsidR="002424CA" w:rsidRPr="00603D9B">
        <w:rPr>
          <w:sz w:val="18"/>
        </w:rPr>
        <w:t>excluding e-mail sent by issuers or venders</w:t>
      </w:r>
      <w:r w:rsidR="0075479B" w:rsidRPr="00603D9B">
        <w:rPr>
          <w:sz w:val="18"/>
        </w:rPr>
        <w:t>.  The CCO will provide promptly any of the following, if requested by any regulatory authority:</w:t>
      </w:r>
    </w:p>
    <w:p w14:paraId="4CA0EC8C" w14:textId="77777777" w:rsidR="003F74E1" w:rsidRPr="003F74E1" w:rsidRDefault="003F74E1" w:rsidP="003F74E1"/>
    <w:p w14:paraId="549F9AE3" w14:textId="77777777" w:rsidR="00AA4E65" w:rsidRPr="00603D9B" w:rsidRDefault="00AA4E65" w:rsidP="00BB1D40">
      <w:pPr>
        <w:pStyle w:val="Heading2"/>
        <w:spacing w:after="0"/>
        <w:ind w:left="1584"/>
        <w:rPr>
          <w:sz w:val="18"/>
        </w:rPr>
      </w:pPr>
      <w:r w:rsidRPr="00603D9B">
        <w:rPr>
          <w:b/>
          <w:sz w:val="18"/>
        </w:rPr>
        <w:t>1</w:t>
      </w:r>
      <w:r w:rsidR="0075479B" w:rsidRPr="00603D9B">
        <w:rPr>
          <w:sz w:val="18"/>
        </w:rPr>
        <w:t>.</w:t>
      </w:r>
      <w:r w:rsidR="0075479B" w:rsidRPr="00603D9B">
        <w:rPr>
          <w:sz w:val="18"/>
        </w:rPr>
        <w:tab/>
        <w:t>A legible, true, and complete copy of an e-mail in the medium and format in which it is stored;</w:t>
      </w:r>
    </w:p>
    <w:p w14:paraId="0A05E31D" w14:textId="77777777" w:rsidR="00AA4E65" w:rsidRPr="00603D9B" w:rsidRDefault="00AA4E65" w:rsidP="00BB1D40">
      <w:pPr>
        <w:pStyle w:val="Heading2"/>
        <w:spacing w:after="0"/>
        <w:ind w:left="1584"/>
        <w:rPr>
          <w:sz w:val="18"/>
        </w:rPr>
      </w:pPr>
      <w:r w:rsidRPr="00603D9B">
        <w:rPr>
          <w:b/>
          <w:sz w:val="18"/>
        </w:rPr>
        <w:t>2</w:t>
      </w:r>
      <w:r w:rsidR="0075479B" w:rsidRPr="00603D9B">
        <w:rPr>
          <w:sz w:val="18"/>
        </w:rPr>
        <w:t>.</w:t>
      </w:r>
      <w:r w:rsidR="0075479B" w:rsidRPr="00603D9B">
        <w:rPr>
          <w:sz w:val="18"/>
        </w:rPr>
        <w:tab/>
        <w:t>A legible, true, and complete printout of the e-mail; and</w:t>
      </w:r>
    </w:p>
    <w:p w14:paraId="1EE6918D" w14:textId="77777777" w:rsidR="0075479B" w:rsidRDefault="00AA4E65" w:rsidP="00BB1D40">
      <w:pPr>
        <w:pStyle w:val="Heading2"/>
        <w:spacing w:after="0"/>
        <w:ind w:left="1584"/>
        <w:rPr>
          <w:sz w:val="18"/>
        </w:rPr>
      </w:pPr>
      <w:r w:rsidRPr="00603D9B">
        <w:rPr>
          <w:b/>
          <w:sz w:val="18"/>
        </w:rPr>
        <w:t>3</w:t>
      </w:r>
      <w:r w:rsidR="0075479B" w:rsidRPr="00603D9B">
        <w:rPr>
          <w:sz w:val="18"/>
        </w:rPr>
        <w:t>.</w:t>
      </w:r>
      <w:r w:rsidR="0075479B" w:rsidRPr="00603D9B">
        <w:rPr>
          <w:sz w:val="18"/>
        </w:rPr>
        <w:tab/>
        <w:t>Means to access, view, and print the e-mail.</w:t>
      </w:r>
    </w:p>
    <w:p w14:paraId="0E6A82AD" w14:textId="77777777" w:rsidR="005F0FBC" w:rsidRDefault="005F0FBC" w:rsidP="003F74E1"/>
    <w:p w14:paraId="2723E005" w14:textId="77777777" w:rsidR="00AA4E65" w:rsidRDefault="0075479B" w:rsidP="005B398B">
      <w:pPr>
        <w:pStyle w:val="Heading2"/>
        <w:keepNext/>
        <w:numPr>
          <w:ilvl w:val="0"/>
          <w:numId w:val="24"/>
        </w:numPr>
        <w:spacing w:after="0"/>
        <w:rPr>
          <w:b/>
          <w:sz w:val="14"/>
          <w:szCs w:val="18"/>
        </w:rPr>
      </w:pPr>
      <w:r w:rsidRPr="00603D9B">
        <w:rPr>
          <w:b/>
          <w:sz w:val="18"/>
        </w:rPr>
        <w:t xml:space="preserve">Business Continuity Plan </w:t>
      </w:r>
      <w:r w:rsidRPr="00603D9B">
        <w:rPr>
          <w:b/>
          <w:sz w:val="14"/>
          <w:szCs w:val="18"/>
        </w:rPr>
        <w:t>(</w:t>
      </w:r>
      <w:smartTag w:uri="urn:schemas-microsoft-com:office:smarttags" w:element="stockticker">
        <w:r w:rsidRPr="00603D9B">
          <w:rPr>
            <w:b/>
            <w:sz w:val="14"/>
            <w:szCs w:val="18"/>
          </w:rPr>
          <w:t>BCP</w:t>
        </w:r>
      </w:smartTag>
      <w:r w:rsidRPr="00603D9B">
        <w:rPr>
          <w:b/>
          <w:sz w:val="14"/>
          <w:szCs w:val="18"/>
        </w:rPr>
        <w:t>)</w:t>
      </w:r>
    </w:p>
    <w:p w14:paraId="2655E9FF" w14:textId="77777777" w:rsidR="005B398B" w:rsidRPr="005B398B" w:rsidRDefault="005B398B" w:rsidP="005B398B"/>
    <w:p w14:paraId="48FEAEBB" w14:textId="77777777" w:rsidR="00AA4E65" w:rsidRPr="00603D9B" w:rsidRDefault="00AA4E65" w:rsidP="005B398B">
      <w:pPr>
        <w:pStyle w:val="Heading2"/>
        <w:keepNext/>
        <w:spacing w:after="0"/>
        <w:ind w:left="1584"/>
        <w:rPr>
          <w:sz w:val="18"/>
        </w:rPr>
      </w:pPr>
      <w:r w:rsidRPr="00603D9B">
        <w:rPr>
          <w:b/>
          <w:sz w:val="18"/>
        </w:rPr>
        <w:t>1</w:t>
      </w:r>
      <w:r w:rsidR="0075479B" w:rsidRPr="00603D9B">
        <w:rPr>
          <w:b/>
          <w:sz w:val="18"/>
        </w:rPr>
        <w:t>.</w:t>
      </w:r>
      <w:r w:rsidR="0075479B" w:rsidRPr="00603D9B">
        <w:rPr>
          <w:sz w:val="18"/>
        </w:rPr>
        <w:tab/>
      </w:r>
      <w:r w:rsidR="00485F39" w:rsidRPr="00603D9B">
        <w:rPr>
          <w:sz w:val="18"/>
        </w:rPr>
        <w:t>The Company</w:t>
      </w:r>
      <w:r w:rsidR="0075479B" w:rsidRPr="00603D9B">
        <w:rPr>
          <w:sz w:val="18"/>
        </w:rPr>
        <w:t xml:space="preserve"> has in place a </w:t>
      </w:r>
      <w:smartTag w:uri="urn:schemas-microsoft-com:office:smarttags" w:element="stockticker">
        <w:r w:rsidR="0075479B" w:rsidRPr="00603D9B">
          <w:rPr>
            <w:sz w:val="18"/>
          </w:rPr>
          <w:t>BCP</w:t>
        </w:r>
      </w:smartTag>
      <w:r w:rsidR="0075479B" w:rsidRPr="00603D9B">
        <w:rPr>
          <w:sz w:val="18"/>
        </w:rPr>
        <w:t xml:space="preserve"> that addresses a </w:t>
      </w:r>
      <w:r w:rsidR="001752C4" w:rsidRPr="00603D9B">
        <w:rPr>
          <w:sz w:val="18"/>
        </w:rPr>
        <w:t>short-term</w:t>
      </w:r>
      <w:r w:rsidR="0075479B" w:rsidRPr="00603D9B">
        <w:rPr>
          <w:sz w:val="18"/>
        </w:rPr>
        <w:t xml:space="preserve"> interruption to our business, extended interruption (more than 48 hours) and permanent failure of </w:t>
      </w:r>
      <w:r w:rsidR="00CC5A81">
        <w:rPr>
          <w:sz w:val="18"/>
        </w:rPr>
        <w:t>t</w:t>
      </w:r>
      <w:r w:rsidR="00485F39" w:rsidRPr="00603D9B">
        <w:rPr>
          <w:sz w:val="18"/>
        </w:rPr>
        <w:t>he Company</w:t>
      </w:r>
      <w:r w:rsidR="0075479B" w:rsidRPr="00603D9B">
        <w:rPr>
          <w:sz w:val="18"/>
        </w:rPr>
        <w:t>.</w:t>
      </w:r>
    </w:p>
    <w:p w14:paraId="6D8226A1" w14:textId="77777777" w:rsidR="00AA4E65" w:rsidRPr="00603D9B" w:rsidRDefault="00AA4E65" w:rsidP="005B398B">
      <w:pPr>
        <w:pStyle w:val="Heading2"/>
        <w:keepNext/>
        <w:spacing w:after="0"/>
        <w:ind w:left="1584"/>
        <w:rPr>
          <w:sz w:val="18"/>
        </w:rPr>
      </w:pPr>
      <w:r w:rsidRPr="00603D9B">
        <w:rPr>
          <w:b/>
          <w:sz w:val="18"/>
        </w:rPr>
        <w:t>2</w:t>
      </w:r>
      <w:r w:rsidR="0075479B" w:rsidRPr="00603D9B">
        <w:rPr>
          <w:sz w:val="18"/>
        </w:rPr>
        <w:t>.</w:t>
      </w:r>
      <w:r w:rsidR="0075479B" w:rsidRPr="00603D9B">
        <w:rPr>
          <w:sz w:val="18"/>
        </w:rPr>
        <w:tab/>
        <w:t xml:space="preserve">The </w:t>
      </w:r>
      <w:smartTag w:uri="urn:schemas-microsoft-com:office:smarttags" w:element="stockticker">
        <w:r w:rsidR="0075479B" w:rsidRPr="00603D9B">
          <w:rPr>
            <w:sz w:val="18"/>
          </w:rPr>
          <w:t>BCP</w:t>
        </w:r>
      </w:smartTag>
      <w:r w:rsidR="0075479B" w:rsidRPr="00603D9B">
        <w:rPr>
          <w:sz w:val="18"/>
        </w:rPr>
        <w:t xml:space="preserve"> calls for specific management personnel to contact the respective staff members listed as part of their emergency call tree contacts.  Our alternate temporary facility is listed in the </w:t>
      </w:r>
      <w:smartTag w:uri="urn:schemas-microsoft-com:office:smarttags" w:element="stockticker">
        <w:r w:rsidR="0075479B" w:rsidRPr="00603D9B">
          <w:rPr>
            <w:sz w:val="18"/>
          </w:rPr>
          <w:t>BCP</w:t>
        </w:r>
      </w:smartTag>
      <w:r w:rsidR="0075479B" w:rsidRPr="00603D9B">
        <w:rPr>
          <w:sz w:val="18"/>
        </w:rPr>
        <w:t xml:space="preserve">, as well as our second, remote backup facility in the event of a geographic disaster.  In the event of a disaster, Deborah Castiglioni or </w:t>
      </w:r>
      <w:smartTag w:uri="urn:schemas-microsoft-com:office:smarttags" w:element="PersonName">
        <w:r w:rsidR="0075479B" w:rsidRPr="00603D9B">
          <w:rPr>
            <w:sz w:val="18"/>
          </w:rPr>
          <w:t>William Meyer</w:t>
        </w:r>
      </w:smartTag>
      <w:r w:rsidR="00992E08">
        <w:rPr>
          <w:sz w:val="18"/>
        </w:rPr>
        <w:t xml:space="preserve"> will cont</w:t>
      </w:r>
      <w:r w:rsidR="0075479B" w:rsidRPr="00603D9B">
        <w:rPr>
          <w:sz w:val="18"/>
        </w:rPr>
        <w:t xml:space="preserve">act the regulatory authorities to report the emergency and </w:t>
      </w:r>
      <w:r w:rsidR="00872C85" w:rsidRPr="00603D9B">
        <w:rPr>
          <w:sz w:val="18"/>
        </w:rPr>
        <w:t>its</w:t>
      </w:r>
      <w:r w:rsidR="0075479B" w:rsidRPr="00603D9B">
        <w:rPr>
          <w:sz w:val="18"/>
        </w:rPr>
        <w:t xml:space="preserve"> nature. </w:t>
      </w:r>
    </w:p>
    <w:p w14:paraId="3510E181" w14:textId="77777777" w:rsidR="0075479B" w:rsidRPr="00603D9B" w:rsidRDefault="00AA4E65" w:rsidP="005B398B">
      <w:pPr>
        <w:pStyle w:val="Heading2"/>
        <w:keepNext/>
        <w:spacing w:after="0"/>
        <w:ind w:left="1584"/>
        <w:rPr>
          <w:sz w:val="18"/>
        </w:rPr>
      </w:pPr>
      <w:r w:rsidRPr="00603D9B">
        <w:rPr>
          <w:b/>
          <w:sz w:val="18"/>
        </w:rPr>
        <w:t>3</w:t>
      </w:r>
      <w:r w:rsidRPr="00603D9B">
        <w:rPr>
          <w:sz w:val="18"/>
        </w:rPr>
        <w:t xml:space="preserve">.   </w:t>
      </w:r>
      <w:r w:rsidRPr="00603D9B">
        <w:rPr>
          <w:sz w:val="18"/>
        </w:rPr>
        <w:tab/>
      </w:r>
      <w:r w:rsidR="00485F39" w:rsidRPr="00603D9B">
        <w:rPr>
          <w:sz w:val="18"/>
        </w:rPr>
        <w:t>The Company</w:t>
      </w:r>
      <w:r w:rsidR="002B02A0" w:rsidRPr="00603D9B">
        <w:rPr>
          <w:sz w:val="18"/>
        </w:rPr>
        <w:t xml:space="preserve"> </w:t>
      </w:r>
      <w:r w:rsidR="0075479B" w:rsidRPr="00603D9B">
        <w:rPr>
          <w:sz w:val="18"/>
        </w:rPr>
        <w:t xml:space="preserve">will </w:t>
      </w:r>
      <w:r w:rsidR="00AA21C4" w:rsidRPr="00603D9B">
        <w:rPr>
          <w:sz w:val="18"/>
        </w:rPr>
        <w:t>provide</w:t>
      </w:r>
      <w:r w:rsidR="0075479B" w:rsidRPr="00603D9B">
        <w:rPr>
          <w:sz w:val="18"/>
        </w:rPr>
        <w:t xml:space="preserve"> periodic</w:t>
      </w:r>
      <w:r w:rsidR="00AA21C4" w:rsidRPr="00603D9B">
        <w:rPr>
          <w:sz w:val="18"/>
        </w:rPr>
        <w:t xml:space="preserve"> training</w:t>
      </w:r>
      <w:r w:rsidR="0075479B" w:rsidRPr="00603D9B">
        <w:rPr>
          <w:sz w:val="18"/>
        </w:rPr>
        <w:t xml:space="preserve"> </w:t>
      </w:r>
      <w:r w:rsidR="00AA21C4" w:rsidRPr="00603D9B">
        <w:rPr>
          <w:sz w:val="18"/>
        </w:rPr>
        <w:t xml:space="preserve">of staff </w:t>
      </w:r>
      <w:r w:rsidR="0075479B" w:rsidRPr="00603D9B">
        <w:rPr>
          <w:sz w:val="18"/>
        </w:rPr>
        <w:t xml:space="preserve">to help prepare for an unexpected </w:t>
      </w:r>
      <w:r w:rsidR="000B7849" w:rsidRPr="00603D9B">
        <w:rPr>
          <w:sz w:val="18"/>
        </w:rPr>
        <w:t>emergency</w:t>
      </w:r>
      <w:r w:rsidR="004F2CD0" w:rsidRPr="00603D9B">
        <w:rPr>
          <w:sz w:val="18"/>
        </w:rPr>
        <w:t>.</w:t>
      </w:r>
    </w:p>
    <w:p w14:paraId="63A7E4CF" w14:textId="77777777" w:rsidR="0075479B" w:rsidRPr="005B398B" w:rsidRDefault="0075479B">
      <w:pPr>
        <w:tabs>
          <w:tab w:val="left" w:pos="2448"/>
        </w:tabs>
        <w:spacing w:line="360" w:lineRule="auto"/>
        <w:ind w:left="2016"/>
        <w:rPr>
          <w:sz w:val="24"/>
        </w:rPr>
      </w:pPr>
    </w:p>
    <w:p w14:paraId="3B01B5F6" w14:textId="4DF465CC" w:rsidR="0075479B" w:rsidRPr="005B398B" w:rsidRDefault="0075479B">
      <w:pPr>
        <w:pStyle w:val="Heading1"/>
        <w:rPr>
          <w:sz w:val="24"/>
        </w:rPr>
      </w:pPr>
      <w:r w:rsidRPr="005B398B">
        <w:rPr>
          <w:sz w:val="24"/>
        </w:rPr>
        <w:fldChar w:fldCharType="begin"/>
      </w:r>
      <w:r w:rsidRPr="005B398B">
        <w:rPr>
          <w:sz w:val="24"/>
        </w:rPr>
        <w:instrText xml:space="preserve"> SEQ SeqIII \n \*ROMAN \*MERGEFORMAT </w:instrText>
      </w:r>
      <w:r w:rsidRPr="005B398B">
        <w:rPr>
          <w:sz w:val="24"/>
        </w:rPr>
        <w:fldChar w:fldCharType="separate"/>
      </w:r>
      <w:r w:rsidR="002A078E">
        <w:rPr>
          <w:noProof/>
          <w:sz w:val="24"/>
        </w:rPr>
        <w:t>IV</w:t>
      </w:r>
      <w:r w:rsidRPr="005B398B">
        <w:rPr>
          <w:sz w:val="24"/>
        </w:rPr>
        <w:fldChar w:fldCharType="end"/>
      </w:r>
      <w:r w:rsidRPr="005B398B">
        <w:rPr>
          <w:sz w:val="24"/>
        </w:rPr>
        <w:t>.</w:t>
      </w:r>
      <w:r w:rsidRPr="005B398B">
        <w:rPr>
          <w:sz w:val="24"/>
        </w:rPr>
        <w:tab/>
        <w:t>Fiduciary Capacity</w:t>
      </w:r>
    </w:p>
    <w:p w14:paraId="4BAE7343" w14:textId="6ECFCE98" w:rsidR="002D4A54" w:rsidRPr="00603D9B" w:rsidRDefault="0075479B" w:rsidP="005B398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Fiduciary Duty</w:t>
      </w:r>
      <w:r w:rsidRPr="00603D9B">
        <w:rPr>
          <w:sz w:val="18"/>
        </w:rPr>
        <w:t xml:space="preserve">.  Pursuant to </w:t>
      </w:r>
      <w:r w:rsidRPr="00603D9B">
        <w:rPr>
          <w:i/>
          <w:sz w:val="18"/>
        </w:rPr>
        <w:t xml:space="preserve">Section 206 of the </w:t>
      </w:r>
      <w:r w:rsidR="009A1659" w:rsidRPr="00603D9B">
        <w:rPr>
          <w:i/>
          <w:sz w:val="18"/>
        </w:rPr>
        <w:t>Advisor</w:t>
      </w:r>
      <w:r w:rsidRPr="00603D9B">
        <w:rPr>
          <w:i/>
          <w:sz w:val="18"/>
        </w:rPr>
        <w:t>s Act</w:t>
      </w:r>
      <w:r w:rsidRPr="00603D9B">
        <w:rPr>
          <w:sz w:val="18"/>
        </w:rPr>
        <w:t xml:space="preserve">, both </w:t>
      </w:r>
      <w:r w:rsidR="00CC5A81">
        <w:rPr>
          <w:sz w:val="18"/>
        </w:rPr>
        <w:t>t</w:t>
      </w:r>
      <w:r w:rsidR="00485F39" w:rsidRPr="00603D9B">
        <w:rPr>
          <w:sz w:val="18"/>
        </w:rPr>
        <w:t>he Company</w:t>
      </w:r>
      <w:r w:rsidRPr="00603D9B">
        <w:rPr>
          <w:sz w:val="18"/>
        </w:rPr>
        <w:t xml:space="preserve"> and its IAR’s are prohibited from engaging in fraudulent, deceptive or manipulative conduct.  Compliance with this Section involves more than acting with honesty and good faith alone.  It means that </w:t>
      </w:r>
      <w:r w:rsidR="00CC5A81">
        <w:rPr>
          <w:sz w:val="18"/>
        </w:rPr>
        <w:t>t</w:t>
      </w:r>
      <w:r w:rsidR="00485F39" w:rsidRPr="00603D9B">
        <w:rPr>
          <w:sz w:val="18"/>
        </w:rPr>
        <w:t>he Company</w:t>
      </w:r>
      <w:r w:rsidRPr="00603D9B">
        <w:rPr>
          <w:sz w:val="18"/>
        </w:rPr>
        <w:t xml:space="preserve"> has an affirmative duty of utmost good faith to act solely in the best interest of its clients.</w:t>
      </w:r>
      <w:r w:rsidR="005B398B">
        <w:rPr>
          <w:sz w:val="18"/>
        </w:rPr>
        <w:t xml:space="preserve">  </w:t>
      </w:r>
      <w:r w:rsidRPr="00603D9B">
        <w:rPr>
          <w:sz w:val="18"/>
        </w:rPr>
        <w:t>Engaging in any fraudulent or deceitful conduct with clients or potential clients is strictly prohibited.  Examples of fraudulent conduct include, but are no</w:t>
      </w:r>
      <w:r w:rsidR="00764BCB" w:rsidRPr="00603D9B">
        <w:rPr>
          <w:sz w:val="18"/>
        </w:rPr>
        <w:t>t limited to: misrepresentation, nondisclosure of fees, and</w:t>
      </w:r>
      <w:r w:rsidRPr="00603D9B">
        <w:rPr>
          <w:sz w:val="18"/>
        </w:rPr>
        <w:t xml:space="preserve"> misappropriation of client funds.</w:t>
      </w:r>
    </w:p>
    <w:p w14:paraId="7E88A375" w14:textId="4B547F80" w:rsidR="00AA4E65" w:rsidRPr="00603D9B" w:rsidRDefault="003F3B3D" w:rsidP="00992E08">
      <w:pPr>
        <w:spacing w:line="360" w:lineRule="auto"/>
        <w:ind w:left="1166" w:hanging="446"/>
        <w:rPr>
          <w:sz w:val="18"/>
        </w:rPr>
      </w:pPr>
      <w:r w:rsidRPr="00603D9B">
        <w:rPr>
          <w:b/>
          <w:sz w:val="18"/>
        </w:rPr>
        <w:t>B.   Fiduciary Obligations.</w:t>
      </w:r>
      <w:r w:rsidR="0075479B" w:rsidRPr="00603D9B">
        <w:rPr>
          <w:sz w:val="18"/>
        </w:rPr>
        <w:t xml:space="preserve">  </w:t>
      </w:r>
      <w:r w:rsidR="00A1781C">
        <w:rPr>
          <w:sz w:val="18"/>
        </w:rPr>
        <w:t xml:space="preserve">Clients that receive a recommendation to rollover or transfer their qualified plan account assets or transfer their IRA account to an IRA with The Company will receive a written fiduciary attestation.  </w:t>
      </w:r>
      <w:r w:rsidR="00A1781C" w:rsidRPr="00603D9B">
        <w:rPr>
          <w:sz w:val="18"/>
        </w:rPr>
        <w:t xml:space="preserve">The Company and its IAR’s are subject to the following specific fiduciary obligations </w:t>
      </w:r>
      <w:r w:rsidR="00A1781C">
        <w:rPr>
          <w:sz w:val="18"/>
        </w:rPr>
        <w:t>when</w:t>
      </w:r>
      <w:r w:rsidR="00A1781C" w:rsidRPr="00603D9B">
        <w:rPr>
          <w:sz w:val="18"/>
        </w:rPr>
        <w:t xml:space="preserve"> dealing with clients</w:t>
      </w:r>
      <w:r w:rsidR="0075479B" w:rsidRPr="00603D9B">
        <w:rPr>
          <w:sz w:val="18"/>
        </w:rPr>
        <w:t>:</w:t>
      </w:r>
    </w:p>
    <w:p w14:paraId="5AF3C2B4" w14:textId="77777777" w:rsidR="0095696B" w:rsidRPr="00603D9B" w:rsidRDefault="0095696B" w:rsidP="003F3B3D">
      <w:pPr>
        <w:ind w:left="778" w:firstLine="86"/>
        <w:rPr>
          <w:sz w:val="18"/>
        </w:rPr>
      </w:pPr>
    </w:p>
    <w:p w14:paraId="54814F54" w14:textId="77777777" w:rsidR="00AA4E65" w:rsidRDefault="0075479B" w:rsidP="003F74E1">
      <w:pPr>
        <w:pStyle w:val="Heading3"/>
        <w:keepNext/>
        <w:numPr>
          <w:ilvl w:val="0"/>
          <w:numId w:val="27"/>
        </w:numPr>
        <w:spacing w:after="0" w:line="240" w:lineRule="auto"/>
        <w:rPr>
          <w:sz w:val="18"/>
        </w:rPr>
      </w:pPr>
      <w:r w:rsidRPr="00603D9B">
        <w:rPr>
          <w:sz w:val="18"/>
        </w:rPr>
        <w:t>The duty to have a reasonable, independent basis for the investment advice provided;</w:t>
      </w:r>
    </w:p>
    <w:p w14:paraId="7FCD1E7B" w14:textId="77777777" w:rsidR="003F74E1" w:rsidRPr="003F74E1" w:rsidRDefault="003F74E1" w:rsidP="003F74E1"/>
    <w:p w14:paraId="7B175422" w14:textId="77777777" w:rsidR="00AA4E65" w:rsidRDefault="0075479B" w:rsidP="003F74E1">
      <w:pPr>
        <w:pStyle w:val="Heading3"/>
        <w:keepNext/>
        <w:numPr>
          <w:ilvl w:val="0"/>
          <w:numId w:val="27"/>
        </w:numPr>
        <w:spacing w:after="0" w:line="240" w:lineRule="auto"/>
        <w:rPr>
          <w:sz w:val="18"/>
        </w:rPr>
      </w:pPr>
      <w:r w:rsidRPr="00603D9B">
        <w:rPr>
          <w:sz w:val="18"/>
        </w:rPr>
        <w:t xml:space="preserve">The duty to obtain best execution for a client’s securities transactions where the IAR is </w:t>
      </w:r>
      <w:r w:rsidR="001752C4" w:rsidRPr="00603D9B">
        <w:rPr>
          <w:sz w:val="18"/>
        </w:rPr>
        <w:t>able</w:t>
      </w:r>
      <w:r w:rsidRPr="00603D9B">
        <w:rPr>
          <w:sz w:val="18"/>
        </w:rPr>
        <w:t xml:space="preserve"> to direct brokerage transactions for that client;</w:t>
      </w:r>
    </w:p>
    <w:p w14:paraId="49039B81" w14:textId="77777777" w:rsidR="003F74E1" w:rsidRDefault="003F74E1" w:rsidP="003F74E1">
      <w:pPr>
        <w:pStyle w:val="ListParagraph"/>
      </w:pPr>
    </w:p>
    <w:p w14:paraId="2A718725" w14:textId="77777777" w:rsidR="000B7849" w:rsidRDefault="0075479B" w:rsidP="005B398B">
      <w:pPr>
        <w:pStyle w:val="Heading3"/>
        <w:keepNext/>
        <w:numPr>
          <w:ilvl w:val="0"/>
          <w:numId w:val="27"/>
        </w:numPr>
        <w:spacing w:after="0" w:line="240" w:lineRule="auto"/>
        <w:rPr>
          <w:sz w:val="18"/>
        </w:rPr>
      </w:pPr>
      <w:r w:rsidRPr="00603D9B">
        <w:rPr>
          <w:sz w:val="18"/>
        </w:rPr>
        <w:t>The duty to ensure that investment advice is suitable to meeting the client’s individual objectives, needs, and circumstances.</w:t>
      </w:r>
    </w:p>
    <w:p w14:paraId="605A63C4" w14:textId="77777777" w:rsidR="005B398B" w:rsidRDefault="005B398B" w:rsidP="005B398B">
      <w:pPr>
        <w:pStyle w:val="ListParagraph"/>
      </w:pPr>
    </w:p>
    <w:p w14:paraId="06B2416E" w14:textId="77777777" w:rsidR="005B398B" w:rsidRPr="005B398B" w:rsidRDefault="005B398B" w:rsidP="005B398B">
      <w:pPr>
        <w:ind w:left="1570"/>
      </w:pPr>
    </w:p>
    <w:p w14:paraId="7F84C9A9" w14:textId="3B98E1B7" w:rsidR="00D2340E" w:rsidRPr="005B398B" w:rsidRDefault="0075479B" w:rsidP="00D2340E">
      <w:pPr>
        <w:pStyle w:val="Heading4"/>
        <w:ind w:left="0" w:firstLine="0"/>
        <w:jc w:val="left"/>
        <w:rPr>
          <w:b/>
          <w:sz w:val="24"/>
        </w:rPr>
      </w:pPr>
      <w:r w:rsidRPr="005B398B">
        <w:rPr>
          <w:b/>
          <w:sz w:val="24"/>
        </w:rPr>
        <w:fldChar w:fldCharType="begin"/>
      </w:r>
      <w:r w:rsidRPr="005B398B">
        <w:rPr>
          <w:b/>
          <w:sz w:val="24"/>
        </w:rPr>
        <w:instrText xml:space="preserve"> SEQ SeqIII \n \*ROMAN \*MERGEFORMAT </w:instrText>
      </w:r>
      <w:r w:rsidRPr="005B398B">
        <w:rPr>
          <w:b/>
          <w:sz w:val="24"/>
        </w:rPr>
        <w:fldChar w:fldCharType="separate"/>
      </w:r>
      <w:r w:rsidR="002A078E">
        <w:rPr>
          <w:b/>
          <w:noProof/>
          <w:sz w:val="24"/>
        </w:rPr>
        <w:t>V</w:t>
      </w:r>
      <w:r w:rsidRPr="005B398B">
        <w:rPr>
          <w:b/>
          <w:sz w:val="24"/>
        </w:rPr>
        <w:fldChar w:fldCharType="end"/>
      </w:r>
      <w:r w:rsidRPr="005B398B">
        <w:rPr>
          <w:b/>
          <w:sz w:val="24"/>
        </w:rPr>
        <w:t>.</w:t>
      </w:r>
      <w:r w:rsidRPr="005B398B">
        <w:rPr>
          <w:b/>
          <w:sz w:val="24"/>
        </w:rPr>
        <w:tab/>
      </w:r>
      <w:r w:rsidR="00D2340E" w:rsidRPr="005B398B">
        <w:rPr>
          <w:b/>
          <w:sz w:val="24"/>
        </w:rPr>
        <w:t xml:space="preserve">     C</w:t>
      </w:r>
      <w:r w:rsidR="00764BCB" w:rsidRPr="005B398B">
        <w:rPr>
          <w:b/>
          <w:sz w:val="24"/>
        </w:rPr>
        <w:t>lient Accounts a</w:t>
      </w:r>
      <w:r w:rsidRPr="005B398B">
        <w:rPr>
          <w:b/>
          <w:sz w:val="24"/>
        </w:rPr>
        <w:t>nd Documents</w:t>
      </w:r>
    </w:p>
    <w:p w14:paraId="24395B25" w14:textId="77777777" w:rsidR="00AA4E65" w:rsidRPr="00603D9B" w:rsidRDefault="00D2340E" w:rsidP="00D2340E">
      <w:pPr>
        <w:pStyle w:val="Heading4"/>
        <w:ind w:left="1320" w:hanging="550"/>
        <w:jc w:val="left"/>
        <w:rPr>
          <w:sz w:val="18"/>
        </w:rPr>
      </w:pPr>
      <w:r w:rsidRPr="00603D9B">
        <w:rPr>
          <w:b/>
          <w:sz w:val="18"/>
        </w:rPr>
        <w:t xml:space="preserve">A.     </w:t>
      </w:r>
      <w:r w:rsidR="0075479B" w:rsidRPr="00603D9B">
        <w:rPr>
          <w:b/>
          <w:sz w:val="18"/>
        </w:rPr>
        <w:t xml:space="preserve">Client Contracts - </w:t>
      </w:r>
      <w:r w:rsidR="0075479B" w:rsidRPr="00603D9B">
        <w:rPr>
          <w:sz w:val="18"/>
        </w:rPr>
        <w:t>All client contracts must meet, at a minimum, the following</w:t>
      </w:r>
      <w:r w:rsidRPr="00603D9B">
        <w:rPr>
          <w:sz w:val="18"/>
        </w:rPr>
        <w:t xml:space="preserve"> </w:t>
      </w:r>
      <w:r w:rsidR="0075479B" w:rsidRPr="00603D9B">
        <w:rPr>
          <w:sz w:val="18"/>
          <w:u w:val="single"/>
        </w:rPr>
        <w:t>General Requirements</w:t>
      </w:r>
      <w:r w:rsidRPr="00603D9B">
        <w:rPr>
          <w:sz w:val="18"/>
          <w:u w:val="single"/>
        </w:rPr>
        <w:t>:</w:t>
      </w:r>
    </w:p>
    <w:p w14:paraId="476A72EE" w14:textId="77777777" w:rsidR="00AA4E65" w:rsidRPr="00603D9B" w:rsidRDefault="00AA4E65" w:rsidP="00BB1D40">
      <w:pPr>
        <w:pStyle w:val="Heading4"/>
        <w:spacing w:after="0"/>
        <w:ind w:left="0" w:firstLine="0"/>
        <w:jc w:val="left"/>
        <w:rPr>
          <w:sz w:val="18"/>
        </w:rPr>
      </w:pPr>
      <w:r w:rsidRPr="00603D9B">
        <w:rPr>
          <w:sz w:val="18"/>
        </w:rPr>
        <w:t xml:space="preserve"> </w:t>
      </w:r>
      <w:r w:rsidR="00D2340E" w:rsidRPr="00603D9B">
        <w:rPr>
          <w:sz w:val="18"/>
        </w:rPr>
        <w:tab/>
      </w:r>
      <w:r w:rsidR="00D2340E" w:rsidRPr="00603D9B">
        <w:rPr>
          <w:sz w:val="18"/>
        </w:rPr>
        <w:tab/>
        <w:t xml:space="preserve">      </w:t>
      </w:r>
      <w:r w:rsidR="003F74E1">
        <w:rPr>
          <w:sz w:val="18"/>
        </w:rPr>
        <w:t xml:space="preserve">  </w:t>
      </w:r>
      <w:r w:rsidR="00D2340E" w:rsidRPr="00603D9B">
        <w:rPr>
          <w:sz w:val="18"/>
        </w:rPr>
        <w:t xml:space="preserve"> </w:t>
      </w:r>
      <w:r w:rsidR="00D2340E" w:rsidRPr="00603D9B">
        <w:rPr>
          <w:b/>
          <w:sz w:val="18"/>
        </w:rPr>
        <w:t>1</w:t>
      </w:r>
      <w:r w:rsidR="00D2340E" w:rsidRPr="00603D9B">
        <w:rPr>
          <w:sz w:val="18"/>
        </w:rPr>
        <w:t xml:space="preserve">. </w:t>
      </w:r>
      <w:r w:rsidR="00D2340E" w:rsidRPr="00603D9B">
        <w:rPr>
          <w:sz w:val="18"/>
        </w:rPr>
        <w:tab/>
      </w:r>
      <w:r w:rsidR="0075479B" w:rsidRPr="00603D9B">
        <w:rPr>
          <w:sz w:val="18"/>
        </w:rPr>
        <w:t>Contracts must not be assignable without written client consent;</w:t>
      </w:r>
    </w:p>
    <w:p w14:paraId="59C80228" w14:textId="77777777" w:rsidR="00D2340E" w:rsidRPr="00603D9B" w:rsidRDefault="00D2340E" w:rsidP="00BB1D40">
      <w:pPr>
        <w:pStyle w:val="Heading4"/>
        <w:spacing w:after="0"/>
        <w:ind w:left="1719" w:hanging="435"/>
        <w:jc w:val="left"/>
        <w:rPr>
          <w:sz w:val="18"/>
        </w:rPr>
      </w:pPr>
      <w:r w:rsidRPr="00603D9B">
        <w:rPr>
          <w:b/>
          <w:sz w:val="18"/>
        </w:rPr>
        <w:t>2</w:t>
      </w:r>
      <w:r w:rsidRPr="00603D9B">
        <w:rPr>
          <w:sz w:val="18"/>
        </w:rPr>
        <w:t>.</w:t>
      </w:r>
      <w:r w:rsidRPr="00603D9B">
        <w:rPr>
          <w:sz w:val="18"/>
        </w:rPr>
        <w:tab/>
      </w:r>
      <w:r w:rsidR="0075479B" w:rsidRPr="00603D9B">
        <w:rPr>
          <w:sz w:val="18"/>
        </w:rPr>
        <w:t xml:space="preserve">No contract provision or hedge clause may be used to waive </w:t>
      </w:r>
      <w:r w:rsidR="00CC5A81">
        <w:rPr>
          <w:sz w:val="18"/>
        </w:rPr>
        <w:t>t</w:t>
      </w:r>
      <w:r w:rsidR="00485F39" w:rsidRPr="00603D9B">
        <w:rPr>
          <w:sz w:val="18"/>
        </w:rPr>
        <w:t>he Company</w:t>
      </w:r>
      <w:r w:rsidR="0075479B" w:rsidRPr="00603D9B">
        <w:rPr>
          <w:sz w:val="18"/>
        </w:rPr>
        <w:t xml:space="preserve">’s compliance with the </w:t>
      </w:r>
      <w:r w:rsidR="009A1659" w:rsidRPr="00603D9B">
        <w:rPr>
          <w:sz w:val="18"/>
        </w:rPr>
        <w:t>Advisor</w:t>
      </w:r>
      <w:r w:rsidR="0075479B" w:rsidRPr="00603D9B">
        <w:rPr>
          <w:sz w:val="18"/>
        </w:rPr>
        <w:t>s Act or other applicable regulations;</w:t>
      </w:r>
    </w:p>
    <w:p w14:paraId="69078F5F" w14:textId="77777777" w:rsidR="00D2340E" w:rsidRPr="00603D9B" w:rsidRDefault="00D2340E" w:rsidP="00BB1D40">
      <w:pPr>
        <w:pStyle w:val="Heading4"/>
        <w:spacing w:after="0"/>
        <w:ind w:left="1719" w:hanging="435"/>
        <w:jc w:val="left"/>
        <w:rPr>
          <w:sz w:val="18"/>
        </w:rPr>
      </w:pPr>
      <w:r w:rsidRPr="00603D9B">
        <w:rPr>
          <w:b/>
          <w:sz w:val="18"/>
        </w:rPr>
        <w:lastRenderedPageBreak/>
        <w:t>3</w:t>
      </w:r>
      <w:r w:rsidRPr="00603D9B">
        <w:rPr>
          <w:sz w:val="18"/>
        </w:rPr>
        <w:t>.</w:t>
      </w:r>
      <w:r w:rsidRPr="00603D9B">
        <w:rPr>
          <w:sz w:val="18"/>
        </w:rPr>
        <w:tab/>
      </w:r>
      <w:r w:rsidR="0075479B" w:rsidRPr="00603D9B">
        <w:rPr>
          <w:sz w:val="18"/>
        </w:rPr>
        <w:t xml:space="preserve">Contracts may not provide </w:t>
      </w:r>
      <w:r w:rsidR="00CC5A81">
        <w:rPr>
          <w:sz w:val="18"/>
        </w:rPr>
        <w:t>t</w:t>
      </w:r>
      <w:r w:rsidR="00485F39" w:rsidRPr="00603D9B">
        <w:rPr>
          <w:sz w:val="18"/>
        </w:rPr>
        <w:t>he Company</w:t>
      </w:r>
      <w:r w:rsidR="0075479B" w:rsidRPr="00603D9B">
        <w:rPr>
          <w:sz w:val="18"/>
        </w:rPr>
        <w:t xml:space="preserve"> with compensation based upon capital appreciation except under certain limited circumstances;</w:t>
      </w:r>
    </w:p>
    <w:p w14:paraId="62141D5B" w14:textId="77777777" w:rsidR="00D2340E" w:rsidRPr="00603D9B" w:rsidRDefault="00D2340E" w:rsidP="00BB1D40">
      <w:pPr>
        <w:pStyle w:val="Heading4"/>
        <w:spacing w:after="0"/>
        <w:ind w:left="1719" w:hanging="435"/>
        <w:jc w:val="left"/>
        <w:rPr>
          <w:sz w:val="18"/>
        </w:rPr>
      </w:pPr>
      <w:r w:rsidRPr="00603D9B">
        <w:rPr>
          <w:b/>
          <w:sz w:val="18"/>
        </w:rPr>
        <w:t>4</w:t>
      </w:r>
      <w:r w:rsidRPr="00603D9B">
        <w:rPr>
          <w:sz w:val="18"/>
        </w:rPr>
        <w:t>.</w:t>
      </w:r>
      <w:r w:rsidRPr="00603D9B">
        <w:rPr>
          <w:sz w:val="18"/>
        </w:rPr>
        <w:tab/>
      </w:r>
      <w:r w:rsidR="0075479B" w:rsidRPr="00603D9B">
        <w:rPr>
          <w:sz w:val="18"/>
        </w:rPr>
        <w:t>Contracts must include a signed acknowledgmen</w:t>
      </w:r>
      <w:r w:rsidR="003329B6">
        <w:rPr>
          <w:sz w:val="18"/>
        </w:rPr>
        <w:t>t by the client of receipt of</w:t>
      </w:r>
      <w:r w:rsidR="0075479B" w:rsidRPr="00603D9B">
        <w:rPr>
          <w:sz w:val="18"/>
        </w:rPr>
        <w:t xml:space="preserve"> disclosure documents; and,</w:t>
      </w:r>
    </w:p>
    <w:p w14:paraId="38B710D7" w14:textId="77777777" w:rsidR="00D2340E" w:rsidRPr="00603D9B" w:rsidRDefault="00D2340E" w:rsidP="00BB1D40">
      <w:pPr>
        <w:pStyle w:val="Heading4"/>
        <w:spacing w:after="0"/>
        <w:ind w:left="1719" w:hanging="435"/>
        <w:jc w:val="left"/>
        <w:rPr>
          <w:sz w:val="18"/>
        </w:rPr>
      </w:pPr>
      <w:r w:rsidRPr="00603D9B">
        <w:rPr>
          <w:b/>
          <w:sz w:val="18"/>
        </w:rPr>
        <w:t>5</w:t>
      </w:r>
      <w:r w:rsidRPr="00603D9B">
        <w:rPr>
          <w:sz w:val="18"/>
        </w:rPr>
        <w:t>.</w:t>
      </w:r>
      <w:r w:rsidRPr="00603D9B">
        <w:rPr>
          <w:sz w:val="18"/>
        </w:rPr>
        <w:tab/>
      </w:r>
      <w:r w:rsidR="0075479B" w:rsidRPr="00603D9B">
        <w:rPr>
          <w:sz w:val="18"/>
        </w:rPr>
        <w:t xml:space="preserve">All contracts must be in writing and signed by both the client and an authorized representative of </w:t>
      </w:r>
      <w:r w:rsidR="00CC5A81">
        <w:rPr>
          <w:sz w:val="18"/>
        </w:rPr>
        <w:t>t</w:t>
      </w:r>
      <w:r w:rsidR="00485F39" w:rsidRPr="00603D9B">
        <w:rPr>
          <w:sz w:val="18"/>
        </w:rPr>
        <w:t>he Company</w:t>
      </w:r>
      <w:r w:rsidR="0075479B" w:rsidRPr="00603D9B">
        <w:rPr>
          <w:sz w:val="18"/>
        </w:rPr>
        <w:t>.</w:t>
      </w:r>
    </w:p>
    <w:p w14:paraId="620DC758" w14:textId="77777777" w:rsidR="00D2340E" w:rsidRPr="00603D9B" w:rsidRDefault="00D2340E" w:rsidP="00BB1D40">
      <w:pPr>
        <w:pStyle w:val="Heading4"/>
        <w:spacing w:after="0"/>
        <w:ind w:left="1284" w:firstLine="0"/>
        <w:jc w:val="left"/>
        <w:rPr>
          <w:sz w:val="18"/>
        </w:rPr>
      </w:pPr>
      <w:r w:rsidRPr="00603D9B">
        <w:rPr>
          <w:b/>
          <w:sz w:val="18"/>
        </w:rPr>
        <w:t>6</w:t>
      </w:r>
      <w:r w:rsidRPr="00603D9B">
        <w:rPr>
          <w:sz w:val="18"/>
        </w:rPr>
        <w:t>.</w:t>
      </w:r>
      <w:r w:rsidRPr="00603D9B">
        <w:rPr>
          <w:sz w:val="18"/>
        </w:rPr>
        <w:tab/>
      </w:r>
      <w:r w:rsidR="00485F39" w:rsidRPr="00603D9B">
        <w:rPr>
          <w:sz w:val="18"/>
        </w:rPr>
        <w:t>The Company</w:t>
      </w:r>
      <w:r w:rsidR="0075479B" w:rsidRPr="00603D9B">
        <w:rPr>
          <w:sz w:val="18"/>
        </w:rPr>
        <w:t>’s procedures for protecting the confidential</w:t>
      </w:r>
      <w:r w:rsidR="002B02A0" w:rsidRPr="00603D9B">
        <w:rPr>
          <w:sz w:val="18"/>
        </w:rPr>
        <w:t>it</w:t>
      </w:r>
      <w:r w:rsidR="0075479B" w:rsidRPr="00603D9B">
        <w:rPr>
          <w:sz w:val="18"/>
        </w:rPr>
        <w:t>y of client information;</w:t>
      </w:r>
    </w:p>
    <w:p w14:paraId="45A5607F" w14:textId="77777777" w:rsidR="00D2340E" w:rsidRPr="00603D9B" w:rsidRDefault="00D2340E" w:rsidP="00BB1D40">
      <w:pPr>
        <w:pStyle w:val="Heading4"/>
        <w:spacing w:after="0"/>
        <w:ind w:left="1284" w:firstLine="0"/>
        <w:jc w:val="left"/>
        <w:rPr>
          <w:sz w:val="18"/>
        </w:rPr>
      </w:pPr>
      <w:r w:rsidRPr="00603D9B">
        <w:rPr>
          <w:b/>
          <w:sz w:val="18"/>
        </w:rPr>
        <w:t>7</w:t>
      </w:r>
      <w:r w:rsidRPr="00603D9B">
        <w:rPr>
          <w:sz w:val="18"/>
        </w:rPr>
        <w:t>.</w:t>
      </w:r>
      <w:r w:rsidRPr="00603D9B">
        <w:rPr>
          <w:sz w:val="18"/>
        </w:rPr>
        <w:tab/>
      </w:r>
      <w:r w:rsidR="0075479B" w:rsidRPr="00603D9B">
        <w:rPr>
          <w:sz w:val="18"/>
        </w:rPr>
        <w:t>A description of the type and frequency of reports to be provided to clients;</w:t>
      </w:r>
    </w:p>
    <w:p w14:paraId="7473C6B1" w14:textId="77777777" w:rsidR="00D2340E" w:rsidRPr="00603D9B" w:rsidRDefault="0075479B" w:rsidP="00BB1D40">
      <w:pPr>
        <w:pStyle w:val="Heading4"/>
        <w:numPr>
          <w:ilvl w:val="0"/>
          <w:numId w:val="26"/>
        </w:numPr>
        <w:spacing w:after="0"/>
        <w:jc w:val="left"/>
        <w:rPr>
          <w:sz w:val="18"/>
        </w:rPr>
      </w:pPr>
      <w:r w:rsidRPr="00603D9B">
        <w:rPr>
          <w:sz w:val="18"/>
        </w:rPr>
        <w:t>The procedures and time required to terminate the contract;</w:t>
      </w:r>
    </w:p>
    <w:p w14:paraId="189A7D59" w14:textId="77777777" w:rsidR="00D2340E" w:rsidRPr="00603D9B" w:rsidRDefault="0075479B" w:rsidP="00BB1D40">
      <w:pPr>
        <w:pStyle w:val="Heading4"/>
        <w:numPr>
          <w:ilvl w:val="0"/>
          <w:numId w:val="26"/>
        </w:numPr>
        <w:spacing w:after="0"/>
        <w:jc w:val="left"/>
        <w:rPr>
          <w:sz w:val="18"/>
        </w:rPr>
      </w:pPr>
      <w:r w:rsidRPr="00603D9B">
        <w:rPr>
          <w:sz w:val="18"/>
        </w:rPr>
        <w:t>The procedures for fee settlement in the event of termination of the contract; and,</w:t>
      </w:r>
    </w:p>
    <w:p w14:paraId="79C77B59" w14:textId="77777777" w:rsidR="00D2340E" w:rsidRPr="00603D9B" w:rsidRDefault="0075479B" w:rsidP="00BB1D40">
      <w:pPr>
        <w:pStyle w:val="Heading4"/>
        <w:numPr>
          <w:ilvl w:val="0"/>
          <w:numId w:val="26"/>
        </w:numPr>
        <w:spacing w:after="0"/>
        <w:jc w:val="left"/>
        <w:rPr>
          <w:sz w:val="18"/>
        </w:rPr>
      </w:pPr>
      <w:r w:rsidRPr="00603D9B">
        <w:rPr>
          <w:sz w:val="18"/>
        </w:rPr>
        <w:t>The term of the contra</w:t>
      </w:r>
      <w:r w:rsidR="00BB1D40">
        <w:rPr>
          <w:sz w:val="18"/>
        </w:rPr>
        <w:t>ct and any renewal requirements;</w:t>
      </w:r>
    </w:p>
    <w:p w14:paraId="74D3F220" w14:textId="77777777" w:rsidR="00D2340E" w:rsidRPr="00603D9B" w:rsidRDefault="0075479B" w:rsidP="00BB1D40">
      <w:pPr>
        <w:pStyle w:val="Heading4"/>
        <w:numPr>
          <w:ilvl w:val="0"/>
          <w:numId w:val="26"/>
        </w:numPr>
        <w:spacing w:after="0"/>
        <w:jc w:val="left"/>
        <w:rPr>
          <w:sz w:val="18"/>
        </w:rPr>
      </w:pPr>
      <w:r w:rsidRPr="00603D9B">
        <w:rPr>
          <w:sz w:val="18"/>
        </w:rPr>
        <w:t>The existence of any investment guidelines or restrictions on the account;</w:t>
      </w:r>
    </w:p>
    <w:p w14:paraId="01FCABF1" w14:textId="77777777" w:rsidR="0075479B" w:rsidRPr="00603D9B" w:rsidRDefault="00485F39" w:rsidP="00BB1D40">
      <w:pPr>
        <w:pStyle w:val="Heading4"/>
        <w:numPr>
          <w:ilvl w:val="0"/>
          <w:numId w:val="26"/>
        </w:numPr>
        <w:tabs>
          <w:tab w:val="clear" w:pos="1704"/>
          <w:tab w:val="num" w:pos="1650"/>
        </w:tabs>
        <w:spacing w:after="0"/>
        <w:jc w:val="left"/>
        <w:rPr>
          <w:sz w:val="18"/>
        </w:rPr>
      </w:pPr>
      <w:r w:rsidRPr="00603D9B">
        <w:rPr>
          <w:sz w:val="18"/>
        </w:rPr>
        <w:t>The Company</w:t>
      </w:r>
      <w:r w:rsidR="0075479B" w:rsidRPr="00603D9B">
        <w:rPr>
          <w:sz w:val="18"/>
        </w:rPr>
        <w:t>’s use of a</w:t>
      </w:r>
      <w:r w:rsidR="002424A4" w:rsidRPr="00603D9B">
        <w:rPr>
          <w:sz w:val="18"/>
        </w:rPr>
        <w:t>ffiliated broker-dealers and any</w:t>
      </w:r>
      <w:r w:rsidR="0075479B" w:rsidRPr="00603D9B">
        <w:rPr>
          <w:sz w:val="18"/>
        </w:rPr>
        <w:t xml:space="preserve"> inherent conflicts of interest;</w:t>
      </w:r>
    </w:p>
    <w:p w14:paraId="555CE8D5" w14:textId="77777777" w:rsidR="00AA4E65" w:rsidRPr="00603D9B" w:rsidRDefault="00AA4E65" w:rsidP="00AA4E65">
      <w:pPr>
        <w:rPr>
          <w:sz w:val="18"/>
        </w:rPr>
      </w:pPr>
    </w:p>
    <w:p w14:paraId="685D1AA1" w14:textId="77777777" w:rsidR="0075479B" w:rsidRPr="00603D9B" w:rsidRDefault="0075479B">
      <w:pPr>
        <w:pStyle w:val="Heading2"/>
        <w:keepNext/>
        <w:rPr>
          <w:b/>
          <w:sz w:val="18"/>
        </w:rPr>
      </w:pPr>
      <w:r w:rsidRPr="00603D9B">
        <w:rPr>
          <w:b/>
          <w:sz w:val="18"/>
        </w:rPr>
        <w:t>B.</w:t>
      </w:r>
      <w:r w:rsidRPr="00603D9B">
        <w:rPr>
          <w:b/>
          <w:sz w:val="18"/>
        </w:rPr>
        <w:tab/>
        <w:t>Disclosure Documents</w:t>
      </w:r>
    </w:p>
    <w:p w14:paraId="56D38EDE" w14:textId="572BB335"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Brochure Rule</w:t>
      </w:r>
      <w:r w:rsidRPr="00603D9B">
        <w:rPr>
          <w:sz w:val="18"/>
        </w:rPr>
        <w:t xml:space="preserve">.  </w:t>
      </w:r>
      <w:r w:rsidRPr="00603D9B">
        <w:rPr>
          <w:i/>
          <w:sz w:val="18"/>
        </w:rPr>
        <w:t xml:space="preserve">Rule 204-3 of the </w:t>
      </w:r>
      <w:r w:rsidR="009A1659" w:rsidRPr="00603D9B">
        <w:rPr>
          <w:i/>
          <w:sz w:val="18"/>
        </w:rPr>
        <w:t>Advisor</w:t>
      </w:r>
      <w:r w:rsidRPr="00603D9B">
        <w:rPr>
          <w:i/>
          <w:sz w:val="18"/>
        </w:rPr>
        <w:t>s Act</w:t>
      </w:r>
      <w:r w:rsidRPr="00603D9B">
        <w:rPr>
          <w:sz w:val="18"/>
        </w:rPr>
        <w:t xml:space="preserve"> requires </w:t>
      </w:r>
      <w:r w:rsidR="009F3C52">
        <w:rPr>
          <w:sz w:val="18"/>
        </w:rPr>
        <w:t>t</w:t>
      </w:r>
      <w:r w:rsidR="00485F39" w:rsidRPr="00603D9B">
        <w:rPr>
          <w:sz w:val="18"/>
        </w:rPr>
        <w:t>he Company</w:t>
      </w:r>
      <w:r w:rsidRPr="00603D9B">
        <w:rPr>
          <w:sz w:val="18"/>
        </w:rPr>
        <w:t xml:space="preserve"> to provide certain written disclosures to prospective and existing clients at specified times.  </w:t>
      </w:r>
      <w:r w:rsidR="00485F39" w:rsidRPr="00603D9B">
        <w:rPr>
          <w:sz w:val="18"/>
        </w:rPr>
        <w:t>The Company</w:t>
      </w:r>
      <w:r w:rsidRPr="00603D9B">
        <w:rPr>
          <w:sz w:val="18"/>
        </w:rPr>
        <w:t xml:space="preserve"> utilizes the actual Form </w:t>
      </w:r>
      <w:smartTag w:uri="urn:schemas-microsoft-com:office:smarttags" w:element="stockticker">
        <w:r w:rsidRPr="00603D9B">
          <w:rPr>
            <w:sz w:val="18"/>
          </w:rPr>
          <w:t>ADV</w:t>
        </w:r>
      </w:smartTag>
      <w:r w:rsidR="00764BCB" w:rsidRPr="00603D9B">
        <w:rPr>
          <w:sz w:val="18"/>
        </w:rPr>
        <w:t xml:space="preserve"> Part </w:t>
      </w:r>
      <w:r w:rsidR="003329B6">
        <w:rPr>
          <w:sz w:val="18"/>
        </w:rPr>
        <w:t xml:space="preserve">2A </w:t>
      </w:r>
      <w:r w:rsidR="00A1781C">
        <w:rPr>
          <w:sz w:val="18"/>
        </w:rPr>
        <w:t xml:space="preserve">and Form ADV Part 2A Wrap Fee </w:t>
      </w:r>
      <w:r w:rsidR="004C7144">
        <w:rPr>
          <w:sz w:val="18"/>
        </w:rPr>
        <w:t xml:space="preserve">Programs </w:t>
      </w:r>
      <w:r w:rsidR="00992E08">
        <w:rPr>
          <w:sz w:val="18"/>
        </w:rPr>
        <w:t>as it</w:t>
      </w:r>
      <w:r w:rsidRPr="00603D9B">
        <w:rPr>
          <w:sz w:val="18"/>
        </w:rPr>
        <w:t>s disclosure brochure</w:t>
      </w:r>
      <w:r w:rsidR="00A1781C">
        <w:rPr>
          <w:sz w:val="18"/>
        </w:rPr>
        <w:t>(s)</w:t>
      </w:r>
      <w:r w:rsidRPr="00603D9B">
        <w:rPr>
          <w:sz w:val="18"/>
        </w:rPr>
        <w:t>.</w:t>
      </w:r>
    </w:p>
    <w:p w14:paraId="0D1CC892" w14:textId="77777777" w:rsidR="0075479B" w:rsidRPr="00603D9B" w:rsidRDefault="0075479B">
      <w:pPr>
        <w:pStyle w:val="Heading3"/>
        <w:rPr>
          <w:sz w:val="18"/>
        </w:rPr>
      </w:pPr>
      <w:r w:rsidRPr="00603D9B">
        <w:rPr>
          <w:b/>
          <w:sz w:val="18"/>
        </w:rPr>
        <w:t>2.</w:t>
      </w:r>
      <w:r w:rsidRPr="00603D9B">
        <w:rPr>
          <w:b/>
          <w:sz w:val="18"/>
        </w:rPr>
        <w:tab/>
        <w:t>Delivery</w:t>
      </w:r>
      <w:r w:rsidRPr="00603D9B">
        <w:rPr>
          <w:sz w:val="18"/>
        </w:rPr>
        <w:t xml:space="preserve">.  The brochure is furnished to the client or prospective client prior to or at account opening </w:t>
      </w:r>
      <w:r w:rsidR="003F3B3D" w:rsidRPr="00603D9B">
        <w:rPr>
          <w:sz w:val="18"/>
        </w:rPr>
        <w:t>when</w:t>
      </w:r>
      <w:r w:rsidRPr="00603D9B">
        <w:rPr>
          <w:sz w:val="18"/>
        </w:rPr>
        <w:t xml:space="preserve"> the investm</w:t>
      </w:r>
      <w:r w:rsidR="000B7849" w:rsidRPr="00603D9B">
        <w:rPr>
          <w:sz w:val="18"/>
        </w:rPr>
        <w:t>ent advisory contract is signed by the client(s), acknowledging receipt of same.</w:t>
      </w:r>
    </w:p>
    <w:p w14:paraId="24474E6D" w14:textId="49CB951D" w:rsidR="0075479B" w:rsidRPr="00603D9B" w:rsidRDefault="0075479B">
      <w:pPr>
        <w:pStyle w:val="Heading3"/>
        <w:rPr>
          <w:sz w:val="18"/>
        </w:rPr>
      </w:pPr>
      <w:r w:rsidRPr="00603D9B">
        <w:rPr>
          <w:b/>
          <w:sz w:val="18"/>
        </w:rPr>
        <w:t>3.</w:t>
      </w:r>
      <w:r w:rsidRPr="00603D9B">
        <w:rPr>
          <w:b/>
          <w:sz w:val="18"/>
        </w:rPr>
        <w:tab/>
        <w:t>Form of Delivery</w:t>
      </w:r>
      <w:r w:rsidRPr="00603D9B">
        <w:rPr>
          <w:sz w:val="18"/>
        </w:rPr>
        <w:t xml:space="preserve">.  On an annual basis, </w:t>
      </w:r>
      <w:r w:rsidR="00CC5A81">
        <w:rPr>
          <w:sz w:val="18"/>
        </w:rPr>
        <w:t>t</w:t>
      </w:r>
      <w:r w:rsidR="00485F39" w:rsidRPr="00603D9B">
        <w:rPr>
          <w:sz w:val="18"/>
        </w:rPr>
        <w:t>he Company</w:t>
      </w:r>
      <w:r w:rsidRPr="00603D9B">
        <w:rPr>
          <w:sz w:val="18"/>
        </w:rPr>
        <w:t xml:space="preserve"> will deliver </w:t>
      </w:r>
      <w:r w:rsidR="00CC5A81">
        <w:rPr>
          <w:sz w:val="18"/>
        </w:rPr>
        <w:t>a summary of material changes</w:t>
      </w:r>
      <w:r w:rsidR="003329B6">
        <w:rPr>
          <w:sz w:val="18"/>
        </w:rPr>
        <w:t>, if any,</w:t>
      </w:r>
      <w:r w:rsidR="00CC5A81">
        <w:rPr>
          <w:sz w:val="18"/>
        </w:rPr>
        <w:t xml:space="preserve"> to </w:t>
      </w:r>
      <w:r w:rsidR="003329B6">
        <w:rPr>
          <w:sz w:val="18"/>
        </w:rPr>
        <w:t>their ADV 2A</w:t>
      </w:r>
      <w:r w:rsidR="004C7144">
        <w:rPr>
          <w:sz w:val="18"/>
        </w:rPr>
        <w:t xml:space="preserve"> / ADV 2A Wrap Fee Programs brochures</w:t>
      </w:r>
      <w:r w:rsidR="003329B6">
        <w:rPr>
          <w:sz w:val="18"/>
        </w:rPr>
        <w:t xml:space="preserve"> </w:t>
      </w:r>
      <w:r w:rsidR="00764BCB" w:rsidRPr="00603D9B">
        <w:rPr>
          <w:sz w:val="18"/>
        </w:rPr>
        <w:t>since</w:t>
      </w:r>
      <w:r w:rsidR="00CC5A81">
        <w:rPr>
          <w:sz w:val="18"/>
        </w:rPr>
        <w:t xml:space="preserve"> the last version was provided.  If no material changes were made, t</w:t>
      </w:r>
      <w:r w:rsidRPr="00603D9B">
        <w:rPr>
          <w:sz w:val="18"/>
        </w:rPr>
        <w:t>he most current version of the brochure will be mailed</w:t>
      </w:r>
      <w:r w:rsidR="004C7144">
        <w:rPr>
          <w:sz w:val="18"/>
        </w:rPr>
        <w:t xml:space="preserve">, or delivered electronically when authorized by the client, </w:t>
      </w:r>
      <w:r w:rsidRPr="00603D9B">
        <w:rPr>
          <w:sz w:val="18"/>
        </w:rPr>
        <w:t xml:space="preserve">within seven (7) days of </w:t>
      </w:r>
      <w:r w:rsidR="00CC5A81">
        <w:rPr>
          <w:sz w:val="18"/>
        </w:rPr>
        <w:t>a</w:t>
      </w:r>
      <w:r w:rsidRPr="00603D9B">
        <w:rPr>
          <w:sz w:val="18"/>
        </w:rPr>
        <w:t xml:space="preserve"> client’s request.</w:t>
      </w:r>
    </w:p>
    <w:p w14:paraId="5E9866B7" w14:textId="77777777" w:rsidR="0075479B" w:rsidRPr="00603D9B" w:rsidRDefault="0075479B">
      <w:pPr>
        <w:pStyle w:val="Heading2"/>
        <w:keepNext/>
        <w:rPr>
          <w:b/>
          <w:sz w:val="18"/>
        </w:rPr>
      </w:pPr>
      <w:r w:rsidRPr="00603D9B">
        <w:rPr>
          <w:b/>
          <w:sz w:val="18"/>
        </w:rPr>
        <w:t>C.</w:t>
      </w:r>
      <w:r w:rsidRPr="00603D9B">
        <w:rPr>
          <w:b/>
          <w:sz w:val="18"/>
        </w:rPr>
        <w:tab/>
        <w:t>Custody of Client Assets</w:t>
      </w:r>
    </w:p>
    <w:p w14:paraId="17A96063" w14:textId="77777777" w:rsidR="003F3B3D" w:rsidRDefault="0075479B">
      <w:pPr>
        <w:spacing w:after="360" w:line="360" w:lineRule="auto"/>
        <w:ind w:left="1650" w:hanging="440"/>
        <w:rPr>
          <w:sz w:val="18"/>
        </w:rPr>
      </w:pPr>
      <w:r w:rsidRPr="00603D9B">
        <w:rPr>
          <w:b/>
          <w:sz w:val="18"/>
        </w:rPr>
        <w:t xml:space="preserve">1.  </w:t>
      </w:r>
      <w:r w:rsidR="003F74E1">
        <w:rPr>
          <w:b/>
          <w:sz w:val="18"/>
        </w:rPr>
        <w:t xml:space="preserve">  </w:t>
      </w:r>
      <w:r w:rsidRPr="00603D9B">
        <w:rPr>
          <w:b/>
          <w:sz w:val="18"/>
        </w:rPr>
        <w:t>Definition of Custody</w:t>
      </w:r>
      <w:r w:rsidRPr="00603D9B">
        <w:rPr>
          <w:sz w:val="18"/>
        </w:rPr>
        <w:t xml:space="preserve">.  Investment </w:t>
      </w:r>
      <w:r w:rsidR="009A1659" w:rsidRPr="00603D9B">
        <w:rPr>
          <w:sz w:val="18"/>
        </w:rPr>
        <w:t>advisor</w:t>
      </w:r>
      <w:r w:rsidRPr="00603D9B">
        <w:rPr>
          <w:sz w:val="18"/>
        </w:rPr>
        <w:t xml:space="preserve">s with custody or possession of advisory client funds or securities must comply with Rule 206(4)-2, under the </w:t>
      </w:r>
      <w:r w:rsidR="009A1659" w:rsidRPr="00603D9B">
        <w:rPr>
          <w:sz w:val="18"/>
        </w:rPr>
        <w:t>Advisor</w:t>
      </w:r>
      <w:r w:rsidRPr="00603D9B">
        <w:rPr>
          <w:sz w:val="18"/>
        </w:rPr>
        <w:t xml:space="preserve">s Act.  Rule 206(4)-2 is designed to protect clients from insolvency of the </w:t>
      </w:r>
      <w:r w:rsidR="009A1659" w:rsidRPr="00603D9B">
        <w:rPr>
          <w:sz w:val="18"/>
        </w:rPr>
        <w:t>advisor</w:t>
      </w:r>
      <w:r w:rsidRPr="00603D9B">
        <w:rPr>
          <w:sz w:val="18"/>
        </w:rPr>
        <w:t xml:space="preserve"> and misappropriation of their assets by requiring such </w:t>
      </w:r>
      <w:r w:rsidR="009A1659" w:rsidRPr="00603D9B">
        <w:rPr>
          <w:sz w:val="18"/>
        </w:rPr>
        <w:t>advisor</w:t>
      </w:r>
      <w:r w:rsidRPr="00603D9B">
        <w:rPr>
          <w:sz w:val="18"/>
        </w:rPr>
        <w:t xml:space="preserve">s to institute certain safeguards.  The amended Rule defines custody as holding, whether directly or indirectly, a client’s funds or securities or having authority to take possession of them.  An </w:t>
      </w:r>
      <w:r w:rsidR="009A1659" w:rsidRPr="00603D9B">
        <w:rPr>
          <w:sz w:val="18"/>
        </w:rPr>
        <w:t>advisor</w:t>
      </w:r>
      <w:r w:rsidRPr="00603D9B">
        <w:rPr>
          <w:sz w:val="18"/>
        </w:rPr>
        <w:t xml:space="preserve"> also has custody if it is authorized to deduct fees or expenses directly from the client’s account.</w:t>
      </w:r>
    </w:p>
    <w:p w14:paraId="57E36AA3" w14:textId="77777777" w:rsidR="00872ACB" w:rsidRPr="0034375E" w:rsidRDefault="00872ACB">
      <w:pPr>
        <w:spacing w:after="360" w:line="360" w:lineRule="auto"/>
        <w:ind w:left="1650" w:hanging="440"/>
        <w:rPr>
          <w:sz w:val="18"/>
        </w:rPr>
      </w:pPr>
      <w:r>
        <w:rPr>
          <w:b/>
          <w:sz w:val="18"/>
        </w:rPr>
        <w:t xml:space="preserve">         </w:t>
      </w:r>
      <w:r w:rsidRPr="0034375E">
        <w:rPr>
          <w:sz w:val="18"/>
        </w:rPr>
        <w:t xml:space="preserve">The Company performs certain functions that require us to have </w:t>
      </w:r>
      <w:r w:rsidR="0034375E" w:rsidRPr="0034375E">
        <w:rPr>
          <w:sz w:val="18"/>
        </w:rPr>
        <w:t xml:space="preserve">“incidental” </w:t>
      </w:r>
      <w:r w:rsidRPr="0034375E">
        <w:rPr>
          <w:sz w:val="18"/>
        </w:rPr>
        <w:t xml:space="preserve">custody of client assets.  </w:t>
      </w:r>
      <w:r w:rsidR="0034375E" w:rsidRPr="0034375E">
        <w:rPr>
          <w:sz w:val="18"/>
        </w:rPr>
        <w:t xml:space="preserve">Although all client funds are held by a qualified custodian, </w:t>
      </w:r>
      <w:r w:rsidR="00DC4C74">
        <w:rPr>
          <w:sz w:val="18"/>
        </w:rPr>
        <w:t xml:space="preserve">the custodian requires us only to attest that we have a client’s written instruction for the transfer or issuance of funds or securities – they do not require us to produce the client signed request.  In addition, </w:t>
      </w:r>
      <w:r w:rsidR="0034375E" w:rsidRPr="0034375E">
        <w:rPr>
          <w:sz w:val="18"/>
        </w:rPr>
        <w:t xml:space="preserve">due to </w:t>
      </w:r>
      <w:r w:rsidR="00DC4C74">
        <w:rPr>
          <w:sz w:val="18"/>
        </w:rPr>
        <w:t xml:space="preserve">performance of </w:t>
      </w:r>
      <w:r w:rsidR="0034375E" w:rsidRPr="0034375E">
        <w:rPr>
          <w:sz w:val="18"/>
        </w:rPr>
        <w:t xml:space="preserve">certain functions, such as the deduction of client fees, </w:t>
      </w:r>
      <w:r w:rsidRPr="0034375E">
        <w:rPr>
          <w:sz w:val="18"/>
        </w:rPr>
        <w:t xml:space="preserve">deposits </w:t>
      </w:r>
      <w:r w:rsidR="0034375E" w:rsidRPr="0034375E">
        <w:rPr>
          <w:sz w:val="18"/>
        </w:rPr>
        <w:t xml:space="preserve">of </w:t>
      </w:r>
      <w:r w:rsidRPr="0034375E">
        <w:rPr>
          <w:sz w:val="18"/>
        </w:rPr>
        <w:t>securities certificates</w:t>
      </w:r>
      <w:r w:rsidR="0034375E" w:rsidRPr="0034375E">
        <w:rPr>
          <w:sz w:val="18"/>
        </w:rPr>
        <w:t xml:space="preserve"> and/or journaling cash and/or securities amongst </w:t>
      </w:r>
      <w:r w:rsidR="0034375E" w:rsidRPr="0034375E">
        <w:rPr>
          <w:sz w:val="18"/>
        </w:rPr>
        <w:lastRenderedPageBreak/>
        <w:t xml:space="preserve">accounts with the same registration without requiring written authorization from the client, the Company is deemed to have custody and must undergo a surprise </w:t>
      </w:r>
      <w:r w:rsidR="00307AA0">
        <w:rPr>
          <w:sz w:val="18"/>
        </w:rPr>
        <w:t xml:space="preserve">custody </w:t>
      </w:r>
      <w:r w:rsidR="0034375E" w:rsidRPr="0034375E">
        <w:rPr>
          <w:sz w:val="18"/>
        </w:rPr>
        <w:t>audit examination.</w:t>
      </w:r>
    </w:p>
    <w:p w14:paraId="4A7EE3A7" w14:textId="77777777" w:rsidR="0034375E" w:rsidRDefault="0034375E">
      <w:pPr>
        <w:spacing w:after="360" w:line="360" w:lineRule="auto"/>
        <w:ind w:left="1650" w:hanging="440"/>
        <w:rPr>
          <w:sz w:val="18"/>
        </w:rPr>
      </w:pPr>
      <w:r w:rsidRPr="0034375E">
        <w:rPr>
          <w:sz w:val="18"/>
        </w:rPr>
        <w:t xml:space="preserve">          Each calendar year the client</w:t>
      </w:r>
      <w:r>
        <w:rPr>
          <w:sz w:val="18"/>
        </w:rPr>
        <w:t>’</w:t>
      </w:r>
      <w:r w:rsidRPr="0034375E">
        <w:rPr>
          <w:sz w:val="18"/>
        </w:rPr>
        <w:t>s funds and securities</w:t>
      </w:r>
      <w:r>
        <w:rPr>
          <w:sz w:val="18"/>
        </w:rPr>
        <w:t>, over</w:t>
      </w:r>
      <w:r w:rsidRPr="0034375E">
        <w:rPr>
          <w:sz w:val="18"/>
        </w:rPr>
        <w:t xml:space="preserve"> which the firm has custody</w:t>
      </w:r>
      <w:r>
        <w:rPr>
          <w:sz w:val="18"/>
        </w:rPr>
        <w:t>,</w:t>
      </w:r>
      <w:r w:rsidRPr="0034375E">
        <w:rPr>
          <w:sz w:val="18"/>
        </w:rPr>
        <w:t xml:space="preserve"> are verified by actual examination by an independent public accountant, pursuant to a written agreement</w:t>
      </w:r>
      <w:r>
        <w:rPr>
          <w:sz w:val="18"/>
        </w:rPr>
        <w:t>.  The independent public accountant retained to perform the independent verification (surprise exam) must be registered with, and subject to regular inspection by the Public Company Accounting Oversight Board (“PCAOB”) in accordance with its rules.  The audit is conducted</w:t>
      </w:r>
      <w:r w:rsidRPr="0034375E">
        <w:rPr>
          <w:sz w:val="18"/>
        </w:rPr>
        <w:t xml:space="preserve"> at a time that is chosen by the accountant, without prior notice or announcement to the firm.</w:t>
      </w:r>
      <w:r>
        <w:rPr>
          <w:sz w:val="18"/>
        </w:rPr>
        <w:t xml:space="preserve">  </w:t>
      </w:r>
    </w:p>
    <w:p w14:paraId="00F061DA" w14:textId="77777777" w:rsidR="0034375E" w:rsidRDefault="0034375E">
      <w:pPr>
        <w:spacing w:after="360" w:line="360" w:lineRule="auto"/>
        <w:ind w:left="1650" w:hanging="440"/>
        <w:rPr>
          <w:sz w:val="18"/>
        </w:rPr>
      </w:pPr>
      <w:r>
        <w:rPr>
          <w:sz w:val="18"/>
        </w:rPr>
        <w:t xml:space="preserve">         The Company is not required to prepare an internal control report as part of its incidental custo</w:t>
      </w:r>
      <w:r w:rsidR="003329B6">
        <w:rPr>
          <w:sz w:val="18"/>
        </w:rPr>
        <w:t xml:space="preserve">dy of client funds, in that neither the </w:t>
      </w:r>
      <w:r>
        <w:rPr>
          <w:sz w:val="18"/>
        </w:rPr>
        <w:t>Company, nor any related party of the Company, maintains client funds or securities.</w:t>
      </w:r>
    </w:p>
    <w:p w14:paraId="20E6960E" w14:textId="77777777" w:rsidR="0075479B" w:rsidRPr="00603D9B" w:rsidRDefault="0075479B" w:rsidP="0034375E">
      <w:pPr>
        <w:spacing w:after="360" w:line="360" w:lineRule="auto"/>
        <w:ind w:left="1530" w:hanging="360"/>
        <w:rPr>
          <w:sz w:val="18"/>
        </w:rPr>
      </w:pPr>
      <w:r w:rsidRPr="00603D9B">
        <w:rPr>
          <w:b/>
          <w:sz w:val="18"/>
        </w:rPr>
        <w:t>2.</w:t>
      </w:r>
      <w:r w:rsidRPr="00603D9B">
        <w:rPr>
          <w:b/>
          <w:sz w:val="18"/>
        </w:rPr>
        <w:tab/>
        <w:t>Receipt of Third Party Funds</w:t>
      </w:r>
      <w:r w:rsidRPr="00603D9B">
        <w:rPr>
          <w:sz w:val="18"/>
        </w:rPr>
        <w:t xml:space="preserve">.  If </w:t>
      </w:r>
      <w:r w:rsidR="00367790">
        <w:rPr>
          <w:sz w:val="18"/>
        </w:rPr>
        <w:t>t</w:t>
      </w:r>
      <w:r w:rsidR="00485F39" w:rsidRPr="00603D9B">
        <w:rPr>
          <w:sz w:val="18"/>
        </w:rPr>
        <w:t>he Company</w:t>
      </w:r>
      <w:r w:rsidRPr="00603D9B">
        <w:rPr>
          <w:sz w:val="18"/>
        </w:rPr>
        <w:t xml:space="preserve"> receives a check from a client payable to a third party</w:t>
      </w:r>
      <w:r w:rsidR="00367790">
        <w:rPr>
          <w:sz w:val="18"/>
        </w:rPr>
        <w:t>, t</w:t>
      </w:r>
      <w:r w:rsidR="00485F39" w:rsidRPr="00603D9B">
        <w:rPr>
          <w:sz w:val="18"/>
        </w:rPr>
        <w:t>he Company</w:t>
      </w:r>
      <w:r w:rsidRPr="00603D9B">
        <w:rPr>
          <w:sz w:val="18"/>
        </w:rPr>
        <w:t xml:space="preserve"> will make a photocopy of the check and then forward the check directly to the third party.  A copy of the check and the transmittal form will be kept in the </w:t>
      </w:r>
      <w:r w:rsidR="00B655EC" w:rsidRPr="00603D9B">
        <w:rPr>
          <w:sz w:val="18"/>
        </w:rPr>
        <w:t>Checks/Deposits</w:t>
      </w:r>
      <w:r w:rsidRPr="00603D9B">
        <w:rPr>
          <w:sz w:val="18"/>
        </w:rPr>
        <w:t xml:space="preserve"> file.  A notation of the receipt of the check including the client’s name, date received, amount, and name of third party to whom the check is payable as well as the date the check was forwarded will be made in a Checks</w:t>
      </w:r>
      <w:r w:rsidR="00B655EC" w:rsidRPr="00603D9B">
        <w:rPr>
          <w:sz w:val="18"/>
        </w:rPr>
        <w:t>/Deposits</w:t>
      </w:r>
      <w:r w:rsidRPr="00603D9B">
        <w:rPr>
          <w:sz w:val="18"/>
        </w:rPr>
        <w:t xml:space="preserve"> blotter.</w:t>
      </w:r>
    </w:p>
    <w:p w14:paraId="491750DB" w14:textId="77777777" w:rsidR="0075479B" w:rsidRPr="00603D9B" w:rsidRDefault="0075479B">
      <w:pPr>
        <w:pStyle w:val="Heading3"/>
        <w:numPr>
          <w:ilvl w:val="0"/>
          <w:numId w:val="18"/>
        </w:numPr>
        <w:rPr>
          <w:sz w:val="18"/>
        </w:rPr>
      </w:pPr>
      <w:r w:rsidRPr="00603D9B">
        <w:rPr>
          <w:b/>
          <w:sz w:val="18"/>
        </w:rPr>
        <w:t>Account statements</w:t>
      </w:r>
      <w:r w:rsidRPr="00603D9B">
        <w:rPr>
          <w:sz w:val="18"/>
        </w:rPr>
        <w:t xml:space="preserve">.  </w:t>
      </w:r>
      <w:r w:rsidR="00485F39" w:rsidRPr="00603D9B">
        <w:rPr>
          <w:sz w:val="18"/>
        </w:rPr>
        <w:t>The Company</w:t>
      </w:r>
      <w:r w:rsidRPr="00603D9B">
        <w:rPr>
          <w:sz w:val="18"/>
        </w:rPr>
        <w:t xml:space="preserve"> will rely on the client’s qualified custodian to send monthly account statements directly to the client.  During periods of inactivity, a statement will be sent to the client at least quarterly.  </w:t>
      </w:r>
      <w:r w:rsidR="00992E08">
        <w:rPr>
          <w:sz w:val="18"/>
        </w:rPr>
        <w:t xml:space="preserve">When assets are not held </w:t>
      </w:r>
      <w:r w:rsidR="00764BCB" w:rsidRPr="00603D9B">
        <w:rPr>
          <w:sz w:val="18"/>
        </w:rPr>
        <w:t>by the clearing firm</w:t>
      </w:r>
      <w:r w:rsidR="00992E08">
        <w:rPr>
          <w:sz w:val="18"/>
        </w:rPr>
        <w:t>(s)</w:t>
      </w:r>
      <w:r w:rsidR="00CC5A81">
        <w:rPr>
          <w:sz w:val="18"/>
        </w:rPr>
        <w:t xml:space="preserve"> of t</w:t>
      </w:r>
      <w:r w:rsidR="00485F39" w:rsidRPr="00603D9B">
        <w:rPr>
          <w:sz w:val="18"/>
        </w:rPr>
        <w:t>he Company</w:t>
      </w:r>
      <w:r w:rsidR="00764BCB" w:rsidRPr="00603D9B">
        <w:rPr>
          <w:sz w:val="18"/>
        </w:rPr>
        <w:t>’s broker-dealer division, we</w:t>
      </w:r>
      <w:r w:rsidRPr="00603D9B">
        <w:rPr>
          <w:sz w:val="18"/>
        </w:rPr>
        <w:t xml:space="preserve"> will instruct the client to request </w:t>
      </w:r>
      <w:r w:rsidR="006E3AFA" w:rsidRPr="00603D9B">
        <w:rPr>
          <w:sz w:val="18"/>
        </w:rPr>
        <w:t>that a</w:t>
      </w:r>
      <w:r w:rsidR="0065184A" w:rsidRPr="00603D9B">
        <w:rPr>
          <w:sz w:val="18"/>
        </w:rPr>
        <w:t xml:space="preserve"> copy of the</w:t>
      </w:r>
      <w:r w:rsidR="006E3AFA" w:rsidRPr="00603D9B">
        <w:rPr>
          <w:sz w:val="18"/>
        </w:rPr>
        <w:t>ir</w:t>
      </w:r>
      <w:r w:rsidR="0065184A" w:rsidRPr="00603D9B">
        <w:rPr>
          <w:sz w:val="18"/>
        </w:rPr>
        <w:t xml:space="preserve"> </w:t>
      </w:r>
      <w:r w:rsidR="00CC5A81">
        <w:rPr>
          <w:sz w:val="18"/>
        </w:rPr>
        <w:t>statements be sent to t</w:t>
      </w:r>
      <w:r w:rsidR="00485F39" w:rsidRPr="00603D9B">
        <w:rPr>
          <w:sz w:val="18"/>
        </w:rPr>
        <w:t>he Company</w:t>
      </w:r>
      <w:r w:rsidRPr="00603D9B">
        <w:rPr>
          <w:sz w:val="18"/>
        </w:rPr>
        <w:t xml:space="preserve">.  </w:t>
      </w:r>
    </w:p>
    <w:p w14:paraId="1E85C8A0" w14:textId="77777777" w:rsidR="0075479B" w:rsidRPr="00603D9B" w:rsidRDefault="0075479B">
      <w:pPr>
        <w:pStyle w:val="Heading3"/>
        <w:rPr>
          <w:sz w:val="18"/>
        </w:rPr>
      </w:pPr>
      <w:r w:rsidRPr="00603D9B">
        <w:rPr>
          <w:b/>
          <w:sz w:val="18"/>
        </w:rPr>
        <w:t>4.</w:t>
      </w:r>
      <w:r w:rsidRPr="00603D9B">
        <w:rPr>
          <w:b/>
          <w:sz w:val="18"/>
        </w:rPr>
        <w:tab/>
      </w:r>
      <w:r w:rsidR="00803A14" w:rsidRPr="00603D9B">
        <w:rPr>
          <w:b/>
          <w:sz w:val="18"/>
        </w:rPr>
        <w:t>Suppression of Confirmations</w:t>
      </w:r>
      <w:r w:rsidRPr="00603D9B">
        <w:rPr>
          <w:sz w:val="18"/>
        </w:rPr>
        <w:t xml:space="preserve">.  </w:t>
      </w:r>
      <w:r w:rsidR="00803A14" w:rsidRPr="00603D9B">
        <w:rPr>
          <w:sz w:val="18"/>
        </w:rPr>
        <w:t xml:space="preserve">In certain </w:t>
      </w:r>
      <w:r w:rsidR="00367790">
        <w:rPr>
          <w:sz w:val="18"/>
        </w:rPr>
        <w:t>c</w:t>
      </w:r>
      <w:r w:rsidR="00803A14" w:rsidRPr="00603D9B">
        <w:rPr>
          <w:sz w:val="18"/>
        </w:rPr>
        <w:t>ircumstances</w:t>
      </w:r>
      <w:r w:rsidR="00CC5A81">
        <w:rPr>
          <w:sz w:val="18"/>
        </w:rPr>
        <w:t xml:space="preserve"> t</w:t>
      </w:r>
      <w:r w:rsidR="00485F39" w:rsidRPr="00603D9B">
        <w:rPr>
          <w:sz w:val="18"/>
        </w:rPr>
        <w:t>he Company</w:t>
      </w:r>
      <w:r w:rsidR="0065184A" w:rsidRPr="00603D9B">
        <w:rPr>
          <w:sz w:val="18"/>
        </w:rPr>
        <w:t xml:space="preserve"> will agree to suppress confirmations.  </w:t>
      </w:r>
      <w:r w:rsidR="00485F39" w:rsidRPr="00603D9B">
        <w:rPr>
          <w:sz w:val="18"/>
        </w:rPr>
        <w:t>The Company</w:t>
      </w:r>
      <w:r w:rsidRPr="00603D9B">
        <w:rPr>
          <w:sz w:val="18"/>
        </w:rPr>
        <w:t xml:space="preserve"> will require the client to submit such request</w:t>
      </w:r>
      <w:r w:rsidR="00803A14" w:rsidRPr="00603D9B">
        <w:rPr>
          <w:sz w:val="18"/>
        </w:rPr>
        <w:t>s</w:t>
      </w:r>
      <w:r w:rsidRPr="00603D9B">
        <w:rPr>
          <w:sz w:val="18"/>
        </w:rPr>
        <w:t xml:space="preserve"> in writing</w:t>
      </w:r>
      <w:r w:rsidR="00803A14" w:rsidRPr="00603D9B">
        <w:rPr>
          <w:sz w:val="18"/>
        </w:rPr>
        <w:t>.  A record of such requests will be kept in the client file.</w:t>
      </w:r>
      <w:r w:rsidRPr="00603D9B">
        <w:rPr>
          <w:sz w:val="18"/>
        </w:rPr>
        <w:t xml:space="preserve">  The client must </w:t>
      </w:r>
      <w:r w:rsidR="00803A14" w:rsidRPr="00603D9B">
        <w:rPr>
          <w:sz w:val="18"/>
        </w:rPr>
        <w:t xml:space="preserve">continue to </w:t>
      </w:r>
      <w:r w:rsidRPr="00603D9B">
        <w:rPr>
          <w:sz w:val="18"/>
        </w:rPr>
        <w:t>receive th</w:t>
      </w:r>
      <w:r w:rsidR="00803A14" w:rsidRPr="00603D9B">
        <w:rPr>
          <w:sz w:val="18"/>
        </w:rPr>
        <w:t>eir</w:t>
      </w:r>
      <w:r w:rsidRPr="00603D9B">
        <w:rPr>
          <w:sz w:val="18"/>
        </w:rPr>
        <w:t xml:space="preserve"> </w:t>
      </w:r>
      <w:r w:rsidR="00803A14" w:rsidRPr="00603D9B">
        <w:rPr>
          <w:sz w:val="18"/>
        </w:rPr>
        <w:t>periodic statements (monthly/quarterly)</w:t>
      </w:r>
      <w:r w:rsidR="00367790">
        <w:rPr>
          <w:sz w:val="18"/>
        </w:rPr>
        <w:t>.</w:t>
      </w:r>
    </w:p>
    <w:p w14:paraId="0D6E62DE" w14:textId="77777777" w:rsidR="0075479B" w:rsidRPr="00603D9B" w:rsidRDefault="0075479B">
      <w:pPr>
        <w:pStyle w:val="Heading2"/>
        <w:keepNext/>
        <w:rPr>
          <w:b/>
          <w:sz w:val="18"/>
        </w:rPr>
      </w:pPr>
      <w:r w:rsidRPr="00603D9B">
        <w:rPr>
          <w:b/>
          <w:sz w:val="18"/>
        </w:rPr>
        <w:t>D.</w:t>
      </w:r>
      <w:r w:rsidRPr="00603D9B">
        <w:rPr>
          <w:b/>
          <w:sz w:val="18"/>
        </w:rPr>
        <w:tab/>
        <w:t>Performance Fees</w:t>
      </w:r>
    </w:p>
    <w:p w14:paraId="5ED38FBA" w14:textId="3D6DC5DE" w:rsidR="0075479B" w:rsidRPr="00603D9B" w:rsidRDefault="0075479B">
      <w:pPr>
        <w:pStyle w:val="Heading3"/>
        <w:keepNext/>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Permitted Use</w:t>
      </w:r>
      <w:r w:rsidRPr="00603D9B">
        <w:rPr>
          <w:sz w:val="18"/>
        </w:rPr>
        <w:t xml:space="preserve">.  Performance fees are permitted under certain circumstances as described in </w:t>
      </w:r>
      <w:smartTag w:uri="urn:schemas-microsoft-com:office:smarttags" w:element="stockticker">
        <w:r w:rsidRPr="00603D9B">
          <w:rPr>
            <w:i/>
            <w:sz w:val="18"/>
          </w:rPr>
          <w:t>SEC</w:t>
        </w:r>
      </w:smartTag>
      <w:r w:rsidRPr="00603D9B">
        <w:rPr>
          <w:i/>
          <w:sz w:val="18"/>
        </w:rPr>
        <w:t xml:space="preserve"> Rule 205-3</w:t>
      </w:r>
      <w:r w:rsidRPr="00603D9B">
        <w:rPr>
          <w:sz w:val="18"/>
        </w:rPr>
        <w:t xml:space="preserve"> and under the </w:t>
      </w:r>
      <w:r w:rsidRPr="00603D9B">
        <w:rPr>
          <w:i/>
          <w:sz w:val="18"/>
        </w:rPr>
        <w:t>National Securities Markets Improvement Act of 1996</w:t>
      </w:r>
      <w:r w:rsidRPr="00603D9B">
        <w:rPr>
          <w:sz w:val="18"/>
        </w:rPr>
        <w:t>.  Such circumstances include:</w:t>
      </w:r>
    </w:p>
    <w:p w14:paraId="753DAB6F" w14:textId="02C52475" w:rsidR="002D4A54" w:rsidRPr="00603D9B" w:rsidRDefault="0075479B" w:rsidP="00BB1D40">
      <w:pPr>
        <w:pStyle w:val="Heading4"/>
        <w:keepNext/>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r>
      <w:r w:rsidRPr="00603D9B">
        <w:rPr>
          <w:b/>
          <w:sz w:val="18"/>
        </w:rPr>
        <w:t>Qualified Clients</w:t>
      </w:r>
      <w:r w:rsidRPr="00603D9B">
        <w:rPr>
          <w:sz w:val="18"/>
        </w:rPr>
        <w:t xml:space="preserve">.  </w:t>
      </w:r>
      <w:r w:rsidRPr="00603D9B">
        <w:rPr>
          <w:i/>
          <w:sz w:val="18"/>
        </w:rPr>
        <w:t>Rule 205-3</w:t>
      </w:r>
      <w:r w:rsidRPr="00603D9B">
        <w:rPr>
          <w:sz w:val="18"/>
        </w:rPr>
        <w:t xml:space="preserve"> permits the use of performance fee advisory contracts when dealing with “qualified </w:t>
      </w:r>
      <w:r w:rsidR="008B4478" w:rsidRPr="00603D9B">
        <w:rPr>
          <w:sz w:val="18"/>
        </w:rPr>
        <w:t>clients</w:t>
      </w:r>
      <w:r w:rsidRPr="00603D9B">
        <w:rPr>
          <w:sz w:val="18"/>
        </w:rPr>
        <w:t>” which are defined as:</w:t>
      </w:r>
    </w:p>
    <w:p w14:paraId="59E6AB7F" w14:textId="15075D5C" w:rsidR="0051466C" w:rsidRDefault="0075479B" w:rsidP="00BB1D40">
      <w:pPr>
        <w:pStyle w:val="Heading5"/>
        <w:spacing w:after="0"/>
        <w:rPr>
          <w:sz w:val="18"/>
        </w:rPr>
      </w:pPr>
      <w:r w:rsidRPr="00603D9B">
        <w:rPr>
          <w:sz w:val="18"/>
        </w:rPr>
        <w:fldChar w:fldCharType="begin"/>
      </w:r>
      <w:r w:rsidRPr="00603D9B">
        <w:rPr>
          <w:sz w:val="18"/>
        </w:rPr>
        <w:instrText xml:space="preserve"> SEQ Seq(123) \r1 \*Arabic \*MERGEFORMAT </w:instrText>
      </w:r>
      <w:r w:rsidRPr="00603D9B">
        <w:rPr>
          <w:sz w:val="18"/>
        </w:rPr>
        <w:fldChar w:fldCharType="separate"/>
      </w:r>
      <w:r w:rsidR="002A078E">
        <w:rPr>
          <w:noProof/>
          <w:sz w:val="18"/>
        </w:rPr>
        <w:t>1</w:t>
      </w:r>
      <w:r w:rsidRPr="00603D9B">
        <w:rPr>
          <w:sz w:val="18"/>
        </w:rPr>
        <w:fldChar w:fldCharType="end"/>
      </w:r>
      <w:r w:rsidRPr="00603D9B">
        <w:rPr>
          <w:sz w:val="18"/>
        </w:rPr>
        <w:t>.</w:t>
      </w:r>
      <w:r w:rsidRPr="00603D9B">
        <w:rPr>
          <w:sz w:val="18"/>
        </w:rPr>
        <w:tab/>
      </w:r>
      <w:r w:rsidR="0051466C">
        <w:rPr>
          <w:sz w:val="18"/>
        </w:rPr>
        <w:t>Any natural person who or a company that immediately after entering into the contract, has at least $1,</w:t>
      </w:r>
      <w:r w:rsidR="00F63ED9">
        <w:rPr>
          <w:sz w:val="18"/>
        </w:rPr>
        <w:t>1</w:t>
      </w:r>
      <w:r w:rsidR="0051466C">
        <w:rPr>
          <w:sz w:val="18"/>
        </w:rPr>
        <w:t>00,000 under the management of the investment</w:t>
      </w:r>
      <w:r w:rsidR="0051466C" w:rsidRPr="00603D9B">
        <w:rPr>
          <w:sz w:val="18"/>
        </w:rPr>
        <w:t xml:space="preserve"> </w:t>
      </w:r>
      <w:r w:rsidR="0051466C">
        <w:rPr>
          <w:sz w:val="18"/>
        </w:rPr>
        <w:t>advisor;</w:t>
      </w:r>
    </w:p>
    <w:p w14:paraId="014E0FD1" w14:textId="2F01BA92" w:rsidR="0051466C" w:rsidRPr="0051466C" w:rsidRDefault="0075479B" w:rsidP="0051466C">
      <w:pPr>
        <w:pStyle w:val="NormalWeb"/>
        <w:spacing w:before="0" w:beforeAutospacing="0" w:after="300" w:afterAutospacing="0"/>
        <w:ind w:left="2430" w:hanging="360"/>
        <w:rPr>
          <w:color w:val="000000"/>
          <w:sz w:val="18"/>
          <w:szCs w:val="18"/>
        </w:rPr>
      </w:pPr>
      <w:r w:rsidRPr="00603D9B">
        <w:rPr>
          <w:sz w:val="18"/>
        </w:rPr>
        <w:lastRenderedPageBreak/>
        <w:fldChar w:fldCharType="begin"/>
      </w:r>
      <w:r w:rsidRPr="00603D9B">
        <w:rPr>
          <w:sz w:val="18"/>
        </w:rPr>
        <w:instrText xml:space="preserve"> SEQ Seq(123) \n \*Arabic \*MERGEFORMAT </w:instrText>
      </w:r>
      <w:r w:rsidRPr="00603D9B">
        <w:rPr>
          <w:sz w:val="18"/>
        </w:rPr>
        <w:fldChar w:fldCharType="separate"/>
      </w:r>
      <w:r w:rsidR="002A078E">
        <w:rPr>
          <w:noProof/>
          <w:sz w:val="18"/>
        </w:rPr>
        <w:t>2</w:t>
      </w:r>
      <w:r w:rsidRPr="00603D9B">
        <w:rPr>
          <w:sz w:val="18"/>
        </w:rPr>
        <w:fldChar w:fldCharType="end"/>
      </w:r>
      <w:r w:rsidRPr="00603D9B">
        <w:rPr>
          <w:sz w:val="18"/>
        </w:rPr>
        <w:t>.</w:t>
      </w:r>
      <w:r w:rsidR="0051466C">
        <w:rPr>
          <w:sz w:val="18"/>
        </w:rPr>
        <w:t xml:space="preserve">     A</w:t>
      </w:r>
      <w:r w:rsidR="0051466C" w:rsidRPr="0051466C">
        <w:rPr>
          <w:color w:val="000000"/>
          <w:sz w:val="18"/>
          <w:szCs w:val="18"/>
        </w:rPr>
        <w:t xml:space="preserve"> natural person who or a company that the investment adviser entering into the contract </w:t>
      </w:r>
      <w:r w:rsidR="0051466C">
        <w:rPr>
          <w:color w:val="000000"/>
          <w:sz w:val="18"/>
          <w:szCs w:val="18"/>
        </w:rPr>
        <w:t xml:space="preserve">   </w:t>
      </w:r>
      <w:r w:rsidR="0051466C" w:rsidRPr="0051466C">
        <w:rPr>
          <w:color w:val="000000"/>
          <w:sz w:val="18"/>
          <w:szCs w:val="18"/>
        </w:rPr>
        <w:t>(and any person acting on his behalf) reasonably believes, immediately prior to entering into the contract, either:</w:t>
      </w:r>
    </w:p>
    <w:p w14:paraId="2AC16EE3" w14:textId="16CBCE8F" w:rsidR="0051466C" w:rsidRPr="0051466C" w:rsidRDefault="0051466C" w:rsidP="0051466C">
      <w:pPr>
        <w:pStyle w:val="NormalWeb"/>
        <w:spacing w:before="0" w:beforeAutospacing="0" w:after="300" w:afterAutospacing="0"/>
        <w:ind w:left="2160"/>
        <w:rPr>
          <w:color w:val="000000"/>
          <w:sz w:val="18"/>
          <w:szCs w:val="18"/>
        </w:rPr>
      </w:pPr>
      <w:r w:rsidRPr="0051466C">
        <w:rPr>
          <w:color w:val="000000"/>
          <w:sz w:val="18"/>
          <w:szCs w:val="18"/>
        </w:rPr>
        <w:t xml:space="preserve">a. Has a net worth (together, in the case of a natural person, with assets held jointly with a spouse) </w:t>
      </w:r>
      <w:r>
        <w:rPr>
          <w:color w:val="000000"/>
          <w:sz w:val="18"/>
          <w:szCs w:val="18"/>
        </w:rPr>
        <w:t xml:space="preserve">   </w:t>
      </w:r>
      <w:r w:rsidR="008B0EAD">
        <w:rPr>
          <w:color w:val="000000"/>
          <w:sz w:val="18"/>
          <w:szCs w:val="18"/>
        </w:rPr>
        <w:t>of more than $2,</w:t>
      </w:r>
      <w:r w:rsidR="00F63ED9">
        <w:rPr>
          <w:color w:val="000000"/>
          <w:sz w:val="18"/>
          <w:szCs w:val="18"/>
        </w:rPr>
        <w:t>2</w:t>
      </w:r>
      <w:r w:rsidRPr="0051466C">
        <w:rPr>
          <w:color w:val="000000"/>
          <w:sz w:val="18"/>
          <w:szCs w:val="18"/>
        </w:rPr>
        <w:t>00,000 at the time the contract is entered into; or</w:t>
      </w:r>
    </w:p>
    <w:p w14:paraId="59C7C984" w14:textId="77777777" w:rsidR="0051466C" w:rsidRPr="0051466C" w:rsidRDefault="0051466C" w:rsidP="0051466C">
      <w:pPr>
        <w:pStyle w:val="NormalWeb"/>
        <w:spacing w:before="0" w:beforeAutospacing="0" w:after="300" w:afterAutospacing="0"/>
        <w:ind w:left="2160"/>
        <w:rPr>
          <w:color w:val="000000"/>
          <w:sz w:val="18"/>
          <w:szCs w:val="18"/>
        </w:rPr>
      </w:pPr>
      <w:r w:rsidRPr="0051466C">
        <w:rPr>
          <w:color w:val="000000"/>
          <w:sz w:val="18"/>
          <w:szCs w:val="18"/>
        </w:rPr>
        <w:t>b. Is a qualified purchaser as defined in section 2(a)(51)(A) of the Investment Company Act of 1940 at the time the contract is entered into; or</w:t>
      </w:r>
    </w:p>
    <w:p w14:paraId="608AA421" w14:textId="77777777" w:rsidR="0051466C" w:rsidRPr="0051466C" w:rsidRDefault="0051466C" w:rsidP="0051466C">
      <w:pPr>
        <w:pStyle w:val="NormalWeb"/>
        <w:spacing w:before="0" w:beforeAutospacing="0" w:after="300" w:afterAutospacing="0"/>
        <w:ind w:left="1296" w:firstLine="432"/>
        <w:rPr>
          <w:color w:val="000000"/>
          <w:sz w:val="18"/>
          <w:szCs w:val="18"/>
        </w:rPr>
      </w:pPr>
      <w:r w:rsidRPr="0051466C">
        <w:rPr>
          <w:color w:val="000000"/>
          <w:sz w:val="18"/>
          <w:szCs w:val="18"/>
        </w:rPr>
        <w:t>3. A natural person who immediately prior to entering into the contract is:</w:t>
      </w:r>
    </w:p>
    <w:p w14:paraId="41C77FF9" w14:textId="77777777" w:rsidR="0051466C" w:rsidRPr="0051466C" w:rsidRDefault="0051466C" w:rsidP="0051466C">
      <w:pPr>
        <w:pStyle w:val="NormalWeb"/>
        <w:spacing w:before="0" w:beforeAutospacing="0" w:after="300" w:afterAutospacing="0"/>
        <w:ind w:left="2160"/>
        <w:rPr>
          <w:color w:val="000000"/>
          <w:sz w:val="18"/>
          <w:szCs w:val="18"/>
        </w:rPr>
      </w:pPr>
      <w:r w:rsidRPr="0051466C">
        <w:rPr>
          <w:color w:val="000000"/>
          <w:sz w:val="18"/>
          <w:szCs w:val="18"/>
        </w:rPr>
        <w:t>a. An executive officer, director, trustee, general partner, or person serving in a similar capacity, of the investment adviser; or</w:t>
      </w:r>
    </w:p>
    <w:p w14:paraId="1D854236" w14:textId="77777777" w:rsidR="0051466C" w:rsidRPr="0051466C" w:rsidRDefault="0051466C" w:rsidP="0051466C">
      <w:pPr>
        <w:pStyle w:val="NormalWeb"/>
        <w:spacing w:before="0" w:beforeAutospacing="0" w:after="300" w:afterAutospacing="0"/>
        <w:ind w:left="2160"/>
        <w:rPr>
          <w:color w:val="000000"/>
          <w:sz w:val="18"/>
          <w:szCs w:val="18"/>
        </w:rPr>
      </w:pPr>
      <w:r w:rsidRPr="0051466C">
        <w:rPr>
          <w:color w:val="000000"/>
          <w:sz w:val="18"/>
          <w:szCs w:val="18"/>
        </w:rPr>
        <w:t>b. An employee of the investment adviser (other than an employee performing solely clerical, secretarial or administrative functions with regard to the investment adviser) who, in connection with his or her regular functions or duties, participates in the investment activities of such investment adviser, provided that such employee has been performing such functions and duties for or on behalf of the investment adviser, or substantially similar functions or duties for or on behalf of another company for at least 12 months.</w:t>
      </w:r>
    </w:p>
    <w:p w14:paraId="1C49C16D" w14:textId="77777777" w:rsidR="00BB1D40" w:rsidRPr="00BB1D40" w:rsidRDefault="00BB1D40" w:rsidP="00BB1D40"/>
    <w:p w14:paraId="548E21BA" w14:textId="58B77440" w:rsidR="007547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Disclosure</w:t>
      </w:r>
      <w:r w:rsidRPr="00603D9B">
        <w:rPr>
          <w:sz w:val="18"/>
        </w:rPr>
        <w:t xml:space="preserve">.  </w:t>
      </w:r>
      <w:r w:rsidRPr="00603D9B">
        <w:rPr>
          <w:i/>
          <w:sz w:val="18"/>
        </w:rPr>
        <w:t>Rule 205-3</w:t>
      </w:r>
      <w:r w:rsidRPr="00603D9B">
        <w:rPr>
          <w:sz w:val="18"/>
        </w:rPr>
        <w:t xml:space="preserve"> only requires that clients meet the prescribed eligibility tests.  Fiduciary obligations, though, require that </w:t>
      </w:r>
      <w:r w:rsidR="00CC5A81">
        <w:rPr>
          <w:sz w:val="18"/>
        </w:rPr>
        <w:t>t</w:t>
      </w:r>
      <w:r w:rsidR="00485F39" w:rsidRPr="00603D9B">
        <w:rPr>
          <w:sz w:val="18"/>
        </w:rPr>
        <w:t>he Company</w:t>
      </w:r>
      <w:r w:rsidRPr="00603D9B">
        <w:rPr>
          <w:sz w:val="18"/>
        </w:rPr>
        <w:t xml:space="preserve"> deal fairly with its clients and make full and fair disclosure of its compensation arrangements.  This obligation includes full client disclosure of all material information regarding a proposed performance fee arrangement as well as any material conflicts posed by the arrangement.</w:t>
      </w:r>
    </w:p>
    <w:p w14:paraId="6BB0C013" w14:textId="77777777" w:rsidR="00BB1D40" w:rsidRPr="00BB1D40" w:rsidRDefault="00BB1D40" w:rsidP="00BB1D40"/>
    <w:p w14:paraId="76C57B21" w14:textId="77777777" w:rsidR="0075479B" w:rsidRPr="00603D9B" w:rsidRDefault="00B3144D">
      <w:pPr>
        <w:pStyle w:val="Heading2"/>
        <w:keepNext/>
        <w:rPr>
          <w:b/>
          <w:sz w:val="18"/>
        </w:rPr>
      </w:pPr>
      <w:r w:rsidRPr="00603D9B">
        <w:rPr>
          <w:b/>
          <w:sz w:val="18"/>
        </w:rPr>
        <w:t>E</w:t>
      </w:r>
      <w:r w:rsidR="0075479B" w:rsidRPr="00603D9B">
        <w:rPr>
          <w:b/>
          <w:sz w:val="18"/>
        </w:rPr>
        <w:t>.</w:t>
      </w:r>
      <w:r w:rsidR="0075479B" w:rsidRPr="00603D9B">
        <w:rPr>
          <w:b/>
          <w:sz w:val="18"/>
        </w:rPr>
        <w:tab/>
        <w:t>Regulation S-P</w:t>
      </w:r>
      <w:r w:rsidR="005E5FFC">
        <w:rPr>
          <w:b/>
          <w:sz w:val="18"/>
        </w:rPr>
        <w:t xml:space="preserve"> (Privacy)</w:t>
      </w:r>
    </w:p>
    <w:p w14:paraId="1111A64A" w14:textId="14C6A6E6" w:rsidR="0075479B" w:rsidRPr="00603D9B" w:rsidRDefault="0075479B">
      <w:pPr>
        <w:pStyle w:val="Heading3"/>
        <w:keepNext/>
        <w:rPr>
          <w:b/>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Privacy of Client Financial Information (Regulation S-P)</w:t>
      </w:r>
    </w:p>
    <w:p w14:paraId="6D251DC0" w14:textId="77777777" w:rsidR="0075479B" w:rsidRPr="00603D9B" w:rsidRDefault="00485F39">
      <w:pPr>
        <w:spacing w:after="360" w:line="360" w:lineRule="auto"/>
        <w:ind w:left="1152"/>
        <w:rPr>
          <w:sz w:val="18"/>
        </w:rPr>
      </w:pPr>
      <w:r w:rsidRPr="00603D9B">
        <w:rPr>
          <w:sz w:val="18"/>
        </w:rPr>
        <w:t>The Company</w:t>
      </w:r>
      <w:r w:rsidR="0075479B" w:rsidRPr="00603D9B">
        <w:rPr>
          <w:sz w:val="18"/>
        </w:rPr>
        <w:t xml:space="preserve"> has in place </w:t>
      </w:r>
      <w:r w:rsidR="0075479B" w:rsidRPr="00603D9B">
        <w:rPr>
          <w:iCs/>
          <w:sz w:val="18"/>
        </w:rPr>
        <w:t>policies and procedures</w:t>
      </w:r>
      <w:r w:rsidR="0075479B" w:rsidRPr="00603D9B">
        <w:rPr>
          <w:sz w:val="18"/>
        </w:rPr>
        <w:t xml:space="preserve"> reasonably designed to (a) ensure the confidentiality of customer records and information; (b) protect against any anticipated threats or hazards to the security of customer records and information; and (c) protect against unauthorized access or use of customer records or information that could result in “substantial harm or inconvenience” to any consumer.  The privacy provisions of Regulation S-P will apply to information that is “nonpublic personal information.”</w:t>
      </w:r>
    </w:p>
    <w:p w14:paraId="43F349C8" w14:textId="77777777" w:rsidR="0075479B" w:rsidRPr="00603D9B" w:rsidRDefault="0075479B">
      <w:pPr>
        <w:spacing w:after="360" w:line="360" w:lineRule="auto"/>
        <w:ind w:left="1152"/>
        <w:rPr>
          <w:sz w:val="18"/>
        </w:rPr>
      </w:pPr>
      <w:r w:rsidRPr="00603D9B">
        <w:rPr>
          <w:b/>
          <w:i/>
          <w:sz w:val="18"/>
        </w:rPr>
        <w:t>Nonpublic information</w:t>
      </w:r>
      <w:r w:rsidRPr="00603D9B">
        <w:rPr>
          <w:sz w:val="18"/>
        </w:rPr>
        <w:t>, under Regulation S-P, includes “personally identifiable financial information” and any list, description, or grouping that is derived from personally identifiable financial information.</w:t>
      </w:r>
    </w:p>
    <w:p w14:paraId="67626162" w14:textId="77777777" w:rsidR="0075479B" w:rsidRPr="00603D9B" w:rsidRDefault="0075479B">
      <w:pPr>
        <w:keepNext/>
        <w:spacing w:line="360" w:lineRule="auto"/>
        <w:ind w:left="1152"/>
        <w:rPr>
          <w:sz w:val="18"/>
        </w:rPr>
      </w:pPr>
      <w:r w:rsidRPr="00603D9B">
        <w:rPr>
          <w:b/>
          <w:i/>
          <w:sz w:val="18"/>
        </w:rPr>
        <w:t>Personally identifiable financial information</w:t>
      </w:r>
      <w:r w:rsidRPr="00603D9B">
        <w:rPr>
          <w:sz w:val="18"/>
        </w:rPr>
        <w:t xml:space="preserve"> is defined to include three categories of information:</w:t>
      </w:r>
    </w:p>
    <w:p w14:paraId="443EE3BD" w14:textId="77777777" w:rsidR="0075479B" w:rsidRPr="00603D9B" w:rsidRDefault="0075479B">
      <w:pPr>
        <w:numPr>
          <w:ilvl w:val="0"/>
          <w:numId w:val="7"/>
        </w:numPr>
        <w:tabs>
          <w:tab w:val="clear" w:pos="-1080"/>
          <w:tab w:val="num" w:pos="360"/>
          <w:tab w:val="left" w:pos="2025"/>
        </w:tabs>
        <w:spacing w:line="360" w:lineRule="auto"/>
        <w:ind w:left="2016" w:hanging="432"/>
        <w:rPr>
          <w:sz w:val="18"/>
        </w:rPr>
      </w:pPr>
      <w:r w:rsidRPr="00603D9B">
        <w:rPr>
          <w:b/>
          <w:i/>
          <w:sz w:val="18"/>
        </w:rPr>
        <w:t>Information Supplied by Client</w:t>
      </w:r>
      <w:r w:rsidRPr="00603D9B">
        <w:rPr>
          <w:sz w:val="18"/>
        </w:rPr>
        <w:t xml:space="preserve">.  Any </w:t>
      </w:r>
      <w:r w:rsidR="002424A4" w:rsidRPr="00603D9B">
        <w:rPr>
          <w:sz w:val="18"/>
        </w:rPr>
        <w:t xml:space="preserve">personal </w:t>
      </w:r>
      <w:r w:rsidRPr="00603D9B">
        <w:rPr>
          <w:sz w:val="18"/>
        </w:rPr>
        <w:t xml:space="preserve">information </w:t>
      </w:r>
      <w:r w:rsidR="002424A4" w:rsidRPr="00603D9B">
        <w:rPr>
          <w:sz w:val="18"/>
        </w:rPr>
        <w:t>in addition to client</w:t>
      </w:r>
      <w:r w:rsidR="008B4478" w:rsidRPr="00603D9B">
        <w:rPr>
          <w:sz w:val="18"/>
        </w:rPr>
        <w:t>’</w:t>
      </w:r>
      <w:r w:rsidR="002424A4" w:rsidRPr="00603D9B">
        <w:rPr>
          <w:sz w:val="18"/>
        </w:rPr>
        <w:t xml:space="preserve">s basic name and </w:t>
      </w:r>
      <w:r w:rsidR="006F4BE4" w:rsidRPr="00603D9B">
        <w:rPr>
          <w:sz w:val="18"/>
        </w:rPr>
        <w:t>address that</w:t>
      </w:r>
      <w:r w:rsidRPr="00603D9B">
        <w:rPr>
          <w:sz w:val="18"/>
        </w:rPr>
        <w:t xml:space="preserve"> is provided by a c</w:t>
      </w:r>
      <w:r w:rsidR="008B4478" w:rsidRPr="00603D9B">
        <w:rPr>
          <w:sz w:val="18"/>
        </w:rPr>
        <w:t xml:space="preserve">lient or prospective client to </w:t>
      </w:r>
      <w:r w:rsidR="00CC5A81">
        <w:rPr>
          <w:sz w:val="18"/>
        </w:rPr>
        <w:t>t</w:t>
      </w:r>
      <w:r w:rsidR="00485F39" w:rsidRPr="00603D9B">
        <w:rPr>
          <w:sz w:val="18"/>
        </w:rPr>
        <w:t>he Company</w:t>
      </w:r>
      <w:r w:rsidRPr="00603D9B">
        <w:rPr>
          <w:sz w:val="18"/>
        </w:rPr>
        <w:t xml:space="preserve"> in order to obtain a financial product or service.  This would include infor</w:t>
      </w:r>
      <w:r w:rsidR="008B4478" w:rsidRPr="00603D9B">
        <w:rPr>
          <w:sz w:val="18"/>
        </w:rPr>
        <w:t xml:space="preserve">mation or material given to </w:t>
      </w:r>
      <w:r w:rsidR="00CC5A81">
        <w:rPr>
          <w:sz w:val="18"/>
        </w:rPr>
        <w:t>t</w:t>
      </w:r>
      <w:r w:rsidR="00485F39" w:rsidRPr="00603D9B">
        <w:rPr>
          <w:sz w:val="18"/>
        </w:rPr>
        <w:t>he Company</w:t>
      </w:r>
      <w:r w:rsidRPr="00603D9B">
        <w:rPr>
          <w:sz w:val="18"/>
        </w:rPr>
        <w:t xml:space="preserve"> when entering into an investment advisory agreement.</w:t>
      </w:r>
    </w:p>
    <w:p w14:paraId="3BB39C28" w14:textId="77777777" w:rsidR="0075479B" w:rsidRPr="00603D9B" w:rsidRDefault="0075479B">
      <w:pPr>
        <w:numPr>
          <w:ilvl w:val="0"/>
          <w:numId w:val="7"/>
        </w:numPr>
        <w:tabs>
          <w:tab w:val="clear" w:pos="-1080"/>
          <w:tab w:val="num" w:pos="360"/>
          <w:tab w:val="left" w:pos="2025"/>
        </w:tabs>
        <w:spacing w:line="360" w:lineRule="auto"/>
        <w:ind w:left="2016" w:hanging="432"/>
        <w:rPr>
          <w:sz w:val="18"/>
        </w:rPr>
      </w:pPr>
      <w:r w:rsidRPr="00603D9B">
        <w:rPr>
          <w:b/>
          <w:i/>
          <w:sz w:val="18"/>
        </w:rPr>
        <w:lastRenderedPageBreak/>
        <w:t xml:space="preserve">Information Resulting from Transaction.  </w:t>
      </w:r>
      <w:r w:rsidRPr="00603D9B">
        <w:rPr>
          <w:sz w:val="18"/>
        </w:rPr>
        <w:t>Any information that results from a transaction with the client or any services performed for the client.  This category would include information about account balances, securities positions, or financial products purchased or sold through a broker/dealer.</w:t>
      </w:r>
    </w:p>
    <w:p w14:paraId="747A83D8" w14:textId="77777777" w:rsidR="0075479B" w:rsidRPr="003F74E1" w:rsidRDefault="0075479B" w:rsidP="008B4478">
      <w:pPr>
        <w:numPr>
          <w:ilvl w:val="0"/>
          <w:numId w:val="7"/>
        </w:numPr>
        <w:tabs>
          <w:tab w:val="clear" w:pos="-1080"/>
          <w:tab w:val="num" w:pos="360"/>
          <w:tab w:val="left" w:pos="2025"/>
        </w:tabs>
        <w:spacing w:after="360" w:line="360" w:lineRule="auto"/>
        <w:ind w:left="2016" w:hanging="432"/>
        <w:rPr>
          <w:sz w:val="18"/>
        </w:rPr>
      </w:pPr>
      <w:r w:rsidRPr="003F74E1">
        <w:rPr>
          <w:b/>
          <w:i/>
          <w:sz w:val="18"/>
        </w:rPr>
        <w:t>Information Obtained in Providing Products or Services</w:t>
      </w:r>
      <w:r w:rsidRPr="003F74E1">
        <w:rPr>
          <w:sz w:val="18"/>
        </w:rPr>
        <w:t xml:space="preserve">.  Any information obtained by </w:t>
      </w:r>
      <w:r w:rsidR="00CC5A81">
        <w:rPr>
          <w:sz w:val="18"/>
        </w:rPr>
        <w:t>t</w:t>
      </w:r>
      <w:r w:rsidR="00485F39" w:rsidRPr="003F74E1">
        <w:rPr>
          <w:sz w:val="18"/>
        </w:rPr>
        <w:t>he Company</w:t>
      </w:r>
      <w:r w:rsidRPr="003F74E1">
        <w:rPr>
          <w:sz w:val="18"/>
        </w:rPr>
        <w:t xml:space="preserve"> from a consumer report or other outside source which is used by </w:t>
      </w:r>
      <w:r w:rsidR="00CC5A81">
        <w:rPr>
          <w:sz w:val="18"/>
        </w:rPr>
        <w:t>t</w:t>
      </w:r>
      <w:r w:rsidR="00485F39" w:rsidRPr="003F74E1">
        <w:rPr>
          <w:sz w:val="18"/>
        </w:rPr>
        <w:t>he Company</w:t>
      </w:r>
      <w:r w:rsidRPr="003F74E1">
        <w:rPr>
          <w:sz w:val="18"/>
        </w:rPr>
        <w:t xml:space="preserve"> to verify information that a client or prospective client has given on an application for advisory services.</w:t>
      </w:r>
      <w:r w:rsidR="003F74E1">
        <w:rPr>
          <w:sz w:val="18"/>
        </w:rPr>
        <w:t xml:space="preserve"> </w:t>
      </w:r>
      <w:r w:rsidR="008B4478" w:rsidRPr="003F74E1">
        <w:rPr>
          <w:sz w:val="18"/>
        </w:rPr>
        <w:tab/>
      </w:r>
      <w:r w:rsidR="00485F39" w:rsidRPr="003F74E1">
        <w:rPr>
          <w:sz w:val="18"/>
        </w:rPr>
        <w:t>The Company</w:t>
      </w:r>
      <w:r w:rsidRPr="003F74E1">
        <w:rPr>
          <w:sz w:val="18"/>
        </w:rPr>
        <w:t xml:space="preserve"> will issue an initial and an annual privacy notice to all clients.  </w:t>
      </w:r>
    </w:p>
    <w:p w14:paraId="1B20E317" w14:textId="10AB7ED3" w:rsidR="0075479B" w:rsidRPr="00603D9B" w:rsidRDefault="0075479B">
      <w:pPr>
        <w:pStyle w:val="Heading3"/>
        <w:keepNext/>
        <w:rPr>
          <w:b/>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r>
      <w:r w:rsidR="00485F39" w:rsidRPr="00603D9B">
        <w:rPr>
          <w:b/>
          <w:sz w:val="18"/>
        </w:rPr>
        <w:t>The Company</w:t>
      </w:r>
      <w:r w:rsidRPr="00603D9B">
        <w:rPr>
          <w:b/>
          <w:sz w:val="18"/>
        </w:rPr>
        <w:t>’s Privacy Policy</w:t>
      </w:r>
    </w:p>
    <w:p w14:paraId="57B4B94E" w14:textId="77777777" w:rsidR="0075479B" w:rsidRPr="00603D9B" w:rsidRDefault="008B4478">
      <w:pPr>
        <w:spacing w:after="360" w:line="360" w:lineRule="auto"/>
        <w:ind w:left="1152"/>
        <w:rPr>
          <w:sz w:val="18"/>
        </w:rPr>
      </w:pPr>
      <w:r w:rsidRPr="00603D9B">
        <w:rPr>
          <w:sz w:val="18"/>
        </w:rPr>
        <w:t xml:space="preserve">As </w:t>
      </w:r>
      <w:r w:rsidR="006F4BE4">
        <w:rPr>
          <w:sz w:val="18"/>
        </w:rPr>
        <w:t xml:space="preserve">a </w:t>
      </w:r>
      <w:r w:rsidRPr="00603D9B">
        <w:rPr>
          <w:sz w:val="18"/>
        </w:rPr>
        <w:t xml:space="preserve">general policy, </w:t>
      </w:r>
      <w:r w:rsidR="009F3C52">
        <w:rPr>
          <w:sz w:val="18"/>
        </w:rPr>
        <w:t>t</w:t>
      </w:r>
      <w:r w:rsidR="00485F39" w:rsidRPr="00603D9B">
        <w:rPr>
          <w:sz w:val="18"/>
        </w:rPr>
        <w:t>he Company</w:t>
      </w:r>
      <w:r w:rsidR="0075479B" w:rsidRPr="00603D9B">
        <w:rPr>
          <w:sz w:val="18"/>
        </w:rPr>
        <w:t xml:space="preserve"> will not disclose personal financial information about any client to non-affiliated third parties except as necessary to establish and manage the client’s account(s) or as required by law.  In these situations, personal financial information about a client may be provided to the broker/dealer or other custodian maintaining these accounts.</w:t>
      </w:r>
    </w:p>
    <w:p w14:paraId="4B35B7E8" w14:textId="77777777" w:rsidR="008B4478" w:rsidRPr="00603D9B" w:rsidRDefault="00485F39">
      <w:pPr>
        <w:spacing w:after="360" w:line="360" w:lineRule="auto"/>
        <w:ind w:left="1152"/>
        <w:rPr>
          <w:sz w:val="18"/>
        </w:rPr>
      </w:pPr>
      <w:r w:rsidRPr="00603D9B">
        <w:rPr>
          <w:sz w:val="18"/>
        </w:rPr>
        <w:t>The Company</w:t>
      </w:r>
      <w:r w:rsidR="008B4478" w:rsidRPr="00603D9B">
        <w:rPr>
          <w:sz w:val="18"/>
        </w:rPr>
        <w:t xml:space="preserve"> Privacy Policy does allow for an independent contractor representative that resigns from the firm to retain the client information they have in their records to assist them in transferring their accounts to their new firm.  Clients </w:t>
      </w:r>
      <w:r w:rsidR="005B2CC2" w:rsidRPr="00603D9B">
        <w:rPr>
          <w:sz w:val="18"/>
        </w:rPr>
        <w:t>can</w:t>
      </w:r>
      <w:r w:rsidR="008B4478" w:rsidRPr="00603D9B">
        <w:rPr>
          <w:sz w:val="18"/>
        </w:rPr>
        <w:t xml:space="preserve"> “opt out” of </w:t>
      </w:r>
      <w:r w:rsidR="0012204C" w:rsidRPr="00603D9B">
        <w:rPr>
          <w:sz w:val="18"/>
        </w:rPr>
        <w:t>allowing the continued use of their</w:t>
      </w:r>
      <w:r w:rsidR="008B4478" w:rsidRPr="00603D9B">
        <w:rPr>
          <w:sz w:val="18"/>
        </w:rPr>
        <w:t xml:space="preserve"> </w:t>
      </w:r>
      <w:r w:rsidR="0012204C" w:rsidRPr="00603D9B">
        <w:rPr>
          <w:sz w:val="18"/>
        </w:rPr>
        <w:t xml:space="preserve">personal </w:t>
      </w:r>
      <w:r w:rsidR="008B4478" w:rsidRPr="00603D9B">
        <w:rPr>
          <w:sz w:val="18"/>
        </w:rPr>
        <w:t>information to their departing representative if they choose to do so.</w:t>
      </w:r>
    </w:p>
    <w:p w14:paraId="66DD1F90" w14:textId="77777777" w:rsidR="0075479B" w:rsidRPr="00603D9B" w:rsidRDefault="0075479B">
      <w:pPr>
        <w:spacing w:after="360" w:line="360" w:lineRule="auto"/>
        <w:ind w:left="1152"/>
        <w:rPr>
          <w:sz w:val="18"/>
        </w:rPr>
      </w:pPr>
      <w:r w:rsidRPr="00603D9B">
        <w:rPr>
          <w:sz w:val="18"/>
        </w:rPr>
        <w:t xml:space="preserve">In addition, </w:t>
      </w:r>
      <w:r w:rsidR="009F3C52">
        <w:rPr>
          <w:sz w:val="18"/>
        </w:rPr>
        <w:t>t</w:t>
      </w:r>
      <w:r w:rsidR="00485F39" w:rsidRPr="00603D9B">
        <w:rPr>
          <w:sz w:val="18"/>
        </w:rPr>
        <w:t>he Company</w:t>
      </w:r>
      <w:r w:rsidRPr="00603D9B">
        <w:rPr>
          <w:sz w:val="18"/>
        </w:rPr>
        <w:t xml:space="preserve"> will restrict access to clients’ non-personal financial information to those employees who need to know such information in order to provide products or services to clients.  </w:t>
      </w:r>
      <w:r w:rsidR="00485F39" w:rsidRPr="00603D9B">
        <w:rPr>
          <w:sz w:val="18"/>
        </w:rPr>
        <w:t>The Company</w:t>
      </w:r>
      <w:r w:rsidRPr="00603D9B">
        <w:rPr>
          <w:sz w:val="18"/>
        </w:rPr>
        <w:t xml:space="preserve"> will maintain physical, electronic, and procedural safeguards that comply with federal standards to guard each client’s personal financial information.  Such safeguards include restricting the use of any information contained </w:t>
      </w:r>
      <w:r w:rsidR="00616432" w:rsidRPr="00603D9B">
        <w:rPr>
          <w:sz w:val="18"/>
        </w:rPr>
        <w:t>in the client New Account paperwork and Management Agreement</w:t>
      </w:r>
      <w:r w:rsidRPr="00603D9B">
        <w:rPr>
          <w:sz w:val="18"/>
        </w:rPr>
        <w:t xml:space="preserve"> to each client’s personal account manager</w:t>
      </w:r>
      <w:r w:rsidR="006F4BE4">
        <w:rPr>
          <w:sz w:val="18"/>
        </w:rPr>
        <w:t xml:space="preserve"> and alternate operations support staff in the account manager’s absence</w:t>
      </w:r>
      <w:r w:rsidRPr="00603D9B">
        <w:rPr>
          <w:sz w:val="18"/>
        </w:rPr>
        <w:t xml:space="preserve">, the manager’s supervisor and </w:t>
      </w:r>
      <w:r w:rsidR="00CC5A81">
        <w:rPr>
          <w:sz w:val="18"/>
        </w:rPr>
        <w:t>t</w:t>
      </w:r>
      <w:r w:rsidR="00485F39" w:rsidRPr="00603D9B">
        <w:rPr>
          <w:sz w:val="18"/>
        </w:rPr>
        <w:t>he Company</w:t>
      </w:r>
      <w:r w:rsidRPr="00603D9B">
        <w:rPr>
          <w:sz w:val="18"/>
        </w:rPr>
        <w:t xml:space="preserve">’s CCO or such other persons as the CCO deems </w:t>
      </w:r>
      <w:r w:rsidR="005B2CC2">
        <w:rPr>
          <w:sz w:val="18"/>
        </w:rPr>
        <w:t xml:space="preserve">needs </w:t>
      </w:r>
      <w:r w:rsidRPr="00603D9B">
        <w:rPr>
          <w:sz w:val="18"/>
        </w:rPr>
        <w:t xml:space="preserve">to know the information.  Hard copy of client personal financial information will be maintained in </w:t>
      </w:r>
      <w:r w:rsidR="00CC5A81">
        <w:rPr>
          <w:sz w:val="18"/>
        </w:rPr>
        <w:t>t</w:t>
      </w:r>
      <w:r w:rsidR="00485F39" w:rsidRPr="00603D9B">
        <w:rPr>
          <w:sz w:val="18"/>
        </w:rPr>
        <w:t>he Company</w:t>
      </w:r>
      <w:r w:rsidRPr="00603D9B">
        <w:rPr>
          <w:sz w:val="18"/>
        </w:rPr>
        <w:t xml:space="preserve">’s central </w:t>
      </w:r>
      <w:r w:rsidR="005B2CC2" w:rsidRPr="00603D9B">
        <w:rPr>
          <w:sz w:val="18"/>
        </w:rPr>
        <w:t>files and</w:t>
      </w:r>
      <w:r w:rsidRPr="00603D9B">
        <w:rPr>
          <w:sz w:val="18"/>
        </w:rPr>
        <w:t xml:space="preserve"> will be secured (locked) after normal business hours.  </w:t>
      </w:r>
    </w:p>
    <w:p w14:paraId="4C10C0D0" w14:textId="77777777" w:rsidR="0075479B" w:rsidRPr="00603D9B" w:rsidRDefault="00B3144D">
      <w:pPr>
        <w:pStyle w:val="Heading2"/>
        <w:rPr>
          <w:sz w:val="18"/>
        </w:rPr>
      </w:pPr>
      <w:r w:rsidRPr="00603D9B">
        <w:rPr>
          <w:b/>
          <w:sz w:val="18"/>
        </w:rPr>
        <w:t>F</w:t>
      </w:r>
      <w:r w:rsidR="0075479B" w:rsidRPr="00603D9B">
        <w:rPr>
          <w:b/>
          <w:sz w:val="18"/>
        </w:rPr>
        <w:t>.</w:t>
      </w:r>
      <w:r w:rsidR="0075479B" w:rsidRPr="00603D9B">
        <w:rPr>
          <w:b/>
          <w:sz w:val="18"/>
        </w:rPr>
        <w:tab/>
        <w:t>Anti-Money Laundering</w:t>
      </w:r>
      <w:r w:rsidR="0075479B" w:rsidRPr="00603D9B">
        <w:rPr>
          <w:sz w:val="18"/>
        </w:rPr>
        <w:t xml:space="preserve">.  </w:t>
      </w:r>
      <w:r w:rsidR="0027055D">
        <w:rPr>
          <w:sz w:val="18"/>
        </w:rPr>
        <w:t>Effective January 1, 2013, t</w:t>
      </w:r>
      <w:r w:rsidR="00485F39" w:rsidRPr="00603D9B">
        <w:rPr>
          <w:sz w:val="18"/>
        </w:rPr>
        <w:t>he Company</w:t>
      </w:r>
      <w:r w:rsidR="0012204C" w:rsidRPr="00603D9B">
        <w:rPr>
          <w:sz w:val="18"/>
        </w:rPr>
        <w:t xml:space="preserve">’s </w:t>
      </w:r>
      <w:r w:rsidR="00D22CFF">
        <w:rPr>
          <w:sz w:val="18"/>
        </w:rPr>
        <w:t xml:space="preserve">broker-dealer division </w:t>
      </w:r>
      <w:r w:rsidR="0012204C" w:rsidRPr="00603D9B">
        <w:rPr>
          <w:sz w:val="18"/>
        </w:rPr>
        <w:t>CCO</w:t>
      </w:r>
      <w:r w:rsidR="0027055D">
        <w:rPr>
          <w:sz w:val="18"/>
        </w:rPr>
        <w:t>, Nancy Richter,</w:t>
      </w:r>
      <w:r w:rsidR="0012204C" w:rsidRPr="00603D9B">
        <w:rPr>
          <w:sz w:val="18"/>
        </w:rPr>
        <w:t xml:space="preserve"> will act as </w:t>
      </w:r>
      <w:r w:rsidR="00CC5A81">
        <w:rPr>
          <w:sz w:val="18"/>
        </w:rPr>
        <w:t>t</w:t>
      </w:r>
      <w:r w:rsidR="00485F39" w:rsidRPr="00603D9B">
        <w:rPr>
          <w:sz w:val="18"/>
        </w:rPr>
        <w:t>he Company</w:t>
      </w:r>
      <w:r w:rsidR="0075479B" w:rsidRPr="00603D9B">
        <w:rPr>
          <w:sz w:val="18"/>
        </w:rPr>
        <w:t>’s Anti-money laundering (</w:t>
      </w:r>
      <w:smartTag w:uri="urn:schemas-microsoft-com:office:smarttags" w:element="stockticker">
        <w:r w:rsidR="0075479B" w:rsidRPr="00603D9B">
          <w:rPr>
            <w:sz w:val="18"/>
          </w:rPr>
          <w:t>AML</w:t>
        </w:r>
      </w:smartTag>
      <w:r w:rsidR="0027055D">
        <w:rPr>
          <w:sz w:val="18"/>
        </w:rPr>
        <w:t>) Compliance O</w:t>
      </w:r>
      <w:r w:rsidR="0075479B" w:rsidRPr="00603D9B">
        <w:rPr>
          <w:sz w:val="18"/>
        </w:rPr>
        <w:t xml:space="preserve">fficer.  It will be the </w:t>
      </w:r>
      <w:smartTag w:uri="urn:schemas-microsoft-com:office:smarttags" w:element="stockticker">
        <w:r w:rsidR="0075479B" w:rsidRPr="00603D9B">
          <w:rPr>
            <w:sz w:val="18"/>
          </w:rPr>
          <w:t>AML</w:t>
        </w:r>
      </w:smartTag>
      <w:r w:rsidR="0027055D">
        <w:rPr>
          <w:sz w:val="18"/>
        </w:rPr>
        <w:t xml:space="preserve"> Compliance O</w:t>
      </w:r>
      <w:r w:rsidR="0075479B" w:rsidRPr="00603D9B">
        <w:rPr>
          <w:sz w:val="18"/>
        </w:rPr>
        <w:t>fficers’</w:t>
      </w:r>
      <w:r w:rsidR="0012204C" w:rsidRPr="00603D9B">
        <w:rPr>
          <w:sz w:val="18"/>
        </w:rPr>
        <w:t xml:space="preserve"> responsibility to assure that </w:t>
      </w:r>
      <w:r w:rsidR="0027055D">
        <w:rPr>
          <w:sz w:val="18"/>
        </w:rPr>
        <w:t>t</w:t>
      </w:r>
      <w:r w:rsidR="00485F39" w:rsidRPr="00603D9B">
        <w:rPr>
          <w:sz w:val="18"/>
        </w:rPr>
        <w:t>he Company</w:t>
      </w:r>
      <w:r w:rsidR="0075479B" w:rsidRPr="00603D9B">
        <w:rPr>
          <w:sz w:val="18"/>
        </w:rPr>
        <w:t xml:space="preserve">’s </w:t>
      </w:r>
      <w:smartTag w:uri="urn:schemas-microsoft-com:office:smarttags" w:element="stockticker">
        <w:r w:rsidR="0075479B" w:rsidRPr="00603D9B">
          <w:rPr>
            <w:sz w:val="18"/>
          </w:rPr>
          <w:t>AML</w:t>
        </w:r>
      </w:smartTag>
      <w:r w:rsidR="0075479B" w:rsidRPr="00603D9B">
        <w:rPr>
          <w:sz w:val="18"/>
        </w:rPr>
        <w:t xml:space="preserve"> polic</w:t>
      </w:r>
      <w:r w:rsidR="0012204C" w:rsidRPr="00603D9B">
        <w:rPr>
          <w:sz w:val="18"/>
        </w:rPr>
        <w:t>i</w:t>
      </w:r>
      <w:r w:rsidR="0075479B" w:rsidRPr="00603D9B">
        <w:rPr>
          <w:sz w:val="18"/>
        </w:rPr>
        <w:t xml:space="preserve">es and procedures are being followed.  As such, the </w:t>
      </w:r>
      <w:smartTag w:uri="urn:schemas-microsoft-com:office:smarttags" w:element="stockticker">
        <w:r w:rsidR="0075479B" w:rsidRPr="00603D9B">
          <w:rPr>
            <w:sz w:val="18"/>
          </w:rPr>
          <w:t>AML</w:t>
        </w:r>
      </w:smartTag>
      <w:r w:rsidR="0027055D">
        <w:rPr>
          <w:sz w:val="18"/>
        </w:rPr>
        <w:t xml:space="preserve"> C</w:t>
      </w:r>
      <w:r w:rsidR="0075479B" w:rsidRPr="00603D9B">
        <w:rPr>
          <w:sz w:val="18"/>
        </w:rPr>
        <w:t>omplianc</w:t>
      </w:r>
      <w:r w:rsidR="0027055D">
        <w:rPr>
          <w:sz w:val="18"/>
        </w:rPr>
        <w:t>e O</w:t>
      </w:r>
      <w:r w:rsidR="0012204C" w:rsidRPr="00603D9B">
        <w:rPr>
          <w:sz w:val="18"/>
        </w:rPr>
        <w:t xml:space="preserve">fficer will be empowered by </w:t>
      </w:r>
      <w:r w:rsidR="0027055D">
        <w:rPr>
          <w:sz w:val="18"/>
        </w:rPr>
        <w:t>t</w:t>
      </w:r>
      <w:r w:rsidR="00485F39" w:rsidRPr="00603D9B">
        <w:rPr>
          <w:sz w:val="18"/>
        </w:rPr>
        <w:t>he Company</w:t>
      </w:r>
      <w:r w:rsidR="0075479B" w:rsidRPr="00603D9B">
        <w:rPr>
          <w:sz w:val="18"/>
        </w:rPr>
        <w:t xml:space="preserve"> with full responsibility and authority to develop and enforce appropriate </w:t>
      </w:r>
      <w:smartTag w:uri="urn:schemas-microsoft-com:office:smarttags" w:element="stockticker">
        <w:r w:rsidR="0075479B" w:rsidRPr="00603D9B">
          <w:rPr>
            <w:sz w:val="18"/>
          </w:rPr>
          <w:t>AML</w:t>
        </w:r>
      </w:smartTag>
      <w:r w:rsidR="0075479B" w:rsidRPr="00603D9B">
        <w:rPr>
          <w:sz w:val="18"/>
        </w:rPr>
        <w:t xml:space="preserve"> policies and procedures.  Further, it will be the </w:t>
      </w:r>
      <w:smartTag w:uri="urn:schemas-microsoft-com:office:smarttags" w:element="stockticker">
        <w:r w:rsidR="0075479B" w:rsidRPr="00603D9B">
          <w:rPr>
            <w:sz w:val="18"/>
          </w:rPr>
          <w:t>AML</w:t>
        </w:r>
      </w:smartTag>
      <w:r w:rsidR="0027055D">
        <w:rPr>
          <w:sz w:val="18"/>
        </w:rPr>
        <w:t xml:space="preserve"> Compliance O</w:t>
      </w:r>
      <w:r w:rsidR="0075479B" w:rsidRPr="00603D9B">
        <w:rPr>
          <w:sz w:val="18"/>
        </w:rPr>
        <w:t xml:space="preserve">fficers’ responsibility to update and keep current such </w:t>
      </w:r>
      <w:smartTag w:uri="urn:schemas-microsoft-com:office:smarttags" w:element="stockticker">
        <w:r w:rsidR="0075479B" w:rsidRPr="00603D9B">
          <w:rPr>
            <w:sz w:val="18"/>
          </w:rPr>
          <w:t>AML</w:t>
        </w:r>
      </w:smartTag>
      <w:r w:rsidR="0075479B" w:rsidRPr="00603D9B">
        <w:rPr>
          <w:sz w:val="18"/>
        </w:rPr>
        <w:t xml:space="preserve"> policies and procedures.  </w:t>
      </w:r>
      <w:r w:rsidR="00485F39" w:rsidRPr="00603D9B">
        <w:rPr>
          <w:sz w:val="18"/>
        </w:rPr>
        <w:t>The Company</w:t>
      </w:r>
      <w:r w:rsidR="0075479B" w:rsidRPr="00603D9B">
        <w:rPr>
          <w:sz w:val="18"/>
        </w:rPr>
        <w:t>, as a matter of policy, will not be party to any transaction and will not facilitate any transaction with any person(s) or entity(ies) listed on the web site maintained by the Office of Foreign Assets Control (</w:t>
      </w:r>
      <w:r w:rsidR="0075479B" w:rsidRPr="00603D9B">
        <w:rPr>
          <w:sz w:val="18"/>
          <w:u w:val="single"/>
        </w:rPr>
        <w:t>www.treas.gov/ofac</w:t>
      </w:r>
      <w:r w:rsidR="0075479B" w:rsidRPr="00603D9B">
        <w:rPr>
          <w:sz w:val="18"/>
        </w:rPr>
        <w:t>)</w:t>
      </w:r>
      <w:r w:rsidR="003E3ADB" w:rsidRPr="003E3ADB">
        <w:rPr>
          <w:sz w:val="18"/>
        </w:rPr>
        <w:t xml:space="preserve"> </w:t>
      </w:r>
      <w:r w:rsidR="003E3ADB" w:rsidRPr="00603D9B">
        <w:rPr>
          <w:sz w:val="18"/>
        </w:rPr>
        <w:t>(</w:t>
      </w:r>
      <w:r w:rsidR="003E3ADB" w:rsidRPr="00603D9B">
        <w:rPr>
          <w:i/>
          <w:sz w:val="18"/>
        </w:rPr>
        <w:t>Prohibited Person</w:t>
      </w:r>
      <w:r w:rsidR="003E3ADB">
        <w:rPr>
          <w:sz w:val="18"/>
        </w:rPr>
        <w:t>)</w:t>
      </w:r>
      <w:r w:rsidR="0075479B" w:rsidRPr="00603D9B">
        <w:rPr>
          <w:sz w:val="18"/>
        </w:rPr>
        <w:t xml:space="preserve">.  If the </w:t>
      </w:r>
      <w:smartTag w:uri="urn:schemas-microsoft-com:office:smarttags" w:element="stockticker">
        <w:r w:rsidR="0075479B" w:rsidRPr="00603D9B">
          <w:rPr>
            <w:sz w:val="18"/>
          </w:rPr>
          <w:t>AML</w:t>
        </w:r>
      </w:smartTag>
      <w:r w:rsidR="0027055D">
        <w:rPr>
          <w:sz w:val="18"/>
        </w:rPr>
        <w:t xml:space="preserve"> Compliance O</w:t>
      </w:r>
      <w:r w:rsidR="0075479B" w:rsidRPr="00603D9B">
        <w:rPr>
          <w:sz w:val="18"/>
        </w:rPr>
        <w:t xml:space="preserve">fficer learns that any </w:t>
      </w:r>
      <w:r w:rsidR="0075479B" w:rsidRPr="00603D9B">
        <w:rPr>
          <w:i/>
          <w:sz w:val="18"/>
        </w:rPr>
        <w:t>Prohibited Person</w:t>
      </w:r>
      <w:r w:rsidR="0075479B" w:rsidRPr="00603D9B">
        <w:rPr>
          <w:sz w:val="18"/>
        </w:rPr>
        <w:t xml:space="preserve"> is, or is attempting to become, involved in any transaction with respect to the services that </w:t>
      </w:r>
      <w:r w:rsidR="0027055D">
        <w:rPr>
          <w:sz w:val="18"/>
        </w:rPr>
        <w:t>t</w:t>
      </w:r>
      <w:r w:rsidR="00485F39" w:rsidRPr="00603D9B">
        <w:rPr>
          <w:sz w:val="18"/>
        </w:rPr>
        <w:t>he Company</w:t>
      </w:r>
      <w:r w:rsidR="0075479B" w:rsidRPr="00603D9B">
        <w:rPr>
          <w:sz w:val="18"/>
        </w:rPr>
        <w:t xml:space="preserve"> provides, the </w:t>
      </w:r>
      <w:smartTag w:uri="urn:schemas-microsoft-com:office:smarttags" w:element="stockticker">
        <w:r w:rsidR="0075479B" w:rsidRPr="00603D9B">
          <w:rPr>
            <w:sz w:val="18"/>
          </w:rPr>
          <w:t>AML</w:t>
        </w:r>
      </w:smartTag>
      <w:r w:rsidR="0027055D">
        <w:rPr>
          <w:sz w:val="18"/>
        </w:rPr>
        <w:t xml:space="preserve"> Compliance O</w:t>
      </w:r>
      <w:r w:rsidR="0075479B" w:rsidRPr="00603D9B">
        <w:rPr>
          <w:sz w:val="18"/>
        </w:rPr>
        <w:t xml:space="preserve">fficer will immediately </w:t>
      </w:r>
      <w:r w:rsidR="0012204C" w:rsidRPr="00603D9B">
        <w:rPr>
          <w:sz w:val="18"/>
        </w:rPr>
        <w:t xml:space="preserve">investigate and </w:t>
      </w:r>
      <w:r w:rsidR="0075479B" w:rsidRPr="00603D9B">
        <w:rPr>
          <w:sz w:val="18"/>
        </w:rPr>
        <w:t xml:space="preserve">report such transaction </w:t>
      </w:r>
      <w:r w:rsidR="0012204C" w:rsidRPr="00603D9B">
        <w:rPr>
          <w:sz w:val="18"/>
        </w:rPr>
        <w:t>as required</w:t>
      </w:r>
      <w:r w:rsidR="0075479B" w:rsidRPr="00603D9B">
        <w:rPr>
          <w:sz w:val="18"/>
        </w:rPr>
        <w:t>.</w:t>
      </w:r>
    </w:p>
    <w:p w14:paraId="39C1BBD0" w14:textId="77777777" w:rsidR="0075479B" w:rsidRPr="00603D9B" w:rsidRDefault="0075479B">
      <w:pPr>
        <w:keepNext/>
        <w:spacing w:after="360" w:line="360" w:lineRule="auto"/>
        <w:ind w:left="1152"/>
        <w:rPr>
          <w:sz w:val="18"/>
        </w:rPr>
      </w:pPr>
      <w:r w:rsidRPr="00603D9B">
        <w:rPr>
          <w:sz w:val="18"/>
        </w:rPr>
        <w:lastRenderedPageBreak/>
        <w:t xml:space="preserve">At a minimum, it will be the </w:t>
      </w:r>
      <w:smartTag w:uri="urn:schemas-microsoft-com:office:smarttags" w:element="stockticker">
        <w:r w:rsidRPr="00603D9B">
          <w:rPr>
            <w:sz w:val="18"/>
          </w:rPr>
          <w:t>AML</w:t>
        </w:r>
      </w:smartTag>
      <w:r w:rsidR="0027055D">
        <w:rPr>
          <w:sz w:val="18"/>
        </w:rPr>
        <w:t xml:space="preserve"> Compliance O</w:t>
      </w:r>
      <w:r w:rsidRPr="00603D9B">
        <w:rPr>
          <w:sz w:val="18"/>
        </w:rPr>
        <w:t>fficers’ responsibility to:</w:t>
      </w:r>
    </w:p>
    <w:p w14:paraId="584EE2A4" w14:textId="741479D4"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 xml:space="preserve">Establish and implement policies, procedures, and internal controls </w:t>
      </w:r>
      <w:r w:rsidR="0012204C" w:rsidRPr="00603D9B">
        <w:rPr>
          <w:sz w:val="18"/>
        </w:rPr>
        <w:t xml:space="preserve">reasonably designed to prevent </w:t>
      </w:r>
      <w:r w:rsidR="0027055D">
        <w:rPr>
          <w:sz w:val="18"/>
        </w:rPr>
        <w:t>t</w:t>
      </w:r>
      <w:r w:rsidR="00485F39" w:rsidRPr="00603D9B">
        <w:rPr>
          <w:sz w:val="18"/>
        </w:rPr>
        <w:t>he Company</w:t>
      </w:r>
      <w:r w:rsidRPr="00603D9B">
        <w:rPr>
          <w:sz w:val="18"/>
        </w:rPr>
        <w:t xml:space="preserve"> from being used to launder money or finance terrorist activities, including but not limited to achieving compliance with applicable provisions of the Bank Secrecy Act (BSA) and the Financial Crimes Enforcement Network’s (FinCEN) implementing regulations.  The </w:t>
      </w:r>
      <w:smartTag w:uri="urn:schemas-microsoft-com:office:smarttags" w:element="stockticker">
        <w:r w:rsidRPr="00603D9B">
          <w:rPr>
            <w:sz w:val="18"/>
          </w:rPr>
          <w:t>AML</w:t>
        </w:r>
      </w:smartTag>
      <w:r w:rsidR="0027055D">
        <w:rPr>
          <w:sz w:val="18"/>
        </w:rPr>
        <w:t xml:space="preserve"> Compliance O</w:t>
      </w:r>
      <w:r w:rsidRPr="00603D9B">
        <w:rPr>
          <w:sz w:val="18"/>
        </w:rPr>
        <w:t xml:space="preserve">fficer will review the types of services </w:t>
      </w:r>
      <w:r w:rsidR="0027055D">
        <w:rPr>
          <w:sz w:val="18"/>
        </w:rPr>
        <w:t>t</w:t>
      </w:r>
      <w:r w:rsidR="00485F39" w:rsidRPr="00603D9B">
        <w:rPr>
          <w:sz w:val="18"/>
        </w:rPr>
        <w:t>he Company</w:t>
      </w:r>
      <w:r w:rsidRPr="00603D9B">
        <w:rPr>
          <w:sz w:val="18"/>
        </w:rPr>
        <w:t xml:space="preserve"> provides and the nature of it</w:t>
      </w:r>
      <w:r w:rsidR="0012204C" w:rsidRPr="00603D9B">
        <w:rPr>
          <w:sz w:val="18"/>
        </w:rPr>
        <w:t xml:space="preserve">s clients in order to identify </w:t>
      </w:r>
      <w:r w:rsidR="0027055D">
        <w:rPr>
          <w:sz w:val="18"/>
        </w:rPr>
        <w:t>t</w:t>
      </w:r>
      <w:r w:rsidR="00485F39" w:rsidRPr="00603D9B">
        <w:rPr>
          <w:sz w:val="18"/>
        </w:rPr>
        <w:t>he Company</w:t>
      </w:r>
      <w:r w:rsidRPr="00603D9B">
        <w:rPr>
          <w:sz w:val="18"/>
        </w:rPr>
        <w:t xml:space="preserve">’s vulnerability to any money laundering activities.  The </w:t>
      </w:r>
      <w:smartTag w:uri="urn:schemas-microsoft-com:office:smarttags" w:element="stockticker">
        <w:r w:rsidRPr="00603D9B">
          <w:rPr>
            <w:sz w:val="18"/>
          </w:rPr>
          <w:t>AML</w:t>
        </w:r>
      </w:smartTag>
      <w:r w:rsidR="0027055D">
        <w:rPr>
          <w:sz w:val="18"/>
        </w:rPr>
        <w:t xml:space="preserve"> Compliance O</w:t>
      </w:r>
      <w:r w:rsidRPr="00603D9B">
        <w:rPr>
          <w:sz w:val="18"/>
        </w:rPr>
        <w:t>fficer will, after such review, develop and implement policies and procedures that would reasonably address such issues and periodically assess the effectiveness of such policies and procedures.</w:t>
      </w:r>
    </w:p>
    <w:p w14:paraId="6559A3BD" w14:textId="193C6CBF" w:rsidR="0075479B" w:rsidRPr="00603D9B" w:rsidRDefault="0075479B">
      <w:pPr>
        <w:pStyle w:val="Heading3"/>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sz w:val="18"/>
        </w:rPr>
        <w:tab/>
        <w:t>Provide for independ</w:t>
      </w:r>
      <w:r w:rsidR="0012204C" w:rsidRPr="00603D9B">
        <w:rPr>
          <w:sz w:val="18"/>
        </w:rPr>
        <w:t xml:space="preserve">ent testing of compliance with </w:t>
      </w:r>
      <w:r w:rsidR="0027055D">
        <w:rPr>
          <w:sz w:val="18"/>
        </w:rPr>
        <w:t>t</w:t>
      </w:r>
      <w:r w:rsidR="00485F39" w:rsidRPr="00603D9B">
        <w:rPr>
          <w:sz w:val="18"/>
        </w:rPr>
        <w:t>he Company</w:t>
      </w:r>
      <w:r w:rsidRPr="00603D9B">
        <w:rPr>
          <w:sz w:val="18"/>
        </w:rPr>
        <w:t xml:space="preserve">’s </w:t>
      </w:r>
      <w:smartTag w:uri="urn:schemas-microsoft-com:office:smarttags" w:element="stockticker">
        <w:r w:rsidRPr="00603D9B">
          <w:rPr>
            <w:sz w:val="18"/>
          </w:rPr>
          <w:t>AML</w:t>
        </w:r>
      </w:smartTag>
      <w:r w:rsidRPr="00603D9B">
        <w:rPr>
          <w:sz w:val="18"/>
        </w:rPr>
        <w:t xml:space="preserve"> policies and procedures.  The testing of these policies and procedures will be conducted </w:t>
      </w:r>
      <w:r w:rsidR="003E3ADB">
        <w:rPr>
          <w:sz w:val="18"/>
        </w:rPr>
        <w:t xml:space="preserve">at least </w:t>
      </w:r>
      <w:r w:rsidRPr="00603D9B">
        <w:rPr>
          <w:sz w:val="18"/>
        </w:rPr>
        <w:t xml:space="preserve">annually, </w:t>
      </w:r>
      <w:r w:rsidR="003E3ADB">
        <w:rPr>
          <w:sz w:val="18"/>
        </w:rPr>
        <w:t>by a qualified independent party.</w:t>
      </w:r>
      <w:r w:rsidR="0012204C" w:rsidRPr="00603D9B">
        <w:rPr>
          <w:sz w:val="18"/>
        </w:rPr>
        <w:t xml:space="preserve">  A written assessment of </w:t>
      </w:r>
      <w:r w:rsidR="0027055D">
        <w:rPr>
          <w:sz w:val="18"/>
        </w:rPr>
        <w:t>t</w:t>
      </w:r>
      <w:r w:rsidR="00485F39" w:rsidRPr="00603D9B">
        <w:rPr>
          <w:sz w:val="18"/>
        </w:rPr>
        <w:t>he Company</w:t>
      </w:r>
      <w:r w:rsidRPr="00603D9B">
        <w:rPr>
          <w:sz w:val="18"/>
        </w:rPr>
        <w:t xml:space="preserve">’s </w:t>
      </w:r>
      <w:smartTag w:uri="urn:schemas-microsoft-com:office:smarttags" w:element="stockticker">
        <w:r w:rsidRPr="00603D9B">
          <w:rPr>
            <w:sz w:val="18"/>
          </w:rPr>
          <w:t>AML</w:t>
        </w:r>
      </w:smartTag>
      <w:r w:rsidRPr="00603D9B">
        <w:rPr>
          <w:sz w:val="18"/>
        </w:rPr>
        <w:t xml:space="preserve"> policies </w:t>
      </w:r>
      <w:r w:rsidR="0052398E" w:rsidRPr="00603D9B">
        <w:rPr>
          <w:sz w:val="18"/>
        </w:rPr>
        <w:t>will</w:t>
      </w:r>
      <w:r w:rsidRPr="00603D9B">
        <w:rPr>
          <w:sz w:val="18"/>
        </w:rPr>
        <w:t xml:space="preserve"> be generated, reviewed by the </w:t>
      </w:r>
      <w:smartTag w:uri="urn:schemas-microsoft-com:office:smarttags" w:element="stockticker">
        <w:r w:rsidRPr="00603D9B">
          <w:rPr>
            <w:sz w:val="18"/>
          </w:rPr>
          <w:t>AML</w:t>
        </w:r>
      </w:smartTag>
      <w:r w:rsidRPr="00603D9B">
        <w:rPr>
          <w:sz w:val="18"/>
        </w:rPr>
        <w:t xml:space="preserve"> </w:t>
      </w:r>
      <w:r w:rsidR="0027055D">
        <w:rPr>
          <w:sz w:val="18"/>
        </w:rPr>
        <w:t>Compliance O</w:t>
      </w:r>
      <w:r w:rsidRPr="00603D9B">
        <w:rPr>
          <w:sz w:val="18"/>
        </w:rPr>
        <w:t xml:space="preserve">fficer and </w:t>
      </w:r>
      <w:r w:rsidR="003E3ADB">
        <w:rPr>
          <w:sz w:val="18"/>
        </w:rPr>
        <w:t>retained</w:t>
      </w:r>
      <w:r w:rsidRPr="00603D9B">
        <w:rPr>
          <w:sz w:val="18"/>
        </w:rPr>
        <w:t xml:space="preserve"> in </w:t>
      </w:r>
      <w:r w:rsidR="0027055D">
        <w:rPr>
          <w:sz w:val="18"/>
        </w:rPr>
        <w:t>t</w:t>
      </w:r>
      <w:r w:rsidRPr="00603D9B">
        <w:rPr>
          <w:sz w:val="18"/>
        </w:rPr>
        <w:t>he</w:t>
      </w:r>
      <w:r w:rsidR="003E3ADB">
        <w:rPr>
          <w:sz w:val="18"/>
        </w:rPr>
        <w:t xml:space="preserve"> Company’s</w:t>
      </w:r>
      <w:r w:rsidRPr="00603D9B">
        <w:rPr>
          <w:sz w:val="18"/>
        </w:rPr>
        <w:t xml:space="preserve"> </w:t>
      </w:r>
      <w:smartTag w:uri="urn:schemas-microsoft-com:office:smarttags" w:element="stockticker">
        <w:r w:rsidRPr="00603D9B">
          <w:rPr>
            <w:sz w:val="18"/>
          </w:rPr>
          <w:t>AML</w:t>
        </w:r>
      </w:smartTag>
      <w:r w:rsidRPr="00603D9B">
        <w:rPr>
          <w:sz w:val="18"/>
        </w:rPr>
        <w:t xml:space="preserve"> r</w:t>
      </w:r>
      <w:r w:rsidR="003E3ADB">
        <w:rPr>
          <w:sz w:val="18"/>
        </w:rPr>
        <w:t>ecords</w:t>
      </w:r>
      <w:r w:rsidRPr="00603D9B">
        <w:rPr>
          <w:sz w:val="18"/>
        </w:rPr>
        <w:t xml:space="preserve">.  Any recommendations resulting from such review </w:t>
      </w:r>
      <w:r w:rsidR="0052398E" w:rsidRPr="00603D9B">
        <w:rPr>
          <w:sz w:val="18"/>
        </w:rPr>
        <w:t>will</w:t>
      </w:r>
      <w:r w:rsidRPr="00603D9B">
        <w:rPr>
          <w:sz w:val="18"/>
        </w:rPr>
        <w:t xml:space="preserve"> be promptly addressed.</w:t>
      </w:r>
    </w:p>
    <w:p w14:paraId="3AEB74A9" w14:textId="14603BB0" w:rsidR="0075479B" w:rsidRPr="00603D9B" w:rsidRDefault="0075479B">
      <w:pPr>
        <w:pStyle w:val="Heading3"/>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sz w:val="18"/>
        </w:rPr>
        <w:tab/>
        <w:t xml:space="preserve">Provide, </w:t>
      </w:r>
      <w:r w:rsidR="003E3ADB">
        <w:rPr>
          <w:sz w:val="18"/>
        </w:rPr>
        <w:t xml:space="preserve">at least </w:t>
      </w:r>
      <w:r w:rsidRPr="00603D9B">
        <w:rPr>
          <w:sz w:val="18"/>
        </w:rPr>
        <w:t>annually</w:t>
      </w:r>
      <w:r w:rsidR="00B655EC" w:rsidRPr="00603D9B">
        <w:rPr>
          <w:sz w:val="18"/>
        </w:rPr>
        <w:t>,</w:t>
      </w:r>
      <w:r w:rsidRPr="00603D9B">
        <w:rPr>
          <w:sz w:val="18"/>
        </w:rPr>
        <w:t xml:space="preserve"> training for </w:t>
      </w:r>
      <w:r w:rsidR="00B655EC" w:rsidRPr="00603D9B">
        <w:rPr>
          <w:sz w:val="18"/>
        </w:rPr>
        <w:t xml:space="preserve">all </w:t>
      </w:r>
      <w:r w:rsidRPr="00603D9B">
        <w:rPr>
          <w:sz w:val="18"/>
        </w:rPr>
        <w:t xml:space="preserve">employee/independent </w:t>
      </w:r>
      <w:r w:rsidR="005B2CC2" w:rsidRPr="00603D9B">
        <w:rPr>
          <w:sz w:val="18"/>
        </w:rPr>
        <w:t>contractors</w:t>
      </w:r>
      <w:r w:rsidRPr="00603D9B">
        <w:rPr>
          <w:sz w:val="18"/>
        </w:rPr>
        <w:t xml:space="preserve"> </w:t>
      </w:r>
      <w:r w:rsidR="00B655EC" w:rsidRPr="00603D9B">
        <w:rPr>
          <w:sz w:val="18"/>
        </w:rPr>
        <w:t>of the firm</w:t>
      </w:r>
      <w:r w:rsidRPr="00603D9B">
        <w:rPr>
          <w:sz w:val="18"/>
        </w:rPr>
        <w:t xml:space="preserve">.  </w:t>
      </w:r>
      <w:r w:rsidR="00B655EC" w:rsidRPr="00603D9B">
        <w:rPr>
          <w:sz w:val="18"/>
        </w:rPr>
        <w:t>T</w:t>
      </w:r>
      <w:r w:rsidRPr="00603D9B">
        <w:rPr>
          <w:sz w:val="18"/>
        </w:rPr>
        <w:t xml:space="preserve">hese employees/independent contractors will be made aware of BSA requirements relevant to their functions and trained in recognizing possible signs of money laundering that could arise in the course of their duties.  The </w:t>
      </w:r>
      <w:smartTag w:uri="urn:schemas-microsoft-com:office:smarttags" w:element="stockticker">
        <w:r w:rsidRPr="00603D9B">
          <w:rPr>
            <w:sz w:val="18"/>
          </w:rPr>
          <w:t>AML</w:t>
        </w:r>
      </w:smartTag>
      <w:r w:rsidR="0027055D">
        <w:rPr>
          <w:sz w:val="18"/>
        </w:rPr>
        <w:t xml:space="preserve"> Compliance O</w:t>
      </w:r>
      <w:r w:rsidRPr="00603D9B">
        <w:rPr>
          <w:sz w:val="18"/>
        </w:rPr>
        <w:t xml:space="preserve">fficer will evaluate the effectiveness of such training programs and </w:t>
      </w:r>
      <w:r w:rsidR="005B2CC2" w:rsidRPr="00603D9B">
        <w:rPr>
          <w:sz w:val="18"/>
        </w:rPr>
        <w:t>adjust</w:t>
      </w:r>
      <w:r w:rsidRPr="00603D9B">
        <w:rPr>
          <w:sz w:val="18"/>
        </w:rPr>
        <w:t xml:space="preserve"> the program(s) offered as needed.  Further, the </w:t>
      </w:r>
      <w:smartTag w:uri="urn:schemas-microsoft-com:office:smarttags" w:element="stockticker">
        <w:r w:rsidRPr="00603D9B">
          <w:rPr>
            <w:sz w:val="18"/>
          </w:rPr>
          <w:t>AML</w:t>
        </w:r>
      </w:smartTag>
      <w:r w:rsidR="0027055D">
        <w:rPr>
          <w:sz w:val="18"/>
        </w:rPr>
        <w:t xml:space="preserve"> Compliance O</w:t>
      </w:r>
      <w:r w:rsidRPr="00603D9B">
        <w:rPr>
          <w:sz w:val="18"/>
        </w:rPr>
        <w:t xml:space="preserve">fficer </w:t>
      </w:r>
      <w:r w:rsidR="0012204C" w:rsidRPr="00603D9B">
        <w:rPr>
          <w:sz w:val="18"/>
        </w:rPr>
        <w:t xml:space="preserve">or her delegate </w:t>
      </w:r>
      <w:r w:rsidRPr="00603D9B">
        <w:rPr>
          <w:sz w:val="18"/>
        </w:rPr>
        <w:t>will document such training sessions by recording the names of those individuals attending and the dates of attendance.</w:t>
      </w:r>
      <w:r w:rsidR="003E3ADB">
        <w:rPr>
          <w:sz w:val="18"/>
        </w:rPr>
        <w:t xml:space="preserve">  See the </w:t>
      </w:r>
      <w:r w:rsidR="00B3144D" w:rsidRPr="00603D9B">
        <w:rPr>
          <w:sz w:val="18"/>
        </w:rPr>
        <w:t>Cutter &amp; Compa</w:t>
      </w:r>
      <w:r w:rsidR="0027055D">
        <w:rPr>
          <w:sz w:val="18"/>
        </w:rPr>
        <w:t>ny Anti-Money Laundering Manual for more details regarding the Company’s AML program.  The AML manual’s provisions</w:t>
      </w:r>
      <w:r w:rsidR="00B3144D" w:rsidRPr="00603D9B">
        <w:rPr>
          <w:sz w:val="18"/>
        </w:rPr>
        <w:t xml:space="preserve"> apply to all division</w:t>
      </w:r>
      <w:r w:rsidR="0027055D">
        <w:rPr>
          <w:sz w:val="18"/>
        </w:rPr>
        <w:t>s of Cutter &amp; Company.</w:t>
      </w:r>
    </w:p>
    <w:p w14:paraId="75E7398E" w14:textId="54D9AA61" w:rsidR="0075479B" w:rsidRPr="005B398B" w:rsidRDefault="0075479B">
      <w:pPr>
        <w:pStyle w:val="Heading1"/>
        <w:rPr>
          <w:sz w:val="24"/>
        </w:rPr>
      </w:pPr>
      <w:r w:rsidRPr="005B398B">
        <w:rPr>
          <w:sz w:val="24"/>
        </w:rPr>
        <w:fldChar w:fldCharType="begin"/>
      </w:r>
      <w:r w:rsidRPr="005B398B">
        <w:rPr>
          <w:sz w:val="24"/>
        </w:rPr>
        <w:instrText xml:space="preserve"> SEQ SeqIII \n \*ROMAN \*MERGEFORMAT </w:instrText>
      </w:r>
      <w:r w:rsidRPr="005B398B">
        <w:rPr>
          <w:sz w:val="24"/>
        </w:rPr>
        <w:fldChar w:fldCharType="separate"/>
      </w:r>
      <w:r w:rsidR="002A078E">
        <w:rPr>
          <w:noProof/>
          <w:sz w:val="24"/>
        </w:rPr>
        <w:t>VI</w:t>
      </w:r>
      <w:r w:rsidRPr="005B398B">
        <w:rPr>
          <w:sz w:val="24"/>
        </w:rPr>
        <w:fldChar w:fldCharType="end"/>
      </w:r>
      <w:r w:rsidRPr="005B398B">
        <w:rPr>
          <w:sz w:val="24"/>
        </w:rPr>
        <w:t>.</w:t>
      </w:r>
      <w:r w:rsidRPr="005B398B">
        <w:rPr>
          <w:sz w:val="24"/>
        </w:rPr>
        <w:tab/>
      </w:r>
      <w:r w:rsidR="00854D9E">
        <w:rPr>
          <w:sz w:val="24"/>
        </w:rPr>
        <w:t>marketing rule</w:t>
      </w:r>
    </w:p>
    <w:p w14:paraId="4297E556" w14:textId="51E12201"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Regulation</w:t>
      </w:r>
      <w:r w:rsidRPr="00603D9B">
        <w:rPr>
          <w:sz w:val="18"/>
        </w:rPr>
        <w:t xml:space="preserve">.  </w:t>
      </w:r>
      <w:r w:rsidR="00485F39" w:rsidRPr="00603D9B">
        <w:rPr>
          <w:sz w:val="18"/>
        </w:rPr>
        <w:t>The Company</w:t>
      </w:r>
      <w:r w:rsidRPr="00603D9B">
        <w:rPr>
          <w:sz w:val="18"/>
        </w:rPr>
        <w:t xml:space="preserve">’s advertising </w:t>
      </w:r>
      <w:r w:rsidR="00854D9E">
        <w:rPr>
          <w:sz w:val="18"/>
        </w:rPr>
        <w:t xml:space="preserve">and solicitation </w:t>
      </w:r>
      <w:r w:rsidRPr="00603D9B">
        <w:rPr>
          <w:sz w:val="18"/>
        </w:rPr>
        <w:t xml:space="preserve">practices are regulated by the </w:t>
      </w:r>
      <w:smartTag w:uri="urn:schemas-microsoft-com:office:smarttags" w:element="stockticker">
        <w:r w:rsidRPr="00603D9B">
          <w:rPr>
            <w:sz w:val="18"/>
          </w:rPr>
          <w:t>SEC</w:t>
        </w:r>
      </w:smartTag>
      <w:r w:rsidRPr="00603D9B">
        <w:rPr>
          <w:sz w:val="18"/>
        </w:rPr>
        <w:t xml:space="preserve">, which generally prohibits </w:t>
      </w:r>
      <w:r w:rsidR="0027055D">
        <w:rPr>
          <w:sz w:val="18"/>
        </w:rPr>
        <w:t>t</w:t>
      </w:r>
      <w:r w:rsidR="00485F39" w:rsidRPr="00603D9B">
        <w:rPr>
          <w:sz w:val="18"/>
        </w:rPr>
        <w:t>he Company</w:t>
      </w:r>
      <w:r w:rsidRPr="00603D9B">
        <w:rPr>
          <w:sz w:val="18"/>
        </w:rPr>
        <w:t xml:space="preserve"> from engaging in fraudulent, deceptive, or manipulative activities.  These rules also prohibit the making of any untrue </w:t>
      </w:r>
      <w:r w:rsidR="00EE183C">
        <w:rPr>
          <w:sz w:val="18"/>
        </w:rPr>
        <w:t xml:space="preserve">or unsubstantiated material claim or </w:t>
      </w:r>
      <w:r w:rsidRPr="00603D9B">
        <w:rPr>
          <w:sz w:val="18"/>
        </w:rPr>
        <w:t xml:space="preserve">statement of a material fact or any statement that is otherwise false or misleading.  </w:t>
      </w:r>
    </w:p>
    <w:p w14:paraId="266C333A" w14:textId="7AAE58F9" w:rsidR="0075479B" w:rsidRDefault="0075479B" w:rsidP="00E25C09">
      <w:pPr>
        <w:pStyle w:val="Heading2"/>
        <w:keepNext/>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r>
      <w:r w:rsidR="00E25C09" w:rsidRPr="00603D9B">
        <w:rPr>
          <w:b/>
          <w:sz w:val="18"/>
        </w:rPr>
        <w:t>Definition of Advertising</w:t>
      </w:r>
      <w:r w:rsidR="00E25C09" w:rsidRPr="00603D9B">
        <w:rPr>
          <w:sz w:val="18"/>
        </w:rPr>
        <w:t xml:space="preserve">.  Advertising is </w:t>
      </w:r>
      <w:r w:rsidR="00E25C09">
        <w:rPr>
          <w:sz w:val="18"/>
        </w:rPr>
        <w:t xml:space="preserve">any direct or indirect communication </w:t>
      </w:r>
      <w:r w:rsidR="00E25C09" w:rsidRPr="00603D9B">
        <w:rPr>
          <w:sz w:val="18"/>
        </w:rPr>
        <w:t>addressed to more than one person</w:t>
      </w:r>
      <w:r w:rsidR="00E25C09">
        <w:rPr>
          <w:sz w:val="18"/>
        </w:rPr>
        <w:t>, or to one or more persons if the communication includes hypothetical performance, that offers</w:t>
      </w:r>
      <w:r w:rsidR="00E25C09" w:rsidRPr="00603D9B">
        <w:rPr>
          <w:sz w:val="18"/>
        </w:rPr>
        <w:t xml:space="preserve"> any investment advisory services regarding securities.  </w:t>
      </w:r>
      <w:r w:rsidR="00E25C09">
        <w:rPr>
          <w:sz w:val="18"/>
        </w:rPr>
        <w:t xml:space="preserve">Additionally, advertising includes any endorsement or testimonial for which an investment adviser provide compensation, directly or indirectly.  </w:t>
      </w:r>
      <w:r w:rsidR="00E25C09" w:rsidRPr="00603D9B">
        <w:rPr>
          <w:sz w:val="18"/>
        </w:rPr>
        <w:t xml:space="preserve">This broad definition includes standardized forms, form letters, </w:t>
      </w:r>
      <w:r w:rsidR="00E25C09">
        <w:rPr>
          <w:sz w:val="18"/>
        </w:rPr>
        <w:t>t</w:t>
      </w:r>
      <w:r w:rsidR="00E25C09" w:rsidRPr="00603D9B">
        <w:rPr>
          <w:sz w:val="18"/>
        </w:rPr>
        <w:t>he Company’s brochures, or any other materials designed to maintain existing clients or to solicit new clients.</w:t>
      </w:r>
      <w:r w:rsidR="00E25C09">
        <w:rPr>
          <w:sz w:val="18"/>
        </w:rPr>
        <w:t xml:space="preserve">  </w:t>
      </w:r>
    </w:p>
    <w:p w14:paraId="2923E505" w14:textId="77777777" w:rsidR="00EE5518" w:rsidRDefault="00523515" w:rsidP="00523515">
      <w:pPr>
        <w:rPr>
          <w:rFonts w:cs="Arial"/>
          <w:b/>
          <w:bCs/>
          <w:iCs/>
          <w:noProof/>
          <w:sz w:val="18"/>
        </w:rPr>
      </w:pPr>
      <w:r>
        <w:rPr>
          <w:rFonts w:cs="Arial"/>
          <w:b/>
          <w:bCs/>
          <w:iCs/>
          <w:noProof/>
          <w:sz w:val="18"/>
        </w:rPr>
        <w:tab/>
      </w:r>
      <w:r>
        <w:rPr>
          <w:rFonts w:cs="Arial"/>
          <w:b/>
          <w:bCs/>
          <w:iCs/>
          <w:noProof/>
          <w:sz w:val="18"/>
        </w:rPr>
        <w:tab/>
        <w:t xml:space="preserve">      </w:t>
      </w:r>
    </w:p>
    <w:p w14:paraId="6CDE2A70" w14:textId="6115B047" w:rsidR="00523515" w:rsidRDefault="00523515" w:rsidP="00523515">
      <w:pPr>
        <w:rPr>
          <w:rFonts w:cs="Arial"/>
          <w:iCs/>
          <w:noProof/>
          <w:sz w:val="18"/>
        </w:rPr>
      </w:pPr>
      <w:r>
        <w:rPr>
          <w:rFonts w:cs="Arial"/>
          <w:iCs/>
          <w:noProof/>
          <w:sz w:val="18"/>
        </w:rPr>
        <w:lastRenderedPageBreak/>
        <w:t>An advertisement may not:</w:t>
      </w:r>
    </w:p>
    <w:p w14:paraId="18188E3B" w14:textId="77777777" w:rsidR="00EE5518" w:rsidRDefault="00EE5518" w:rsidP="00523515">
      <w:pPr>
        <w:rPr>
          <w:rFonts w:cs="Arial"/>
          <w:iCs/>
          <w:noProof/>
          <w:sz w:val="18"/>
        </w:rPr>
      </w:pPr>
    </w:p>
    <w:p w14:paraId="0C490D31" w14:textId="47D6211F" w:rsidR="00523515" w:rsidRDefault="00523515" w:rsidP="00523515">
      <w:pPr>
        <w:pStyle w:val="ListParagraph"/>
        <w:numPr>
          <w:ilvl w:val="0"/>
          <w:numId w:val="35"/>
        </w:numPr>
        <w:rPr>
          <w:sz w:val="18"/>
          <w:szCs w:val="18"/>
        </w:rPr>
      </w:pPr>
      <w:r w:rsidRPr="00920102">
        <w:rPr>
          <w:sz w:val="18"/>
          <w:szCs w:val="18"/>
        </w:rPr>
        <w:t>Include any untrue statement of a material fact, or omit to state a material fact</w:t>
      </w:r>
      <w:r w:rsidR="00920102">
        <w:rPr>
          <w:sz w:val="18"/>
          <w:szCs w:val="18"/>
        </w:rPr>
        <w:t>,</w:t>
      </w:r>
    </w:p>
    <w:p w14:paraId="06C82E36" w14:textId="34F4B3F8" w:rsidR="00920102" w:rsidRDefault="00920102" w:rsidP="00523515">
      <w:pPr>
        <w:pStyle w:val="ListParagraph"/>
        <w:numPr>
          <w:ilvl w:val="0"/>
          <w:numId w:val="35"/>
        </w:numPr>
        <w:rPr>
          <w:sz w:val="18"/>
          <w:szCs w:val="18"/>
        </w:rPr>
      </w:pPr>
      <w:r>
        <w:rPr>
          <w:sz w:val="18"/>
          <w:szCs w:val="18"/>
        </w:rPr>
        <w:t>Include a material statement of fact the advisor does not have a reasonable basis for believing it is able to substantiate,</w:t>
      </w:r>
    </w:p>
    <w:p w14:paraId="1F3AC3AF" w14:textId="233C0038" w:rsidR="00920102" w:rsidRDefault="00920102" w:rsidP="00523515">
      <w:pPr>
        <w:pStyle w:val="ListParagraph"/>
        <w:numPr>
          <w:ilvl w:val="0"/>
          <w:numId w:val="35"/>
        </w:numPr>
        <w:rPr>
          <w:sz w:val="18"/>
          <w:szCs w:val="18"/>
        </w:rPr>
      </w:pPr>
      <w:r>
        <w:rPr>
          <w:sz w:val="18"/>
          <w:szCs w:val="18"/>
        </w:rPr>
        <w:t>Include information reasonably likely to cause an untrue or misleading implication or inference to be drawn,</w:t>
      </w:r>
    </w:p>
    <w:p w14:paraId="14C5AAC4" w14:textId="30F8B14D" w:rsidR="00920102" w:rsidRDefault="00920102" w:rsidP="00523515">
      <w:pPr>
        <w:pStyle w:val="ListParagraph"/>
        <w:numPr>
          <w:ilvl w:val="0"/>
          <w:numId w:val="35"/>
        </w:numPr>
        <w:rPr>
          <w:sz w:val="18"/>
          <w:szCs w:val="18"/>
        </w:rPr>
      </w:pPr>
      <w:r>
        <w:rPr>
          <w:sz w:val="18"/>
          <w:szCs w:val="18"/>
        </w:rPr>
        <w:t>Discuss potential benefits to clients or investors as it relates to the investment advisor’s services or methods of operation without providing fair and balanced treatment of any material risks or limitations associated with the potential benefits,</w:t>
      </w:r>
    </w:p>
    <w:p w14:paraId="2E71339F" w14:textId="4721CE94" w:rsidR="00920102" w:rsidRDefault="00920102" w:rsidP="00523515">
      <w:pPr>
        <w:pStyle w:val="ListParagraph"/>
        <w:numPr>
          <w:ilvl w:val="0"/>
          <w:numId w:val="35"/>
        </w:numPr>
        <w:rPr>
          <w:sz w:val="18"/>
          <w:szCs w:val="18"/>
        </w:rPr>
      </w:pPr>
      <w:r>
        <w:rPr>
          <w:sz w:val="18"/>
          <w:szCs w:val="18"/>
        </w:rPr>
        <w:t>Reference to specific investment advice</w:t>
      </w:r>
      <w:r w:rsidR="00EE5518">
        <w:rPr>
          <w:sz w:val="18"/>
          <w:szCs w:val="18"/>
        </w:rPr>
        <w:t>, include or exclude performance results</w:t>
      </w:r>
      <w:r>
        <w:rPr>
          <w:sz w:val="18"/>
          <w:szCs w:val="18"/>
        </w:rPr>
        <w:t xml:space="preserve"> provided by the investment advisor where not presented in a fair and balanced manner,</w:t>
      </w:r>
    </w:p>
    <w:p w14:paraId="6D894894" w14:textId="77777777" w:rsidR="00510657" w:rsidRDefault="00EE5518" w:rsidP="00510657">
      <w:pPr>
        <w:pStyle w:val="ListParagraph"/>
        <w:numPr>
          <w:ilvl w:val="0"/>
          <w:numId w:val="35"/>
        </w:numPr>
        <w:rPr>
          <w:sz w:val="18"/>
          <w:szCs w:val="18"/>
        </w:rPr>
      </w:pPr>
      <w:r>
        <w:rPr>
          <w:sz w:val="18"/>
          <w:szCs w:val="18"/>
        </w:rPr>
        <w:t>Otherwise be materially misleading.</w:t>
      </w:r>
    </w:p>
    <w:p w14:paraId="3F37DEA3" w14:textId="328D3078" w:rsidR="00EE5518" w:rsidRPr="00510657" w:rsidRDefault="0075479B" w:rsidP="00510657">
      <w:pPr>
        <w:pStyle w:val="ListParagraph"/>
        <w:ind w:left="1650"/>
        <w:rPr>
          <w:sz w:val="18"/>
          <w:szCs w:val="18"/>
        </w:rPr>
      </w:pPr>
      <w:r w:rsidRPr="00510657">
        <w:rPr>
          <w:b/>
          <w:sz w:val="18"/>
        </w:rPr>
        <w:tab/>
      </w:r>
    </w:p>
    <w:p w14:paraId="5D64EB41" w14:textId="77777777" w:rsidR="00EE5518" w:rsidRPr="00944267" w:rsidRDefault="00EE5518" w:rsidP="00EE5518">
      <w:pPr>
        <w:pStyle w:val="Heading2"/>
        <w:rPr>
          <w:sz w:val="18"/>
        </w:rPr>
      </w:pPr>
      <w:r>
        <w:rPr>
          <w:b/>
          <w:noProof/>
          <w:sz w:val="18"/>
        </w:rPr>
        <w:t xml:space="preserve">Exclusions:  </w:t>
      </w:r>
    </w:p>
    <w:p w14:paraId="03A206DE" w14:textId="77777777" w:rsidR="00EE5518" w:rsidRPr="00944267" w:rsidRDefault="00EE5518" w:rsidP="00EE5518">
      <w:pPr>
        <w:pStyle w:val="Heading2"/>
        <w:numPr>
          <w:ilvl w:val="1"/>
          <w:numId w:val="7"/>
        </w:numPr>
        <w:contextualSpacing/>
        <w:rPr>
          <w:sz w:val="18"/>
        </w:rPr>
      </w:pPr>
      <w:r w:rsidRPr="00944267">
        <w:rPr>
          <w:bCs w:val="0"/>
          <w:noProof/>
          <w:sz w:val="18"/>
        </w:rPr>
        <w:t>Extemporaneous, live oral communications (not including</w:t>
      </w:r>
      <w:r>
        <w:rPr>
          <w:bCs w:val="0"/>
          <w:noProof/>
          <w:sz w:val="18"/>
        </w:rPr>
        <w:t xml:space="preserve"> prepared remarks,</w:t>
      </w:r>
      <w:r w:rsidRPr="00944267">
        <w:rPr>
          <w:bCs w:val="0"/>
          <w:noProof/>
          <w:sz w:val="18"/>
        </w:rPr>
        <w:t xml:space="preserve"> testemonials or endorsements)</w:t>
      </w:r>
    </w:p>
    <w:p w14:paraId="79EE157D" w14:textId="77777777" w:rsidR="00EE5518" w:rsidRDefault="00EE5518" w:rsidP="00EE5518">
      <w:pPr>
        <w:pStyle w:val="Heading2"/>
        <w:numPr>
          <w:ilvl w:val="1"/>
          <w:numId w:val="7"/>
        </w:numPr>
        <w:contextualSpacing/>
        <w:rPr>
          <w:sz w:val="18"/>
        </w:rPr>
      </w:pPr>
      <w:r w:rsidRPr="00944267">
        <w:rPr>
          <w:sz w:val="18"/>
        </w:rPr>
        <w:t>Information contained in a statutory or regulatory notice, filing or other required communication, provided the information is reasonably</w:t>
      </w:r>
      <w:r>
        <w:rPr>
          <w:sz w:val="18"/>
        </w:rPr>
        <w:t xml:space="preserve"> designed to satisfy the requirements of such notice, filing or other required communication.</w:t>
      </w:r>
    </w:p>
    <w:p w14:paraId="2C8BFDF2" w14:textId="2DD3436A" w:rsidR="00EE5518" w:rsidRPr="00510657" w:rsidRDefault="00EE5518" w:rsidP="00510657">
      <w:pPr>
        <w:pStyle w:val="Heading2"/>
        <w:numPr>
          <w:ilvl w:val="1"/>
          <w:numId w:val="7"/>
        </w:numPr>
        <w:contextualSpacing/>
        <w:rPr>
          <w:sz w:val="18"/>
        </w:rPr>
      </w:pPr>
      <w:r w:rsidRPr="002C6720">
        <w:rPr>
          <w:sz w:val="18"/>
        </w:rPr>
        <w:t>Communication that includes hypothetical performance provided (1) in response to an unsolicited request from a prospective or current client or investor or (2) to a prospective or current investor in a private fund in a one-on-one communication.</w:t>
      </w:r>
      <w:r>
        <w:rPr>
          <w:sz w:val="18"/>
        </w:rPr>
        <w:t xml:space="preserve">  </w:t>
      </w:r>
    </w:p>
    <w:p w14:paraId="54C64845" w14:textId="19B03A1E" w:rsidR="00EE5518" w:rsidRPr="002C6720" w:rsidRDefault="00EE5518" w:rsidP="00EE5518">
      <w:pPr>
        <w:pStyle w:val="Heading2"/>
        <w:numPr>
          <w:ilvl w:val="1"/>
          <w:numId w:val="7"/>
        </w:numPr>
        <w:contextualSpacing/>
        <w:rPr>
          <w:sz w:val="18"/>
          <w:szCs w:val="18"/>
        </w:rPr>
      </w:pPr>
      <w:r w:rsidRPr="002C6720">
        <w:rPr>
          <w:sz w:val="18"/>
          <w:szCs w:val="18"/>
        </w:rPr>
        <w:t>Additional exclusions include, but are not limited to; account statements, statements about a firm’s culture, philanthropy or community activity, brand content, educational materials and market commentary</w:t>
      </w:r>
    </w:p>
    <w:p w14:paraId="41BCDB21" w14:textId="77777777" w:rsidR="00EE5518" w:rsidRDefault="00EE5518" w:rsidP="00E25C09">
      <w:pPr>
        <w:pStyle w:val="Heading2"/>
        <w:keepNext/>
        <w:rPr>
          <w:b/>
          <w:bCs w:val="0"/>
          <w:iCs w:val="0"/>
          <w:noProof/>
          <w:sz w:val="18"/>
        </w:rPr>
      </w:pPr>
    </w:p>
    <w:p w14:paraId="3CFF0592" w14:textId="77777777" w:rsidR="007F27F9" w:rsidRDefault="00E25C09" w:rsidP="007F27F9">
      <w:pPr>
        <w:pStyle w:val="Heading2"/>
        <w:keepNext/>
        <w:rPr>
          <w:b/>
          <w:sz w:val="18"/>
        </w:rPr>
      </w:pPr>
      <w:r>
        <w:rPr>
          <w:b/>
          <w:bCs w:val="0"/>
          <w:iCs w:val="0"/>
          <w:noProof/>
          <w:sz w:val="18"/>
        </w:rPr>
        <w:tab/>
        <w:t xml:space="preserve">     </w:t>
      </w:r>
      <w:r w:rsidRPr="00603D9B">
        <w:rPr>
          <w:b/>
          <w:sz w:val="18"/>
        </w:rPr>
        <w:t>Prohibited References</w:t>
      </w:r>
    </w:p>
    <w:p w14:paraId="07211E45" w14:textId="5493D991" w:rsidR="007F27F9" w:rsidRDefault="00E25C09" w:rsidP="007F27F9">
      <w:pPr>
        <w:pStyle w:val="Heading2"/>
        <w:keepNext/>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Use of the Term “Investment Counsel”</w:t>
      </w:r>
      <w:r w:rsidRPr="00603D9B">
        <w:rPr>
          <w:sz w:val="18"/>
        </w:rPr>
        <w:t>.  The term “investment counsel” may not be used unless:</w:t>
      </w:r>
    </w:p>
    <w:p w14:paraId="2AD9B493" w14:textId="2F010444" w:rsidR="007F27F9" w:rsidRDefault="00E25C09" w:rsidP="007F27F9">
      <w:pPr>
        <w:pStyle w:val="Heading2"/>
        <w:keepNext/>
        <w:spacing w:line="240" w:lineRule="auto"/>
        <w:ind w:left="1440" w:firstLine="144"/>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the person’s principal business is acting as an investment advisor; and</w:t>
      </w:r>
    </w:p>
    <w:p w14:paraId="7E00A47A" w14:textId="64C33CEC" w:rsidR="00E25C09" w:rsidRDefault="00E25C09" w:rsidP="007F27F9">
      <w:pPr>
        <w:pStyle w:val="Heading2"/>
        <w:keepNext/>
        <w:spacing w:line="240" w:lineRule="auto"/>
        <w:ind w:left="1440" w:firstLine="144"/>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a substantial portion of their business consists of providing investment supervision.</w:t>
      </w:r>
    </w:p>
    <w:p w14:paraId="79B2E237" w14:textId="77777777" w:rsidR="00E25C09" w:rsidRPr="00BB1D40" w:rsidRDefault="00E25C09" w:rsidP="00E25C09"/>
    <w:p w14:paraId="5E9D4899" w14:textId="5C4BA8D3" w:rsidR="00E25C09" w:rsidRDefault="00E25C09" w:rsidP="00E25C09">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Use of the Designation “RIA”</w:t>
      </w:r>
      <w:r w:rsidRPr="00603D9B">
        <w:rPr>
          <w:sz w:val="18"/>
        </w:rPr>
        <w:t xml:space="preserve">.  Neither </w:t>
      </w:r>
      <w:r>
        <w:rPr>
          <w:sz w:val="18"/>
        </w:rPr>
        <w:t>t</w:t>
      </w:r>
      <w:r w:rsidRPr="00603D9B">
        <w:rPr>
          <w:sz w:val="18"/>
        </w:rPr>
        <w:t xml:space="preserve">he Company nor any person associated with </w:t>
      </w:r>
      <w:r>
        <w:rPr>
          <w:sz w:val="18"/>
        </w:rPr>
        <w:t>t</w:t>
      </w:r>
      <w:r w:rsidRPr="00603D9B">
        <w:rPr>
          <w:sz w:val="18"/>
        </w:rPr>
        <w:t>he Company may use the designation of “RIA” after their name.</w:t>
      </w:r>
    </w:p>
    <w:p w14:paraId="63E585AC" w14:textId="77777777" w:rsidR="00E25C09" w:rsidRPr="00E25C09" w:rsidRDefault="00E25C09" w:rsidP="00E25C09"/>
    <w:p w14:paraId="795240C7" w14:textId="6BF4D1C8" w:rsidR="00510657" w:rsidRDefault="00E25C09" w:rsidP="00510657">
      <w:pPr>
        <w:pStyle w:val="Heading3"/>
        <w:rPr>
          <w:sz w:val="18"/>
        </w:rPr>
      </w:pPr>
      <w:r>
        <w:rPr>
          <w:b/>
          <w:bCs w:val="0"/>
          <w:iCs/>
          <w:noProof/>
          <w:sz w:val="18"/>
        </w:rPr>
        <w:t xml:space="preserve"> </w:t>
      </w: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b/>
          <w:sz w:val="18"/>
        </w:rPr>
        <w:tab/>
        <w:t>Other Prohibitions</w:t>
      </w:r>
      <w:r w:rsidRPr="00603D9B">
        <w:rPr>
          <w:sz w:val="18"/>
        </w:rPr>
        <w:t xml:space="preserve">.  It is unlawful for </w:t>
      </w:r>
      <w:r>
        <w:rPr>
          <w:sz w:val="18"/>
        </w:rPr>
        <w:t>t</w:t>
      </w:r>
      <w:r w:rsidRPr="00603D9B">
        <w:rPr>
          <w:sz w:val="18"/>
        </w:rPr>
        <w:t>he Company to represent that it has been sponsored, recommended or approved, or that its abilities or qualifications have been passed upon by any federal or state governmental agency.</w:t>
      </w:r>
    </w:p>
    <w:p w14:paraId="2F916D9F" w14:textId="79273883" w:rsidR="007F27F9" w:rsidRDefault="007F27F9" w:rsidP="007F27F9"/>
    <w:p w14:paraId="70AFEBEE" w14:textId="27FAEA7F" w:rsidR="007F27F9" w:rsidRDefault="007F27F9" w:rsidP="007F27F9"/>
    <w:p w14:paraId="6002C64D" w14:textId="657E72B4" w:rsidR="007F27F9" w:rsidRDefault="007F27F9" w:rsidP="007F27F9"/>
    <w:p w14:paraId="3F035176" w14:textId="7D58EF2F" w:rsidR="007F27F9" w:rsidRDefault="007F27F9" w:rsidP="007F27F9"/>
    <w:p w14:paraId="57DCDDAD" w14:textId="77777777" w:rsidR="007F27F9" w:rsidRPr="007F27F9" w:rsidRDefault="007F27F9" w:rsidP="007F27F9"/>
    <w:p w14:paraId="18AB98D0" w14:textId="02A1193F" w:rsidR="00510657" w:rsidRPr="00510657" w:rsidRDefault="00510657" w:rsidP="00510657">
      <w:pPr>
        <w:pStyle w:val="Heading3"/>
        <w:rPr>
          <w:sz w:val="18"/>
        </w:rPr>
      </w:pPr>
      <w:r>
        <w:rPr>
          <w:b/>
          <w:bCs w:val="0"/>
          <w:noProof/>
          <w:sz w:val="18"/>
        </w:rPr>
        <w:lastRenderedPageBreak/>
        <w:t xml:space="preserve"> C</w:t>
      </w:r>
      <w:r w:rsidRPr="00510657">
        <w:rPr>
          <w:rFonts w:cs="Times New Roman"/>
          <w:bCs w:val="0"/>
        </w:rPr>
        <w:t>.</w:t>
      </w:r>
      <w:r>
        <w:t xml:space="preserve">     </w:t>
      </w:r>
      <w:r w:rsidRPr="00603D9B">
        <w:rPr>
          <w:b/>
          <w:sz w:val="18"/>
        </w:rPr>
        <w:t>Testimonials</w:t>
      </w:r>
      <w:r>
        <w:rPr>
          <w:b/>
          <w:sz w:val="18"/>
        </w:rPr>
        <w:t xml:space="preserve"> and Endorsements</w:t>
      </w:r>
    </w:p>
    <w:p w14:paraId="0A122102" w14:textId="4A0B252E" w:rsidR="00510657" w:rsidRDefault="00510657" w:rsidP="00510657">
      <w:pPr>
        <w:pStyle w:val="Heading3"/>
        <w:spacing w:after="0"/>
        <w:rPr>
          <w:sz w:val="18"/>
        </w:rPr>
      </w:pPr>
      <w:r w:rsidRPr="00603D9B">
        <w:rPr>
          <w:b/>
          <w:sz w:val="18"/>
        </w:rPr>
        <w:tab/>
      </w:r>
      <w:r>
        <w:rPr>
          <w:b/>
          <w:sz w:val="18"/>
        </w:rPr>
        <w:t xml:space="preserve">Testimonial </w:t>
      </w:r>
      <w:r w:rsidRPr="00603D9B">
        <w:rPr>
          <w:b/>
          <w:sz w:val="18"/>
        </w:rPr>
        <w:t>Definition</w:t>
      </w:r>
      <w:r w:rsidRPr="00603D9B">
        <w:rPr>
          <w:sz w:val="18"/>
        </w:rPr>
        <w:t xml:space="preserve">.  </w:t>
      </w:r>
      <w:r>
        <w:rPr>
          <w:sz w:val="18"/>
        </w:rPr>
        <w:t>Any statement by a current client or investor advised by the investment adviser (i) about the client or investor’s experience with the investment adviser or its supervised persons (ii) that directly or indirectly solicits any current or prospective client or investor to be a client of, or an investor in a private fund advised by the investment adviser or (iii) that refers any current or prospective client or investor to be a client of, or an investor in a private fund advised by the investment adviser.</w:t>
      </w:r>
    </w:p>
    <w:p w14:paraId="567F124F" w14:textId="3DDE2794" w:rsidR="00E148AF" w:rsidRDefault="00E148AF" w:rsidP="00E148AF">
      <w:pPr>
        <w:spacing w:line="360" w:lineRule="auto"/>
        <w:ind w:left="1584" w:firstLine="14"/>
        <w:rPr>
          <w:sz w:val="18"/>
          <w:szCs w:val="18"/>
        </w:rPr>
      </w:pPr>
      <w:r>
        <w:rPr>
          <w:rFonts w:cs="Arial"/>
          <w:b/>
          <w:bCs/>
          <w:sz w:val="18"/>
        </w:rPr>
        <w:t>Endorsement Definition</w:t>
      </w:r>
      <w:r w:rsidRPr="002C6720">
        <w:t>.</w:t>
      </w:r>
      <w:r>
        <w:t xml:space="preserve">  </w:t>
      </w:r>
      <w:r w:rsidRPr="00464EAD">
        <w:rPr>
          <w:sz w:val="18"/>
          <w:szCs w:val="18"/>
        </w:rPr>
        <w:t>Any statement by a person other than a current client or investor in a private fund advised by the investment adviser that (i) indicates approval, support, or recommendation of the investment adviser or its supervised persons or describes that person’s experience with the investment adviser or its supervised persons; (ii) directly or indirectly solicits any current or prospective client or investor to be a client of, or an investor in a private fund advised by the investment adviser, or (iii) refers any current or prospective client or investor to be a client of, or an investor in a private fund advised by the investment adviser.</w:t>
      </w:r>
    </w:p>
    <w:p w14:paraId="0EA12053" w14:textId="5661D589" w:rsidR="00E148AF" w:rsidRDefault="00E148AF" w:rsidP="00E148AF">
      <w:pPr>
        <w:spacing w:line="360" w:lineRule="auto"/>
        <w:ind w:left="1584" w:firstLine="14"/>
        <w:rPr>
          <w:sz w:val="18"/>
          <w:szCs w:val="18"/>
        </w:rPr>
      </w:pPr>
    </w:p>
    <w:p w14:paraId="0249CA41" w14:textId="356FA948" w:rsidR="00E148AF" w:rsidRDefault="00E148AF" w:rsidP="00E148AF">
      <w:pPr>
        <w:spacing w:line="360" w:lineRule="auto"/>
        <w:ind w:left="1584" w:firstLine="14"/>
        <w:rPr>
          <w:sz w:val="18"/>
          <w:szCs w:val="18"/>
        </w:rPr>
      </w:pPr>
      <w:r>
        <w:rPr>
          <w:sz w:val="18"/>
          <w:szCs w:val="18"/>
        </w:rPr>
        <w:t>Required disclosures:</w:t>
      </w:r>
    </w:p>
    <w:p w14:paraId="289E285C" w14:textId="2BC03416" w:rsidR="00E148AF" w:rsidRPr="00E148AF" w:rsidRDefault="00E148AF" w:rsidP="00E148AF">
      <w:pPr>
        <w:rPr>
          <w:sz w:val="18"/>
          <w:szCs w:val="18"/>
        </w:rPr>
      </w:pPr>
      <w:r>
        <w:tab/>
      </w:r>
      <w:r>
        <w:tab/>
      </w:r>
      <w:r>
        <w:tab/>
        <w:t xml:space="preserve">      </w:t>
      </w:r>
      <w:r w:rsidRPr="00E148AF">
        <w:rPr>
          <w:b/>
          <w:bCs/>
          <w:sz w:val="18"/>
          <w:szCs w:val="18"/>
        </w:rPr>
        <w:t>Clearly and prominently</w:t>
      </w:r>
      <w:r w:rsidRPr="00E148AF">
        <w:rPr>
          <w:sz w:val="18"/>
          <w:szCs w:val="18"/>
        </w:rPr>
        <w:t>:</w:t>
      </w:r>
    </w:p>
    <w:p w14:paraId="7488FB1A" w14:textId="73D94D08" w:rsidR="00510657" w:rsidRPr="00FA344D" w:rsidRDefault="00510657" w:rsidP="00510657">
      <w:pPr>
        <w:pStyle w:val="ListParagraph"/>
        <w:numPr>
          <w:ilvl w:val="2"/>
          <w:numId w:val="7"/>
        </w:numPr>
        <w:spacing w:line="360" w:lineRule="auto"/>
        <w:rPr>
          <w:sz w:val="18"/>
          <w:szCs w:val="18"/>
        </w:rPr>
      </w:pPr>
      <w:r w:rsidRPr="00FA344D">
        <w:rPr>
          <w:sz w:val="18"/>
          <w:szCs w:val="18"/>
        </w:rPr>
        <w:t xml:space="preserve">The </w:t>
      </w:r>
      <w:r w:rsidR="00E148AF">
        <w:rPr>
          <w:sz w:val="18"/>
          <w:szCs w:val="18"/>
        </w:rPr>
        <w:t>testemonial</w:t>
      </w:r>
      <w:r w:rsidRPr="00FA344D">
        <w:rPr>
          <w:sz w:val="18"/>
          <w:szCs w:val="18"/>
        </w:rPr>
        <w:t xml:space="preserve"> was given by a current client or investor, as applicable;</w:t>
      </w:r>
      <w:r w:rsidR="005309AD">
        <w:rPr>
          <w:sz w:val="18"/>
          <w:szCs w:val="18"/>
        </w:rPr>
        <w:t xml:space="preserve"> and the endorsement was given by a person other than a current client or investor, as applicable,</w:t>
      </w:r>
    </w:p>
    <w:p w14:paraId="4616092F" w14:textId="77777777" w:rsidR="00510657" w:rsidRPr="00FA344D" w:rsidRDefault="00510657" w:rsidP="00510657">
      <w:pPr>
        <w:pStyle w:val="ListParagraph"/>
        <w:numPr>
          <w:ilvl w:val="2"/>
          <w:numId w:val="7"/>
        </w:numPr>
        <w:spacing w:line="360" w:lineRule="auto"/>
        <w:rPr>
          <w:sz w:val="18"/>
          <w:szCs w:val="18"/>
        </w:rPr>
      </w:pPr>
      <w:r w:rsidRPr="00FA344D">
        <w:rPr>
          <w:sz w:val="18"/>
          <w:szCs w:val="18"/>
        </w:rPr>
        <w:t>That cash or non-cash compensation was provided for the testimonial or endorsement, if applicable; and</w:t>
      </w:r>
      <w:r>
        <w:rPr>
          <w:sz w:val="18"/>
          <w:szCs w:val="18"/>
        </w:rPr>
        <w:t xml:space="preserve"> a description of material terms of any compensation arrangement; and</w:t>
      </w:r>
    </w:p>
    <w:p w14:paraId="566B29EA" w14:textId="624816CE" w:rsidR="00510657" w:rsidRDefault="00510657" w:rsidP="00510657">
      <w:pPr>
        <w:pStyle w:val="ListParagraph"/>
        <w:numPr>
          <w:ilvl w:val="2"/>
          <w:numId w:val="7"/>
        </w:numPr>
        <w:spacing w:line="360" w:lineRule="auto"/>
        <w:rPr>
          <w:sz w:val="18"/>
          <w:szCs w:val="18"/>
        </w:rPr>
      </w:pPr>
      <w:r w:rsidRPr="00FA344D">
        <w:rPr>
          <w:sz w:val="18"/>
          <w:szCs w:val="18"/>
        </w:rPr>
        <w:t>A brief statement of any material conflicts of interest</w:t>
      </w:r>
      <w:r>
        <w:rPr>
          <w:sz w:val="18"/>
          <w:szCs w:val="18"/>
        </w:rPr>
        <w:t xml:space="preserve"> on the part of the person giving the testimonial or endorsement</w:t>
      </w:r>
      <w:r w:rsidR="005309AD">
        <w:rPr>
          <w:sz w:val="18"/>
          <w:szCs w:val="18"/>
        </w:rPr>
        <w:t xml:space="preserve"> resulting from the investment adviser’s relationship with such person.</w:t>
      </w:r>
    </w:p>
    <w:p w14:paraId="029FC7EA" w14:textId="61441D4A" w:rsidR="005309AD" w:rsidRDefault="005309AD" w:rsidP="00510657">
      <w:pPr>
        <w:pStyle w:val="ListParagraph"/>
        <w:numPr>
          <w:ilvl w:val="2"/>
          <w:numId w:val="7"/>
        </w:numPr>
        <w:spacing w:line="360" w:lineRule="auto"/>
        <w:rPr>
          <w:sz w:val="18"/>
          <w:szCs w:val="18"/>
        </w:rPr>
      </w:pPr>
      <w:r>
        <w:rPr>
          <w:sz w:val="18"/>
          <w:szCs w:val="18"/>
        </w:rPr>
        <w:t>The material terms of any compensation arrangement, including a description of the compensation provided or to be provided, directly or indirectly, to the person for the testimonial or endorsement, and</w:t>
      </w:r>
    </w:p>
    <w:p w14:paraId="0D24833E" w14:textId="3ACA683D" w:rsidR="005309AD" w:rsidRPr="00FA344D" w:rsidRDefault="005309AD" w:rsidP="00510657">
      <w:pPr>
        <w:pStyle w:val="ListParagraph"/>
        <w:numPr>
          <w:ilvl w:val="2"/>
          <w:numId w:val="7"/>
        </w:numPr>
        <w:spacing w:line="360" w:lineRule="auto"/>
        <w:rPr>
          <w:sz w:val="18"/>
          <w:szCs w:val="18"/>
        </w:rPr>
      </w:pPr>
      <w:r>
        <w:rPr>
          <w:sz w:val="18"/>
          <w:szCs w:val="18"/>
        </w:rPr>
        <w:t>A description of any material conflicts of interest on the part of the person giving the testimonial or endorsement resulting from the investment advisor’s relationship with such person and/or any compensation arrangement.</w:t>
      </w:r>
    </w:p>
    <w:p w14:paraId="42E1DD2C" w14:textId="666334CE" w:rsidR="00510657" w:rsidRDefault="00510657" w:rsidP="005309AD">
      <w:pPr>
        <w:rPr>
          <w:sz w:val="18"/>
          <w:szCs w:val="18"/>
        </w:rPr>
      </w:pPr>
      <w:r>
        <w:tab/>
      </w:r>
      <w:r>
        <w:tab/>
      </w:r>
      <w:r>
        <w:tab/>
      </w:r>
    </w:p>
    <w:p w14:paraId="6DEEACBC" w14:textId="77777777" w:rsidR="00510657" w:rsidRDefault="00510657" w:rsidP="00510657">
      <w:pPr>
        <w:spacing w:line="360" w:lineRule="auto"/>
        <w:ind w:left="1584" w:firstLine="14"/>
        <w:rPr>
          <w:sz w:val="18"/>
          <w:szCs w:val="18"/>
        </w:rPr>
      </w:pPr>
      <w:r>
        <w:rPr>
          <w:sz w:val="18"/>
          <w:szCs w:val="18"/>
        </w:rPr>
        <w:t>Examples of an endorsement or testimonial.  Examples of activities likely to be an endorsement or testimonial include:</w:t>
      </w:r>
    </w:p>
    <w:p w14:paraId="78659AA2" w14:textId="77777777" w:rsidR="00510657" w:rsidRDefault="00510657" w:rsidP="00510657">
      <w:pPr>
        <w:pStyle w:val="ListParagraph"/>
        <w:numPr>
          <w:ilvl w:val="3"/>
          <w:numId w:val="7"/>
        </w:numPr>
        <w:spacing w:line="360" w:lineRule="auto"/>
        <w:rPr>
          <w:sz w:val="18"/>
          <w:szCs w:val="18"/>
        </w:rPr>
      </w:pPr>
      <w:r>
        <w:rPr>
          <w:sz w:val="18"/>
          <w:szCs w:val="18"/>
        </w:rPr>
        <w:t>Websites of lead-generation firms or adviser referral networks (endorsement)</w:t>
      </w:r>
    </w:p>
    <w:p w14:paraId="6CEA403F" w14:textId="77777777" w:rsidR="00510657" w:rsidRDefault="00510657" w:rsidP="00510657">
      <w:pPr>
        <w:pStyle w:val="ListParagraph"/>
        <w:numPr>
          <w:ilvl w:val="3"/>
          <w:numId w:val="7"/>
        </w:numPr>
        <w:spacing w:line="360" w:lineRule="auto"/>
        <w:rPr>
          <w:sz w:val="18"/>
          <w:szCs w:val="18"/>
        </w:rPr>
      </w:pPr>
      <w:r>
        <w:rPr>
          <w:sz w:val="18"/>
          <w:szCs w:val="18"/>
        </w:rPr>
        <w:t>A blogger’s website review of an adviser’s advisory service (endorsement or testimonial)</w:t>
      </w:r>
    </w:p>
    <w:p w14:paraId="71AF936A" w14:textId="77777777" w:rsidR="00510657" w:rsidRDefault="00510657" w:rsidP="00510657">
      <w:pPr>
        <w:pStyle w:val="ListParagraph"/>
        <w:numPr>
          <w:ilvl w:val="3"/>
          <w:numId w:val="7"/>
        </w:numPr>
        <w:spacing w:line="360" w:lineRule="auto"/>
        <w:rPr>
          <w:sz w:val="18"/>
          <w:szCs w:val="18"/>
        </w:rPr>
      </w:pPr>
      <w:r>
        <w:rPr>
          <w:sz w:val="18"/>
          <w:szCs w:val="18"/>
        </w:rPr>
        <w:t xml:space="preserve">A lawyer or other service provider that refers an investor to an adviser, even infrequently, depending on the facts and circumstances (endorsement or testimonial) </w:t>
      </w:r>
      <w:r>
        <w:rPr>
          <w:sz w:val="18"/>
          <w:szCs w:val="18"/>
        </w:rPr>
        <w:tab/>
      </w:r>
      <w:r>
        <w:rPr>
          <w:sz w:val="18"/>
          <w:szCs w:val="18"/>
        </w:rPr>
        <w:tab/>
      </w:r>
      <w:r>
        <w:rPr>
          <w:sz w:val="18"/>
          <w:szCs w:val="18"/>
        </w:rPr>
        <w:tab/>
      </w:r>
    </w:p>
    <w:p w14:paraId="6A2C81A2" w14:textId="77777777" w:rsidR="005309AD" w:rsidRDefault="005309AD" w:rsidP="00510657">
      <w:pPr>
        <w:spacing w:line="360" w:lineRule="auto"/>
        <w:ind w:left="1584" w:firstLine="21"/>
        <w:rPr>
          <w:sz w:val="18"/>
          <w:szCs w:val="18"/>
        </w:rPr>
      </w:pPr>
    </w:p>
    <w:p w14:paraId="3468E09C" w14:textId="77777777" w:rsidR="00A74AE4" w:rsidRDefault="00510657" w:rsidP="00510657">
      <w:pPr>
        <w:spacing w:line="360" w:lineRule="auto"/>
        <w:ind w:left="1584" w:firstLine="21"/>
        <w:rPr>
          <w:sz w:val="18"/>
          <w:szCs w:val="18"/>
        </w:rPr>
      </w:pPr>
      <w:r>
        <w:rPr>
          <w:sz w:val="18"/>
          <w:szCs w:val="18"/>
        </w:rPr>
        <w:t>A written agreement must be in place with any person giving a testimonial or endorsement that describes the scope of the agreed-upon activities and the terms of compensation for those activities</w:t>
      </w:r>
      <w:r w:rsidR="005309AD">
        <w:rPr>
          <w:sz w:val="18"/>
          <w:szCs w:val="18"/>
        </w:rPr>
        <w:t xml:space="preserve">.  </w:t>
      </w:r>
    </w:p>
    <w:p w14:paraId="0AB1AFDF" w14:textId="77777777" w:rsidR="00A74AE4" w:rsidRDefault="00A74AE4" w:rsidP="00510657">
      <w:pPr>
        <w:spacing w:line="360" w:lineRule="auto"/>
        <w:ind w:left="1584" w:firstLine="21"/>
        <w:rPr>
          <w:sz w:val="18"/>
          <w:szCs w:val="18"/>
        </w:rPr>
      </w:pPr>
    </w:p>
    <w:p w14:paraId="48C552E6" w14:textId="367D945E" w:rsidR="00A74AE4" w:rsidRDefault="005309AD" w:rsidP="00510657">
      <w:pPr>
        <w:spacing w:line="360" w:lineRule="auto"/>
        <w:ind w:left="1584" w:firstLine="21"/>
        <w:rPr>
          <w:sz w:val="18"/>
          <w:szCs w:val="18"/>
        </w:rPr>
      </w:pPr>
      <w:r>
        <w:rPr>
          <w:sz w:val="18"/>
          <w:szCs w:val="18"/>
        </w:rPr>
        <w:t>I</w:t>
      </w:r>
      <w:r w:rsidR="00510657">
        <w:rPr>
          <w:sz w:val="18"/>
          <w:szCs w:val="18"/>
        </w:rPr>
        <w:t>neligible person</w:t>
      </w:r>
      <w:r>
        <w:rPr>
          <w:sz w:val="18"/>
          <w:szCs w:val="18"/>
        </w:rPr>
        <w:t>s</w:t>
      </w:r>
      <w:r w:rsidR="00510657">
        <w:rPr>
          <w:sz w:val="18"/>
          <w:szCs w:val="18"/>
        </w:rPr>
        <w:t xml:space="preserve"> (i.e. a person subject to a disqualifying action or event) may not be compensated, directly or indirectly.</w:t>
      </w:r>
      <w:r w:rsidR="00A74AE4">
        <w:rPr>
          <w:sz w:val="18"/>
          <w:szCs w:val="18"/>
        </w:rPr>
        <w:t xml:space="preserve">  Disqualifying events are any of the following events that occurred within ten years prior to the person disseminating an endorsement or testimonial:</w:t>
      </w:r>
    </w:p>
    <w:p w14:paraId="76DEE787" w14:textId="77777777" w:rsidR="00A74AE4" w:rsidRDefault="00A74AE4" w:rsidP="00A74AE4">
      <w:pPr>
        <w:pStyle w:val="ListParagraph"/>
        <w:numPr>
          <w:ilvl w:val="0"/>
          <w:numId w:val="36"/>
        </w:numPr>
        <w:spacing w:line="360" w:lineRule="auto"/>
        <w:rPr>
          <w:sz w:val="18"/>
          <w:szCs w:val="18"/>
        </w:rPr>
      </w:pPr>
      <w:r>
        <w:rPr>
          <w:sz w:val="18"/>
          <w:szCs w:val="18"/>
        </w:rPr>
        <w:lastRenderedPageBreak/>
        <w:t xml:space="preserve"> A conviction by a court of competent jurisdiction within the United States of any felony or misdemeanor involving conduct described in paragraph (2)(A) through (D) of section 203(e) of the Act</w:t>
      </w:r>
      <w:r w:rsidR="00510657" w:rsidRPr="00A74AE4">
        <w:rPr>
          <w:sz w:val="18"/>
          <w:szCs w:val="18"/>
        </w:rPr>
        <w:tab/>
      </w:r>
      <w:r w:rsidR="00510657" w:rsidRPr="00A74AE4">
        <w:rPr>
          <w:sz w:val="18"/>
          <w:szCs w:val="18"/>
        </w:rPr>
        <w:tab/>
      </w:r>
    </w:p>
    <w:p w14:paraId="0294AA8A" w14:textId="77777777" w:rsidR="00A74AE4" w:rsidRDefault="00A74AE4" w:rsidP="00A74AE4">
      <w:pPr>
        <w:pStyle w:val="ListParagraph"/>
        <w:numPr>
          <w:ilvl w:val="0"/>
          <w:numId w:val="36"/>
        </w:numPr>
        <w:spacing w:line="360" w:lineRule="auto"/>
        <w:rPr>
          <w:sz w:val="18"/>
          <w:szCs w:val="18"/>
        </w:rPr>
      </w:pPr>
      <w:r>
        <w:rPr>
          <w:sz w:val="18"/>
          <w:szCs w:val="18"/>
        </w:rPr>
        <w:t>A conviction by a court of competent jurisdiction within the United States of engaging in any of the conduct specified in paragraphs (1), (5), or (6) of section 203(e) of the Act,</w:t>
      </w:r>
    </w:p>
    <w:p w14:paraId="282AD5F5" w14:textId="77777777" w:rsidR="000407E0" w:rsidRDefault="00A74AE4" w:rsidP="00A74AE4">
      <w:pPr>
        <w:pStyle w:val="ListParagraph"/>
        <w:numPr>
          <w:ilvl w:val="0"/>
          <w:numId w:val="36"/>
        </w:numPr>
        <w:spacing w:line="360" w:lineRule="auto"/>
        <w:rPr>
          <w:sz w:val="18"/>
          <w:szCs w:val="18"/>
        </w:rPr>
      </w:pPr>
      <w:r>
        <w:rPr>
          <w:sz w:val="18"/>
          <w:szCs w:val="18"/>
        </w:rPr>
        <w:t>The entry of any final order by any entity described in paragraph (9) of section 203(e) of the Act, or by the U.S. Commodity Futures Trading Commission or a self-regulatory organization (as defined in the Form ADV Glossary of Terms), of the type described i</w:t>
      </w:r>
      <w:r w:rsidR="000407E0">
        <w:rPr>
          <w:sz w:val="18"/>
          <w:szCs w:val="18"/>
        </w:rPr>
        <w:t>n paragraph (9) of section 203(e) of the act</w:t>
      </w:r>
    </w:p>
    <w:p w14:paraId="44EFE9FA" w14:textId="77777777" w:rsidR="000407E0" w:rsidRDefault="000407E0" w:rsidP="000407E0">
      <w:pPr>
        <w:spacing w:line="360" w:lineRule="auto"/>
        <w:rPr>
          <w:sz w:val="18"/>
          <w:szCs w:val="18"/>
        </w:rPr>
      </w:pPr>
    </w:p>
    <w:p w14:paraId="008C7586" w14:textId="77777777" w:rsidR="00B72734" w:rsidRDefault="000407E0" w:rsidP="000407E0">
      <w:pPr>
        <w:spacing w:line="360" w:lineRule="auto"/>
        <w:ind w:left="1584"/>
        <w:rPr>
          <w:sz w:val="18"/>
          <w:szCs w:val="18"/>
        </w:rPr>
      </w:pPr>
      <w:r w:rsidRPr="000407E0">
        <w:rPr>
          <w:sz w:val="18"/>
          <w:szCs w:val="18"/>
        </w:rPr>
        <w:t>Other disqualifying acts apply and includ</w:t>
      </w:r>
      <w:r>
        <w:rPr>
          <w:sz w:val="18"/>
          <w:szCs w:val="18"/>
        </w:rPr>
        <w:t>ing certain</w:t>
      </w:r>
      <w:r w:rsidRPr="000407E0">
        <w:rPr>
          <w:sz w:val="18"/>
          <w:szCs w:val="18"/>
        </w:rPr>
        <w:t xml:space="preserve"> disqualifying Commission actions.  Due to the complexity of the disqualification prohibitions, consult with the Chief Compliance Officer if you have reason to believe (and it is incumbent on you to do reasonable due diligence on the person providing you with an endorsement) that the endorser might fall within the disqualified person category.</w:t>
      </w:r>
    </w:p>
    <w:p w14:paraId="405CC94E" w14:textId="77777777" w:rsidR="00B72734" w:rsidRDefault="00B72734" w:rsidP="000407E0">
      <w:pPr>
        <w:spacing w:line="360" w:lineRule="auto"/>
        <w:ind w:left="1584"/>
        <w:rPr>
          <w:sz w:val="18"/>
          <w:szCs w:val="18"/>
        </w:rPr>
      </w:pPr>
    </w:p>
    <w:p w14:paraId="63E0BA55" w14:textId="73CF2FFC" w:rsidR="00BB1493" w:rsidRDefault="00B72734" w:rsidP="000407E0">
      <w:pPr>
        <w:spacing w:line="360" w:lineRule="auto"/>
        <w:ind w:left="1584"/>
        <w:rPr>
          <w:sz w:val="18"/>
          <w:szCs w:val="18"/>
        </w:rPr>
      </w:pPr>
      <w:r>
        <w:rPr>
          <w:sz w:val="18"/>
          <w:szCs w:val="18"/>
        </w:rPr>
        <w:t>E</w:t>
      </w:r>
      <w:r w:rsidR="00BB1493">
        <w:rPr>
          <w:sz w:val="18"/>
          <w:szCs w:val="18"/>
        </w:rPr>
        <w:t>xemptions:</w:t>
      </w:r>
    </w:p>
    <w:p w14:paraId="6E70C896" w14:textId="49C091C5" w:rsidR="00BB1493" w:rsidRDefault="00BB1493" w:rsidP="00BB1493">
      <w:pPr>
        <w:pStyle w:val="ListParagraph"/>
        <w:numPr>
          <w:ilvl w:val="0"/>
          <w:numId w:val="37"/>
        </w:numPr>
        <w:spacing w:line="360" w:lineRule="auto"/>
        <w:rPr>
          <w:sz w:val="18"/>
          <w:szCs w:val="18"/>
        </w:rPr>
      </w:pPr>
      <w:r>
        <w:rPr>
          <w:sz w:val="18"/>
          <w:szCs w:val="18"/>
        </w:rPr>
        <w:t xml:space="preserve">A testimonial or endorsement disseminated for no compensation or </w:t>
      </w:r>
      <w:r w:rsidRPr="00AD086B">
        <w:rPr>
          <w:i/>
          <w:iCs/>
          <w:sz w:val="18"/>
          <w:szCs w:val="18"/>
        </w:rPr>
        <w:t>de minimis</w:t>
      </w:r>
      <w:r>
        <w:rPr>
          <w:sz w:val="18"/>
          <w:szCs w:val="18"/>
        </w:rPr>
        <w:t xml:space="preserve"> compensation* is not required to have a written agreement describing the scope of the agreed-upon activities</w:t>
      </w:r>
    </w:p>
    <w:p w14:paraId="7BA513E5" w14:textId="77777777" w:rsidR="00AD086B" w:rsidRPr="00AD086B" w:rsidRDefault="00AD086B" w:rsidP="00AD086B">
      <w:pPr>
        <w:pStyle w:val="ListParagraph"/>
        <w:spacing w:line="360" w:lineRule="auto"/>
        <w:ind w:left="2445"/>
        <w:rPr>
          <w:i/>
          <w:iCs/>
          <w:sz w:val="18"/>
          <w:szCs w:val="18"/>
        </w:rPr>
      </w:pPr>
    </w:p>
    <w:p w14:paraId="3C7D1FF4" w14:textId="77777777" w:rsidR="007F27F9" w:rsidRDefault="00BB1493" w:rsidP="007F27F9">
      <w:pPr>
        <w:pStyle w:val="ListParagraph"/>
        <w:spacing w:line="360" w:lineRule="auto"/>
        <w:ind w:left="1584" w:firstLine="141"/>
        <w:rPr>
          <w:sz w:val="18"/>
          <w:szCs w:val="18"/>
        </w:rPr>
      </w:pPr>
      <w:r w:rsidRPr="00AD086B">
        <w:rPr>
          <w:i/>
          <w:iCs/>
          <w:sz w:val="18"/>
          <w:szCs w:val="18"/>
        </w:rPr>
        <w:t>*De</w:t>
      </w:r>
      <w:r>
        <w:rPr>
          <w:sz w:val="18"/>
          <w:szCs w:val="18"/>
        </w:rPr>
        <w:t xml:space="preserve"> minimus compensation </w:t>
      </w:r>
      <w:r w:rsidR="00FB1403">
        <w:rPr>
          <w:sz w:val="18"/>
          <w:szCs w:val="18"/>
        </w:rPr>
        <w:t>means compensation paid to a person for providing a testimonial or endorsement of a total of $1,000 or less (or the equivalent value in non-cash compensation) during the preceding 12 months.</w:t>
      </w:r>
    </w:p>
    <w:p w14:paraId="2F27E297" w14:textId="05E85121" w:rsidR="00510657" w:rsidRPr="007F27F9" w:rsidRDefault="00510657" w:rsidP="007F27F9">
      <w:pPr>
        <w:pStyle w:val="ListParagraph"/>
        <w:spacing w:line="360" w:lineRule="auto"/>
        <w:ind w:left="1584" w:firstLine="141"/>
        <w:rPr>
          <w:sz w:val="18"/>
          <w:szCs w:val="18"/>
        </w:rPr>
      </w:pPr>
      <w:r w:rsidRPr="00603D9B">
        <w:rPr>
          <w:b/>
          <w:sz w:val="18"/>
        </w:rPr>
        <w:tab/>
      </w:r>
    </w:p>
    <w:p w14:paraId="751BFF7E" w14:textId="77777777" w:rsidR="007F27F9" w:rsidRDefault="00E77770" w:rsidP="007F27F9">
      <w:pPr>
        <w:pStyle w:val="Heading4"/>
        <w:spacing w:after="0"/>
        <w:ind w:left="1584" w:firstLine="0"/>
        <w:rPr>
          <w:sz w:val="18"/>
        </w:rPr>
      </w:pPr>
      <w:r w:rsidRPr="00E77770">
        <w:rPr>
          <w:b/>
          <w:bCs w:val="0"/>
          <w:sz w:val="18"/>
        </w:rPr>
        <w:t>D</w:t>
      </w:r>
      <w:r w:rsidR="00510657" w:rsidRPr="00E77770">
        <w:rPr>
          <w:b/>
          <w:bCs w:val="0"/>
          <w:sz w:val="18"/>
        </w:rPr>
        <w:t>.</w:t>
      </w:r>
      <w:r w:rsidR="00510657" w:rsidRPr="00603D9B">
        <w:rPr>
          <w:sz w:val="18"/>
        </w:rPr>
        <w:tab/>
      </w:r>
      <w:r w:rsidR="00510657" w:rsidRPr="00603D9B">
        <w:rPr>
          <w:b/>
          <w:sz w:val="18"/>
        </w:rPr>
        <w:t>Third Party Reports</w:t>
      </w:r>
      <w:r w:rsidR="00510657" w:rsidRPr="00603D9B">
        <w:rPr>
          <w:sz w:val="18"/>
        </w:rPr>
        <w:t xml:space="preserve">.  </w:t>
      </w:r>
    </w:p>
    <w:p w14:paraId="0CF024A9" w14:textId="77777777" w:rsidR="007F27F9" w:rsidRDefault="007F27F9" w:rsidP="007F27F9">
      <w:pPr>
        <w:pStyle w:val="Heading4"/>
        <w:spacing w:after="0"/>
        <w:ind w:left="1584" w:firstLine="0"/>
        <w:rPr>
          <w:sz w:val="18"/>
        </w:rPr>
      </w:pPr>
    </w:p>
    <w:p w14:paraId="282C9752" w14:textId="4E256DBF" w:rsidR="00510657" w:rsidRDefault="00510657" w:rsidP="007F27F9">
      <w:pPr>
        <w:pStyle w:val="Heading4"/>
        <w:spacing w:after="0"/>
        <w:ind w:left="1584" w:firstLine="0"/>
        <w:rPr>
          <w:sz w:val="18"/>
        </w:rPr>
      </w:pPr>
      <w:r w:rsidRPr="00603D9B">
        <w:rPr>
          <w:sz w:val="18"/>
        </w:rPr>
        <w:t xml:space="preserve">The Company may use bona fide, unbiased third-party reports, even if </w:t>
      </w:r>
      <w:r>
        <w:rPr>
          <w:sz w:val="18"/>
        </w:rPr>
        <w:t>t</w:t>
      </w:r>
      <w:r w:rsidRPr="00603D9B">
        <w:rPr>
          <w:sz w:val="18"/>
        </w:rPr>
        <w:t>he Company has paid the third party to verify its performance</w:t>
      </w:r>
      <w:r>
        <w:rPr>
          <w:sz w:val="18"/>
        </w:rPr>
        <w:t>.  The rating must be provided by a person who is not a related person of the adviser and who provides ratings or rankings in the ordinary course of business.  The adviser must have a reasonable basis for believing any questionnaire or survey used in the preparation of the third-party rating is structured to make it equally easy for a participant to provide favorable or unfavorable responses and is not designed or prepared to produce any predetermined result.</w:t>
      </w:r>
    </w:p>
    <w:p w14:paraId="51B5DDCF" w14:textId="77777777" w:rsidR="00510657" w:rsidRPr="004503CF" w:rsidRDefault="00510657" w:rsidP="00510657">
      <w:pPr>
        <w:pStyle w:val="ListParagraph"/>
        <w:numPr>
          <w:ilvl w:val="3"/>
          <w:numId w:val="7"/>
        </w:numPr>
        <w:spacing w:line="360" w:lineRule="auto"/>
        <w:rPr>
          <w:sz w:val="18"/>
          <w:szCs w:val="18"/>
        </w:rPr>
      </w:pPr>
      <w:r w:rsidRPr="004503CF">
        <w:rPr>
          <w:sz w:val="18"/>
          <w:szCs w:val="18"/>
        </w:rPr>
        <w:t>Disclosure – The adviser must clearly and prominently disclose, or reasonably believe that the third-party rating clearly and prominently discloses, (i) the date on which the rating was given and the time period covered, (ii) the identity of the third party that created the rating, and (iii) if applicable, that the adviser has compensated the rating provider, directly or indirectly, in connection with obtaining or using the rating.</w:t>
      </w:r>
    </w:p>
    <w:p w14:paraId="490B30CE" w14:textId="77777777" w:rsidR="00510657" w:rsidRDefault="00510657" w:rsidP="00510657">
      <w:pPr>
        <w:pStyle w:val="Heading4"/>
        <w:keepNext/>
        <w:spacing w:after="0"/>
        <w:rPr>
          <w:sz w:val="18"/>
        </w:rPr>
      </w:pPr>
    </w:p>
    <w:p w14:paraId="365F943B" w14:textId="77777777" w:rsidR="00510657" w:rsidRPr="00BB1D40" w:rsidRDefault="00510657" w:rsidP="00510657"/>
    <w:p w14:paraId="0BC66910" w14:textId="0D1AE314" w:rsidR="00510657" w:rsidRDefault="007F27F9" w:rsidP="007F27F9">
      <w:pPr>
        <w:pStyle w:val="Heading2"/>
        <w:keepNext/>
        <w:spacing w:after="0"/>
        <w:ind w:left="1440" w:firstLine="144"/>
        <w:rPr>
          <w:b/>
          <w:sz w:val="18"/>
        </w:rPr>
      </w:pPr>
      <w:r>
        <w:rPr>
          <w:b/>
          <w:sz w:val="18"/>
        </w:rPr>
        <w:t>E</w:t>
      </w:r>
      <w:r w:rsidR="00510657" w:rsidRPr="00603D9B">
        <w:rPr>
          <w:b/>
          <w:sz w:val="18"/>
        </w:rPr>
        <w:t>.</w:t>
      </w:r>
      <w:r w:rsidR="00510657" w:rsidRPr="00603D9B">
        <w:rPr>
          <w:b/>
          <w:sz w:val="18"/>
        </w:rPr>
        <w:tab/>
        <w:t>Past Recommendations</w:t>
      </w:r>
    </w:p>
    <w:p w14:paraId="55B9452E" w14:textId="77777777" w:rsidR="00510657" w:rsidRPr="005B398B" w:rsidRDefault="00510657" w:rsidP="00510657"/>
    <w:p w14:paraId="3F9FE2A8" w14:textId="60D39FF3" w:rsidR="00510657" w:rsidRPr="00BB1D40" w:rsidRDefault="00510657" w:rsidP="007F27F9">
      <w:pPr>
        <w:pStyle w:val="Heading3"/>
        <w:ind w:firstLine="0"/>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007F27F9">
        <w:rPr>
          <w:b/>
          <w:sz w:val="18"/>
        </w:rPr>
        <w:t xml:space="preserve"> </w:t>
      </w:r>
      <w:r w:rsidRPr="00603D9B">
        <w:rPr>
          <w:b/>
          <w:sz w:val="18"/>
        </w:rPr>
        <w:tab/>
        <w:t>List of Recommendations</w:t>
      </w:r>
      <w:r w:rsidRPr="00603D9B">
        <w:rPr>
          <w:sz w:val="18"/>
        </w:rPr>
        <w:t xml:space="preserve">.  Advertisements that refer directly or indirectly to past specific recommendations of </w:t>
      </w:r>
      <w:r>
        <w:rPr>
          <w:sz w:val="18"/>
        </w:rPr>
        <w:t>t</w:t>
      </w:r>
      <w:r w:rsidRPr="00603D9B">
        <w:rPr>
          <w:sz w:val="18"/>
        </w:rPr>
        <w:t xml:space="preserve">he Company shall not be used unless the advertisement sets out (or offers to furnish) a </w:t>
      </w:r>
      <w:r w:rsidRPr="00603D9B">
        <w:rPr>
          <w:sz w:val="18"/>
        </w:rPr>
        <w:lastRenderedPageBreak/>
        <w:t xml:space="preserve">list of all recommendations made by </w:t>
      </w:r>
      <w:r>
        <w:rPr>
          <w:sz w:val="18"/>
        </w:rPr>
        <w:t>t</w:t>
      </w:r>
      <w:r w:rsidRPr="00603D9B">
        <w:rPr>
          <w:sz w:val="18"/>
        </w:rPr>
        <w:t>he Company within at least the prior one-year period.  The list must include the following:</w:t>
      </w:r>
    </w:p>
    <w:p w14:paraId="73C724EA" w14:textId="031787E4" w:rsidR="00510657" w:rsidRPr="003F74E1" w:rsidRDefault="00510657" w:rsidP="00510657">
      <w:pPr>
        <w:pStyle w:val="Heading4"/>
        <w:spacing w:after="0"/>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The name of each security and date the security was recommended;</w:t>
      </w:r>
    </w:p>
    <w:p w14:paraId="39E015B3" w14:textId="77777777" w:rsidR="00510657" w:rsidRPr="00603D9B" w:rsidRDefault="00510657" w:rsidP="00510657">
      <w:pPr>
        <w:pStyle w:val="Heading4"/>
        <w:spacing w:after="0"/>
        <w:rPr>
          <w:sz w:val="18"/>
        </w:rPr>
      </w:pPr>
      <w:r w:rsidRPr="00603D9B">
        <w:rPr>
          <w:sz w:val="18"/>
        </w:rPr>
        <w:t>b.</w:t>
      </w:r>
      <w:r w:rsidRPr="00603D9B">
        <w:rPr>
          <w:sz w:val="18"/>
        </w:rPr>
        <w:tab/>
        <w:t>Whether the advice was to buy or sell;</w:t>
      </w:r>
    </w:p>
    <w:p w14:paraId="64AD550F" w14:textId="557D2BEE" w:rsidR="00510657" w:rsidRPr="00603D9B" w:rsidRDefault="00510657" w:rsidP="00510657">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The market price at the time the recommendation was made;</w:t>
      </w:r>
    </w:p>
    <w:p w14:paraId="68A502E7" w14:textId="5BC3018A" w:rsidR="00510657" w:rsidRPr="00603D9B" w:rsidRDefault="00510657" w:rsidP="00510657">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t>The price at which the recommendation was to be acted upon; and,</w:t>
      </w:r>
    </w:p>
    <w:p w14:paraId="1D6D4BAF" w14:textId="33CC816C" w:rsidR="00510657" w:rsidRDefault="00510657" w:rsidP="00510657">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d</w:t>
      </w:r>
      <w:r w:rsidRPr="00603D9B">
        <w:rPr>
          <w:sz w:val="18"/>
        </w:rPr>
        <w:fldChar w:fldCharType="end"/>
      </w:r>
      <w:r w:rsidRPr="00603D9B">
        <w:rPr>
          <w:sz w:val="18"/>
        </w:rPr>
        <w:tab/>
        <w:t>The current market price of the security.</w:t>
      </w:r>
    </w:p>
    <w:p w14:paraId="04FD4468" w14:textId="77777777" w:rsidR="00510657" w:rsidRPr="003F74E1" w:rsidRDefault="00510657" w:rsidP="00510657"/>
    <w:p w14:paraId="0335F65E" w14:textId="3C49D39D" w:rsidR="00510657" w:rsidRDefault="00510657" w:rsidP="00510657">
      <w:pPr>
        <w:pStyle w:val="Heading3"/>
        <w:spacing w:after="0"/>
        <w:rPr>
          <w:b/>
          <w:i/>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Disclosure</w:t>
      </w:r>
      <w:r w:rsidRPr="00603D9B">
        <w:rPr>
          <w:sz w:val="18"/>
        </w:rPr>
        <w:t xml:space="preserve">.  The following disclosure must appear (in typeface at least as large as the largest print used in the text) on the first page of the list: </w:t>
      </w:r>
      <w:r w:rsidRPr="00603D9B">
        <w:rPr>
          <w:b/>
          <w:i/>
          <w:sz w:val="18"/>
        </w:rPr>
        <w:t>It should not be assumed that recommendations made in the future will be profitable or will equal the performance of the securities on this list</w:t>
      </w:r>
    </w:p>
    <w:p w14:paraId="58BF402E" w14:textId="48392A8C" w:rsidR="00510657" w:rsidRPr="00510657" w:rsidRDefault="00510657" w:rsidP="00510657"/>
    <w:p w14:paraId="08C07B3F" w14:textId="5334F967" w:rsidR="00E25C09" w:rsidRPr="00E25C09" w:rsidRDefault="00E25C09" w:rsidP="00E25C09"/>
    <w:p w14:paraId="0ABACC4B" w14:textId="4327F3A9" w:rsidR="0075479B" w:rsidRPr="00603D9B" w:rsidRDefault="00510657">
      <w:pPr>
        <w:pStyle w:val="Heading2"/>
        <w:rPr>
          <w:sz w:val="18"/>
        </w:rPr>
      </w:pPr>
      <w:r>
        <w:rPr>
          <w:b/>
          <w:sz w:val="18"/>
        </w:rPr>
        <w:t>D</w:t>
      </w:r>
      <w:r w:rsidR="0075479B" w:rsidRPr="00603D9B">
        <w:rPr>
          <w:b/>
          <w:sz w:val="18"/>
        </w:rPr>
        <w:t>.</w:t>
      </w:r>
      <w:r w:rsidR="0075479B" w:rsidRPr="00603D9B">
        <w:rPr>
          <w:b/>
          <w:sz w:val="18"/>
        </w:rPr>
        <w:tab/>
        <w:t>Review and Approval</w:t>
      </w:r>
      <w:r w:rsidR="0075479B" w:rsidRPr="00603D9B">
        <w:rPr>
          <w:sz w:val="18"/>
        </w:rPr>
        <w:t xml:space="preserve">.  The CCO </w:t>
      </w:r>
      <w:r w:rsidR="003329B6">
        <w:rPr>
          <w:sz w:val="18"/>
        </w:rPr>
        <w:t xml:space="preserve">or her delegate </w:t>
      </w:r>
      <w:r w:rsidR="0075479B" w:rsidRPr="00603D9B">
        <w:rPr>
          <w:sz w:val="18"/>
        </w:rPr>
        <w:t>will be responsible for reviewing and approving all advertising material use</w:t>
      </w:r>
      <w:r w:rsidR="00FA2D99">
        <w:rPr>
          <w:sz w:val="18"/>
        </w:rPr>
        <w:t>d</w:t>
      </w:r>
      <w:r w:rsidR="0075479B" w:rsidRPr="00603D9B">
        <w:rPr>
          <w:sz w:val="18"/>
        </w:rPr>
        <w:t xml:space="preserve">.  The signing and dating of the advertising copy shall </w:t>
      </w:r>
      <w:r w:rsidR="002424A4" w:rsidRPr="00603D9B">
        <w:rPr>
          <w:sz w:val="18"/>
        </w:rPr>
        <w:t>evidence such</w:t>
      </w:r>
      <w:r w:rsidR="0075479B" w:rsidRPr="00603D9B">
        <w:rPr>
          <w:sz w:val="18"/>
        </w:rPr>
        <w:t xml:space="preserve"> approval.  </w:t>
      </w:r>
      <w:r w:rsidR="00C16ABF">
        <w:rPr>
          <w:sz w:val="18"/>
        </w:rPr>
        <w:t>Advisor must have a reasonable basis for believing a testimonial or endorsement  complies with the marketing rule requirements.</w:t>
      </w:r>
    </w:p>
    <w:p w14:paraId="3F210A7B" w14:textId="77777777" w:rsidR="00BB1D40" w:rsidRPr="00BB1D40" w:rsidRDefault="00BB1D40" w:rsidP="00BB1D40"/>
    <w:p w14:paraId="719BE5E0" w14:textId="298C82CD" w:rsidR="0075479B" w:rsidRPr="00603D9B" w:rsidRDefault="007F27F9">
      <w:pPr>
        <w:pStyle w:val="Heading2"/>
        <w:keepNext/>
        <w:rPr>
          <w:b/>
          <w:sz w:val="18"/>
        </w:rPr>
      </w:pPr>
      <w:r>
        <w:rPr>
          <w:b/>
          <w:sz w:val="18"/>
        </w:rPr>
        <w:t>F</w:t>
      </w:r>
      <w:r w:rsidR="0075479B" w:rsidRPr="00603D9B">
        <w:rPr>
          <w:b/>
          <w:sz w:val="18"/>
        </w:rPr>
        <w:t>.</w:t>
      </w:r>
      <w:r w:rsidR="0075479B" w:rsidRPr="00603D9B">
        <w:rPr>
          <w:b/>
          <w:sz w:val="18"/>
        </w:rPr>
        <w:tab/>
        <w:t>Use of Graphs, Charts and Formulas</w:t>
      </w:r>
    </w:p>
    <w:p w14:paraId="04CEB060" w14:textId="196A8E26" w:rsidR="0075479B" w:rsidRPr="00603D9B" w:rsidRDefault="0075479B" w:rsidP="005B398B">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Restriction</w:t>
      </w:r>
      <w:r w:rsidRPr="00603D9B">
        <w:rPr>
          <w:sz w:val="18"/>
        </w:rPr>
        <w:t>.  Advertisements must not be written so as to suggest in any way, that any graph, chart, formula, or other device offered can, by itself, guide the investor as to what securities to buy or sell or when to buy or sell them.</w:t>
      </w:r>
    </w:p>
    <w:p w14:paraId="0850F8DE" w14:textId="6397F29B" w:rsidR="0075479B" w:rsidRPr="00603D9B" w:rsidRDefault="0075479B" w:rsidP="005B398B">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Disclosure</w:t>
      </w:r>
      <w:r w:rsidRPr="00603D9B">
        <w:rPr>
          <w:sz w:val="18"/>
        </w:rPr>
        <w:t>.  If the advertisement represents that a graph, chart, formula, or other device can assist with stock selection or timing decisions, then the advertisement must prominently disclose the limitations and difficulties regarding its use.</w:t>
      </w:r>
    </w:p>
    <w:p w14:paraId="256813A6" w14:textId="49EFA4C6" w:rsidR="0075479B" w:rsidRDefault="0075479B" w:rsidP="005B398B">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b/>
          <w:sz w:val="18"/>
        </w:rPr>
        <w:tab/>
        <w:t>Charges</w:t>
      </w:r>
      <w:r w:rsidRPr="00603D9B">
        <w:rPr>
          <w:sz w:val="18"/>
        </w:rPr>
        <w:t>.  If a report, analysis, or other service is furnished free of charge, the product or service must be entirely free, and without conditions or obligations.</w:t>
      </w:r>
    </w:p>
    <w:p w14:paraId="24C68738" w14:textId="77777777" w:rsidR="005B398B" w:rsidRPr="005B398B" w:rsidRDefault="005B398B" w:rsidP="005B398B"/>
    <w:p w14:paraId="6F3E46DC" w14:textId="49247EE9" w:rsidR="0075479B" w:rsidRDefault="007F27F9" w:rsidP="005B398B">
      <w:pPr>
        <w:pStyle w:val="Heading2"/>
        <w:keepNext/>
        <w:spacing w:after="0"/>
        <w:rPr>
          <w:b/>
          <w:sz w:val="18"/>
        </w:rPr>
      </w:pPr>
      <w:r>
        <w:rPr>
          <w:b/>
          <w:sz w:val="18"/>
        </w:rPr>
        <w:t>G</w:t>
      </w:r>
      <w:r w:rsidR="0075479B" w:rsidRPr="00603D9B">
        <w:rPr>
          <w:b/>
          <w:sz w:val="18"/>
        </w:rPr>
        <w:t>.</w:t>
      </w:r>
      <w:r w:rsidR="0075479B" w:rsidRPr="00603D9B">
        <w:rPr>
          <w:b/>
          <w:sz w:val="18"/>
        </w:rPr>
        <w:tab/>
        <w:t>Performance Advertising</w:t>
      </w:r>
    </w:p>
    <w:p w14:paraId="433145C1" w14:textId="77777777" w:rsidR="005B398B" w:rsidRPr="005B398B" w:rsidRDefault="005B398B" w:rsidP="005B398B"/>
    <w:p w14:paraId="544DE33D" w14:textId="5C98DB99" w:rsidR="0075479B" w:rsidRPr="00603D9B" w:rsidRDefault="0075479B" w:rsidP="005B398B">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Use of Performance Data</w:t>
      </w:r>
      <w:r w:rsidRPr="00603D9B">
        <w:rPr>
          <w:sz w:val="18"/>
        </w:rPr>
        <w:t xml:space="preserve">.  Although performance data is not required to be disclosed as part of an advertisement, if it is in fact used, the information must be presented accurately and </w:t>
      </w:r>
      <w:r w:rsidR="00A037DB">
        <w:rPr>
          <w:sz w:val="18"/>
        </w:rPr>
        <w:t xml:space="preserve">in a </w:t>
      </w:r>
      <w:r w:rsidRPr="00603D9B">
        <w:rPr>
          <w:sz w:val="18"/>
        </w:rPr>
        <w:t>fair</w:t>
      </w:r>
      <w:r w:rsidR="00A037DB">
        <w:rPr>
          <w:sz w:val="18"/>
        </w:rPr>
        <w:t xml:space="preserve"> and balanced way.</w:t>
      </w:r>
    </w:p>
    <w:p w14:paraId="4B138B1A" w14:textId="19F89065" w:rsidR="0075479B" w:rsidRDefault="0075479B" w:rsidP="005B398B">
      <w:pPr>
        <w:pStyle w:val="Heading3"/>
        <w:keepNext/>
        <w:spacing w:after="0"/>
        <w:rPr>
          <w:b/>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Disclosures.</w:t>
      </w:r>
    </w:p>
    <w:p w14:paraId="47CC4C85" w14:textId="77777777" w:rsidR="005B398B" w:rsidRPr="005B398B" w:rsidRDefault="005B398B" w:rsidP="005B398B"/>
    <w:p w14:paraId="03A06FA0" w14:textId="39F1C802" w:rsidR="0075479B" w:rsidRDefault="0075479B" w:rsidP="005B398B">
      <w:pPr>
        <w:pStyle w:val="Heading4"/>
        <w:keepNext/>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r>
      <w:r w:rsidRPr="00603D9B">
        <w:rPr>
          <w:b/>
          <w:sz w:val="18"/>
        </w:rPr>
        <w:t>Model or Actual.</w:t>
      </w:r>
      <w:r w:rsidRPr="00603D9B">
        <w:rPr>
          <w:sz w:val="18"/>
        </w:rPr>
        <w:t xml:space="preserve">  When including either model or actual performance data in an advertisement, the following disclosures shall be made:</w:t>
      </w:r>
    </w:p>
    <w:p w14:paraId="3CE6F06B" w14:textId="77777777" w:rsidR="005B398B" w:rsidRPr="005B398B" w:rsidRDefault="005B398B" w:rsidP="005B398B"/>
    <w:p w14:paraId="02A2018E" w14:textId="5CC10526"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\r1 \*Arabic \*MERGEFORMAT </w:instrText>
      </w:r>
      <w:r w:rsidRPr="00603D9B">
        <w:rPr>
          <w:sz w:val="18"/>
        </w:rPr>
        <w:fldChar w:fldCharType="separate"/>
      </w:r>
      <w:r w:rsidR="002A078E">
        <w:rPr>
          <w:noProof/>
          <w:sz w:val="18"/>
        </w:rPr>
        <w:t>1</w:t>
      </w:r>
      <w:r w:rsidRPr="00603D9B">
        <w:rPr>
          <w:sz w:val="18"/>
        </w:rPr>
        <w:fldChar w:fldCharType="end"/>
      </w:r>
      <w:r w:rsidRPr="00603D9B">
        <w:rPr>
          <w:sz w:val="18"/>
        </w:rPr>
        <w:t>.</w:t>
      </w:r>
      <w:r w:rsidRPr="00603D9B">
        <w:rPr>
          <w:sz w:val="18"/>
        </w:rPr>
        <w:tab/>
        <w:t>The effect of material market or economic conditions on the results portrayed;</w:t>
      </w:r>
    </w:p>
    <w:p w14:paraId="1C225F68" w14:textId="37DEC9DE"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2</w:t>
      </w:r>
      <w:r w:rsidRPr="00603D9B">
        <w:rPr>
          <w:sz w:val="18"/>
        </w:rPr>
        <w:fldChar w:fldCharType="end"/>
      </w:r>
      <w:r w:rsidRPr="00603D9B">
        <w:rPr>
          <w:sz w:val="18"/>
        </w:rPr>
        <w:t>.</w:t>
      </w:r>
      <w:r w:rsidRPr="00603D9B">
        <w:rPr>
          <w:sz w:val="18"/>
        </w:rPr>
        <w:tab/>
        <w:t>All advisory fees, brokerage commissions or other client paid expenses;</w:t>
      </w:r>
    </w:p>
    <w:p w14:paraId="6DB2E2CF" w14:textId="2C93CC99"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3</w:t>
      </w:r>
      <w:r w:rsidRPr="00603D9B">
        <w:rPr>
          <w:sz w:val="18"/>
        </w:rPr>
        <w:fldChar w:fldCharType="end"/>
      </w:r>
      <w:r w:rsidRPr="00603D9B">
        <w:rPr>
          <w:sz w:val="18"/>
        </w:rPr>
        <w:t>.</w:t>
      </w:r>
      <w:r w:rsidRPr="00603D9B">
        <w:rPr>
          <w:sz w:val="18"/>
        </w:rPr>
        <w:tab/>
        <w:t>The extent that performance was influenced by reinvestment of dividends;</w:t>
      </w:r>
    </w:p>
    <w:p w14:paraId="02B421BA" w14:textId="4055B6D9" w:rsidR="0075479B" w:rsidRPr="00603D9B" w:rsidRDefault="0075479B" w:rsidP="00BB1D40">
      <w:pPr>
        <w:pStyle w:val="Heading5"/>
        <w:spacing w:after="0"/>
        <w:rPr>
          <w:sz w:val="18"/>
        </w:rPr>
      </w:pPr>
      <w:r w:rsidRPr="00603D9B">
        <w:rPr>
          <w:sz w:val="18"/>
        </w:rPr>
        <w:lastRenderedPageBreak/>
        <w:fldChar w:fldCharType="begin"/>
      </w:r>
      <w:r w:rsidRPr="00603D9B">
        <w:rPr>
          <w:sz w:val="18"/>
        </w:rPr>
        <w:instrText xml:space="preserve"> SEQ Seq(123) \n \*Arabic \*MERGEFORMAT </w:instrText>
      </w:r>
      <w:r w:rsidRPr="00603D9B">
        <w:rPr>
          <w:sz w:val="18"/>
        </w:rPr>
        <w:fldChar w:fldCharType="separate"/>
      </w:r>
      <w:r w:rsidR="002A078E">
        <w:rPr>
          <w:noProof/>
          <w:sz w:val="18"/>
        </w:rPr>
        <w:t>4</w:t>
      </w:r>
      <w:r w:rsidRPr="00603D9B">
        <w:rPr>
          <w:sz w:val="18"/>
        </w:rPr>
        <w:fldChar w:fldCharType="end"/>
      </w:r>
      <w:r w:rsidRPr="00603D9B">
        <w:rPr>
          <w:sz w:val="18"/>
        </w:rPr>
        <w:t>.</w:t>
      </w:r>
      <w:r w:rsidRPr="00603D9B">
        <w:rPr>
          <w:sz w:val="18"/>
        </w:rPr>
        <w:tab/>
        <w:t>All material relevant factors when comparing results to an index;</w:t>
      </w:r>
    </w:p>
    <w:p w14:paraId="537EA03B" w14:textId="79258FD3"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5</w:t>
      </w:r>
      <w:r w:rsidRPr="00603D9B">
        <w:rPr>
          <w:sz w:val="18"/>
        </w:rPr>
        <w:fldChar w:fldCharType="end"/>
      </w:r>
      <w:r w:rsidRPr="00603D9B">
        <w:rPr>
          <w:sz w:val="18"/>
        </w:rPr>
        <w:t>.</w:t>
      </w:r>
      <w:r w:rsidRPr="00603D9B">
        <w:rPr>
          <w:sz w:val="18"/>
        </w:rPr>
        <w:tab/>
        <w:t>All material conditions, objectives, and investment strategies used to obtain the performance advertised; and,</w:t>
      </w:r>
    </w:p>
    <w:p w14:paraId="3BD5D21A" w14:textId="7C161B8F" w:rsidR="007547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6</w:t>
      </w:r>
      <w:r w:rsidRPr="00603D9B">
        <w:rPr>
          <w:sz w:val="18"/>
        </w:rPr>
        <w:fldChar w:fldCharType="end"/>
      </w:r>
      <w:r w:rsidRPr="00603D9B">
        <w:rPr>
          <w:sz w:val="18"/>
        </w:rPr>
        <w:t>.</w:t>
      </w:r>
      <w:r w:rsidRPr="00603D9B">
        <w:rPr>
          <w:sz w:val="18"/>
        </w:rPr>
        <w:tab/>
        <w:t>The potential for loss where the potential for profit is also discussed.</w:t>
      </w:r>
    </w:p>
    <w:p w14:paraId="14E9F1AF" w14:textId="77777777" w:rsidR="00BB1D40" w:rsidRPr="00BB1D40" w:rsidRDefault="00BB1D40" w:rsidP="00BB1D40"/>
    <w:p w14:paraId="6DE98FED" w14:textId="4F9C1BED" w:rsidR="0075479B" w:rsidRDefault="0075479B" w:rsidP="00BB1D40">
      <w:pPr>
        <w:pStyle w:val="Heading4"/>
        <w:keepNext/>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r>
      <w:r w:rsidRPr="00603D9B">
        <w:rPr>
          <w:b/>
          <w:sz w:val="18"/>
        </w:rPr>
        <w:t>Model Only</w:t>
      </w:r>
      <w:r w:rsidRPr="00603D9B">
        <w:rPr>
          <w:sz w:val="18"/>
        </w:rPr>
        <w:t xml:space="preserve">.  Where </w:t>
      </w:r>
      <w:r w:rsidRPr="00603D9B">
        <w:rPr>
          <w:sz w:val="18"/>
          <w:u w:val="single"/>
        </w:rPr>
        <w:t>only</w:t>
      </w:r>
      <w:r w:rsidRPr="00603D9B">
        <w:rPr>
          <w:sz w:val="18"/>
        </w:rPr>
        <w:t xml:space="preserve"> model performance factors are used, the following additional disclosures shall also be prominently made:</w:t>
      </w:r>
    </w:p>
    <w:p w14:paraId="344370A2" w14:textId="77777777" w:rsidR="005B398B" w:rsidRPr="005B398B" w:rsidRDefault="005B398B" w:rsidP="005B398B"/>
    <w:p w14:paraId="1A44C24F" w14:textId="6EA32BA4"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\r1 \*Arabic \*MERGEFORMAT </w:instrText>
      </w:r>
      <w:r w:rsidRPr="00603D9B">
        <w:rPr>
          <w:sz w:val="18"/>
        </w:rPr>
        <w:fldChar w:fldCharType="separate"/>
      </w:r>
      <w:r w:rsidR="002A078E">
        <w:rPr>
          <w:noProof/>
          <w:sz w:val="18"/>
        </w:rPr>
        <w:t>1</w:t>
      </w:r>
      <w:r w:rsidRPr="00603D9B">
        <w:rPr>
          <w:sz w:val="18"/>
        </w:rPr>
        <w:fldChar w:fldCharType="end"/>
      </w:r>
      <w:r w:rsidRPr="00603D9B">
        <w:rPr>
          <w:sz w:val="18"/>
        </w:rPr>
        <w:t>.</w:t>
      </w:r>
      <w:r w:rsidRPr="00603D9B">
        <w:rPr>
          <w:sz w:val="18"/>
        </w:rPr>
        <w:tab/>
        <w:t>All limitations inherent in model results;</w:t>
      </w:r>
    </w:p>
    <w:p w14:paraId="5ADF00CD" w14:textId="3C8B0068"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2</w:t>
      </w:r>
      <w:r w:rsidRPr="00603D9B">
        <w:rPr>
          <w:sz w:val="18"/>
        </w:rPr>
        <w:fldChar w:fldCharType="end"/>
      </w:r>
      <w:r w:rsidRPr="00603D9B">
        <w:rPr>
          <w:sz w:val="18"/>
        </w:rPr>
        <w:t>.</w:t>
      </w:r>
      <w:r w:rsidRPr="00603D9B">
        <w:rPr>
          <w:sz w:val="18"/>
        </w:rPr>
        <w:tab/>
        <w:t>Where applicable, any material changes in investment strategies or conditions during the period portrayed;</w:t>
      </w:r>
    </w:p>
    <w:p w14:paraId="382EA9D7" w14:textId="11CF3D36" w:rsidR="0075479B" w:rsidRPr="00603D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3</w:t>
      </w:r>
      <w:r w:rsidRPr="00603D9B">
        <w:rPr>
          <w:sz w:val="18"/>
        </w:rPr>
        <w:fldChar w:fldCharType="end"/>
      </w:r>
      <w:r w:rsidRPr="00603D9B">
        <w:rPr>
          <w:sz w:val="18"/>
        </w:rPr>
        <w:t>.</w:t>
      </w:r>
      <w:r w:rsidRPr="00603D9B">
        <w:rPr>
          <w:sz w:val="18"/>
        </w:rPr>
        <w:tab/>
        <w:t xml:space="preserve">Where applicable, that some or all of the strategies reflected in the model results are not currently offered by </w:t>
      </w:r>
      <w:r w:rsidR="0027055D">
        <w:rPr>
          <w:sz w:val="18"/>
        </w:rPr>
        <w:t>t</w:t>
      </w:r>
      <w:r w:rsidR="00485F39" w:rsidRPr="00603D9B">
        <w:rPr>
          <w:sz w:val="18"/>
        </w:rPr>
        <w:t>he Company</w:t>
      </w:r>
      <w:r w:rsidRPr="00603D9B">
        <w:rPr>
          <w:sz w:val="18"/>
        </w:rPr>
        <w:t>; and,</w:t>
      </w:r>
    </w:p>
    <w:p w14:paraId="71367020" w14:textId="349CD04B" w:rsidR="0075479B" w:rsidRDefault="0075479B" w:rsidP="00BB1D40">
      <w:pPr>
        <w:pStyle w:val="Heading5"/>
        <w:spacing w:after="0"/>
        <w:rPr>
          <w:sz w:val="18"/>
        </w:rPr>
      </w:pPr>
      <w:r w:rsidRPr="00603D9B">
        <w:rPr>
          <w:sz w:val="18"/>
        </w:rPr>
        <w:fldChar w:fldCharType="begin"/>
      </w:r>
      <w:r w:rsidRPr="00603D9B">
        <w:rPr>
          <w:sz w:val="18"/>
        </w:rPr>
        <w:instrText xml:space="preserve"> SEQ Seq(123) \n \*Arabic \*MERGEFORMAT </w:instrText>
      </w:r>
      <w:r w:rsidRPr="00603D9B">
        <w:rPr>
          <w:sz w:val="18"/>
        </w:rPr>
        <w:fldChar w:fldCharType="separate"/>
      </w:r>
      <w:r w:rsidR="002A078E">
        <w:rPr>
          <w:noProof/>
          <w:sz w:val="18"/>
        </w:rPr>
        <w:t>4</w:t>
      </w:r>
      <w:r w:rsidRPr="00603D9B">
        <w:rPr>
          <w:sz w:val="18"/>
        </w:rPr>
        <w:fldChar w:fldCharType="end"/>
      </w:r>
      <w:r w:rsidRPr="00603D9B">
        <w:rPr>
          <w:sz w:val="18"/>
        </w:rPr>
        <w:t>.</w:t>
      </w:r>
      <w:r w:rsidRPr="00603D9B">
        <w:rPr>
          <w:sz w:val="18"/>
        </w:rPr>
        <w:tab/>
        <w:t xml:space="preserve">Where applicable, that </w:t>
      </w:r>
      <w:r w:rsidR="0027055D">
        <w:rPr>
          <w:sz w:val="18"/>
        </w:rPr>
        <w:t>t</w:t>
      </w:r>
      <w:r w:rsidR="00485F39" w:rsidRPr="00603D9B">
        <w:rPr>
          <w:sz w:val="18"/>
        </w:rPr>
        <w:t>he Company</w:t>
      </w:r>
      <w:r w:rsidRPr="00603D9B">
        <w:rPr>
          <w:sz w:val="18"/>
        </w:rPr>
        <w:t>’s clients had actual investment results, which were materially different from those shown in the model.</w:t>
      </w:r>
    </w:p>
    <w:p w14:paraId="50785F5B" w14:textId="77777777" w:rsidR="00BB1D40" w:rsidRPr="00BB1D40" w:rsidRDefault="00BB1D40" w:rsidP="00BB1D40"/>
    <w:p w14:paraId="34EEF6E8" w14:textId="1A0A64F8" w:rsidR="007547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r>
      <w:r w:rsidRPr="00603D9B">
        <w:rPr>
          <w:b/>
          <w:sz w:val="18"/>
        </w:rPr>
        <w:t>Actual Performance Results for Selected Group of Clients</w:t>
      </w:r>
      <w:r w:rsidRPr="00603D9B">
        <w:rPr>
          <w:sz w:val="18"/>
        </w:rPr>
        <w:t xml:space="preserve">.  If the results are only for a selected group of clients, </w:t>
      </w:r>
      <w:r w:rsidR="00A037DB">
        <w:rPr>
          <w:sz w:val="18"/>
        </w:rPr>
        <w:t xml:space="preserve">you must provide </w:t>
      </w:r>
      <w:r w:rsidRPr="00603D9B">
        <w:rPr>
          <w:sz w:val="18"/>
        </w:rPr>
        <w:t>the basis on which the selection was made and the effect of this practice on the results shown (if material) must be disclosed.</w:t>
      </w:r>
    </w:p>
    <w:p w14:paraId="4E82FBBF" w14:textId="77777777" w:rsidR="00A037DB" w:rsidRPr="00325109" w:rsidRDefault="00A037DB" w:rsidP="00325109">
      <w:pPr>
        <w:spacing w:line="360" w:lineRule="auto"/>
        <w:ind w:left="2016" w:hanging="432"/>
        <w:rPr>
          <w:sz w:val="18"/>
          <w:szCs w:val="18"/>
        </w:rPr>
      </w:pPr>
      <w:r w:rsidRPr="00BA2880">
        <w:rPr>
          <w:sz w:val="18"/>
          <w:szCs w:val="18"/>
        </w:rPr>
        <w:t>d</w:t>
      </w:r>
      <w:r>
        <w:t>.</w:t>
      </w:r>
      <w:r w:rsidR="00325109">
        <w:t xml:space="preserve"> </w:t>
      </w:r>
      <w:r w:rsidR="00325109">
        <w:tab/>
      </w:r>
      <w:r w:rsidRPr="00325109">
        <w:rPr>
          <w:b/>
          <w:bCs/>
          <w:sz w:val="18"/>
          <w:szCs w:val="18"/>
        </w:rPr>
        <w:t>Hypothetical Performance</w:t>
      </w:r>
      <w:r w:rsidR="00325109" w:rsidRPr="00325109">
        <w:rPr>
          <w:sz w:val="18"/>
          <w:szCs w:val="18"/>
        </w:rPr>
        <w:t xml:space="preserve"> (including model, back tested, and target/projected performance) may be presented in limited circumstances with prior approval by Compliance.  This type of performance requires the advisory firm to have policies and procedures to ensure it is relevant to the likely financial situation and investment objectives of the intended audience and requires additional disclosure of criteria used, assumptions made and risks/limitations of using hypothetical performance to make investment decisions.</w:t>
      </w:r>
    </w:p>
    <w:p w14:paraId="1200A395" w14:textId="77777777" w:rsidR="00BB1D40" w:rsidRPr="00BB1D40" w:rsidRDefault="00BB1D40" w:rsidP="00BB1D40"/>
    <w:p w14:paraId="3D9052C3" w14:textId="1FAB5204" w:rsidR="0075479B" w:rsidRPr="00603D9B" w:rsidRDefault="0075479B">
      <w:pPr>
        <w:pStyle w:val="Heading3"/>
        <w:keepNext/>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b/>
          <w:sz w:val="18"/>
        </w:rPr>
        <w:tab/>
        <w:t>“Net of Fees” Requirement for Performance Advertising</w:t>
      </w:r>
      <w:r w:rsidRPr="00603D9B">
        <w:rPr>
          <w:sz w:val="18"/>
        </w:rPr>
        <w:t xml:space="preserve">.  All advertisements must reflect the deduction of advisory fees, brokerage commissions and other client paid expenses, with the following </w:t>
      </w:r>
      <w:r w:rsidRPr="00603D9B">
        <w:rPr>
          <w:sz w:val="18"/>
          <w:u w:val="single"/>
        </w:rPr>
        <w:t>exceptions</w:t>
      </w:r>
      <w:r w:rsidRPr="00603D9B">
        <w:rPr>
          <w:sz w:val="18"/>
        </w:rPr>
        <w:t>:</w:t>
      </w:r>
    </w:p>
    <w:p w14:paraId="64C3CF31" w14:textId="550C3512" w:rsidR="0075479B" w:rsidRPr="00603D9B" w:rsidRDefault="0075479B" w:rsidP="005B398B">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Performance results may be calculated without fees paid to a custodian, where the client generally selects and pays the custodian fee.</w:t>
      </w:r>
    </w:p>
    <w:p w14:paraId="46F06829" w14:textId="6CDCB989" w:rsidR="0075479B" w:rsidRDefault="0075479B" w:rsidP="005B398B">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 xml:space="preserve">Gross performance results may be used, but only </w:t>
      </w:r>
      <w:r w:rsidR="00A037DB">
        <w:rPr>
          <w:sz w:val="18"/>
        </w:rPr>
        <w:t>if the advertisement also presents net performance with at least equal prominence to the gross performance; and calculated over the same time period, and using the same type of return and methodology</w:t>
      </w:r>
    </w:p>
    <w:p w14:paraId="0FD8D32D" w14:textId="77777777" w:rsidR="00A037DB" w:rsidRDefault="00A037DB" w:rsidP="00A037DB">
      <w:pPr>
        <w:spacing w:line="360" w:lineRule="auto"/>
        <w:ind w:left="1584"/>
        <w:rPr>
          <w:sz w:val="18"/>
          <w:szCs w:val="18"/>
        </w:rPr>
      </w:pPr>
      <w:r w:rsidRPr="00A037DB">
        <w:rPr>
          <w:sz w:val="18"/>
          <w:szCs w:val="18"/>
        </w:rPr>
        <w:t xml:space="preserve">c.      </w:t>
      </w:r>
      <w:r>
        <w:rPr>
          <w:sz w:val="18"/>
          <w:szCs w:val="18"/>
        </w:rPr>
        <w:t xml:space="preserve"> </w:t>
      </w:r>
      <w:r w:rsidRPr="00A037DB">
        <w:rPr>
          <w:sz w:val="18"/>
          <w:szCs w:val="18"/>
        </w:rPr>
        <w:t xml:space="preserve">Performance results must include 1-, 5-, and 10-year periods (or since inception, as applicable), each </w:t>
      </w:r>
    </w:p>
    <w:p w14:paraId="0C2A1681" w14:textId="77777777" w:rsidR="005B398B" w:rsidRPr="00A037DB" w:rsidRDefault="00A037DB" w:rsidP="00A037DB">
      <w:pPr>
        <w:spacing w:line="360" w:lineRule="auto"/>
        <w:ind w:left="1584"/>
        <w:rPr>
          <w:sz w:val="18"/>
          <w:szCs w:val="18"/>
        </w:rPr>
      </w:pPr>
      <w:r>
        <w:rPr>
          <w:sz w:val="18"/>
          <w:szCs w:val="18"/>
        </w:rPr>
        <w:t xml:space="preserve">          </w:t>
      </w:r>
      <w:r w:rsidRPr="00A037DB">
        <w:rPr>
          <w:sz w:val="18"/>
          <w:szCs w:val="18"/>
        </w:rPr>
        <w:t>presented with equal prominence as the most recent calendar year-end.</w:t>
      </w:r>
    </w:p>
    <w:p w14:paraId="45AE0C55" w14:textId="77777777" w:rsidR="00BB1D40" w:rsidRPr="00BB1D40" w:rsidRDefault="00A037DB" w:rsidP="00BB1D40">
      <w:r>
        <w:tab/>
      </w:r>
      <w:r>
        <w:tab/>
      </w:r>
      <w:r>
        <w:tab/>
      </w:r>
      <w:r>
        <w:tab/>
      </w:r>
    </w:p>
    <w:p w14:paraId="411BFEEE" w14:textId="10E8CADD" w:rsidR="0075479B" w:rsidRDefault="0075479B" w:rsidP="00BB1D40">
      <w:pPr>
        <w:pStyle w:val="Heading3"/>
        <w:keepNext/>
        <w:spacing w:after="0"/>
        <w:rPr>
          <w:b/>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b/>
          <w:sz w:val="18"/>
        </w:rPr>
        <w:t>.</w:t>
      </w:r>
      <w:r w:rsidRPr="00603D9B">
        <w:rPr>
          <w:b/>
          <w:sz w:val="18"/>
        </w:rPr>
        <w:tab/>
        <w:t>Record Keeping Requirements for Performance Advertising.</w:t>
      </w:r>
    </w:p>
    <w:p w14:paraId="6A0FD96F" w14:textId="77777777" w:rsidR="00BB1D40" w:rsidRPr="00BB1D40" w:rsidRDefault="00BB1D40" w:rsidP="00BB1D40"/>
    <w:p w14:paraId="7D156384" w14:textId="5649EC58" w:rsidR="0075479B" w:rsidRPr="00603D9B" w:rsidRDefault="0075479B" w:rsidP="005B398B">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r>
      <w:r w:rsidRPr="00603D9B">
        <w:rPr>
          <w:b/>
          <w:sz w:val="18"/>
        </w:rPr>
        <w:t>Responsibility</w:t>
      </w:r>
      <w:r w:rsidRPr="00603D9B">
        <w:rPr>
          <w:sz w:val="18"/>
        </w:rPr>
        <w:t>.  The CCO is responsible for maintaining all performance advertising records at a readily accessible location and in accordance with applicable laws, rules and regulations.</w:t>
      </w:r>
    </w:p>
    <w:p w14:paraId="3897CA3F" w14:textId="1A0E46F3" w:rsidR="0075479B" w:rsidRDefault="0075479B" w:rsidP="005B398B">
      <w:pPr>
        <w:pStyle w:val="Heading4"/>
        <w:spacing w:after="0"/>
        <w:rPr>
          <w:sz w:val="18"/>
        </w:rPr>
      </w:pPr>
      <w:r w:rsidRPr="00603D9B">
        <w:rPr>
          <w:sz w:val="18"/>
        </w:rPr>
        <w:lastRenderedPageBreak/>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r>
      <w:r w:rsidRPr="00603D9B">
        <w:rPr>
          <w:b/>
          <w:sz w:val="18"/>
        </w:rPr>
        <w:t>Time</w:t>
      </w:r>
      <w:r w:rsidRPr="00603D9B">
        <w:rPr>
          <w:sz w:val="18"/>
        </w:rPr>
        <w:t>.  At a minimum, all performance advertisements and all documents and supporting records included in the performance figures advertised must be maintained for not less than five years from the end of the fiscal year in which the performance advertisement was last published.</w:t>
      </w:r>
    </w:p>
    <w:p w14:paraId="3236A024" w14:textId="77777777" w:rsidR="00A037DB" w:rsidRPr="005B398B" w:rsidRDefault="00A037DB" w:rsidP="005B398B"/>
    <w:p w14:paraId="74AA42F7" w14:textId="1AF395EF" w:rsidR="0075479B" w:rsidRDefault="0075479B" w:rsidP="005B398B">
      <w:pPr>
        <w:pStyle w:val="Heading2"/>
        <w:keepNext/>
        <w:spacing w:after="0"/>
        <w:rPr>
          <w:b/>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Use of Hedge Clauses</w:t>
      </w:r>
    </w:p>
    <w:p w14:paraId="42D7FF48" w14:textId="77777777" w:rsidR="005B398B" w:rsidRPr="005B398B" w:rsidRDefault="005B398B" w:rsidP="005B398B"/>
    <w:p w14:paraId="7369493E" w14:textId="15FB766C"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Permitted Use</w:t>
      </w:r>
      <w:r w:rsidRPr="00603D9B">
        <w:rPr>
          <w:sz w:val="18"/>
        </w:rPr>
        <w:t>.  Advertisements, correspondence, and</w:t>
      </w:r>
      <w:r w:rsidR="0012204C" w:rsidRPr="00603D9B">
        <w:rPr>
          <w:sz w:val="18"/>
        </w:rPr>
        <w:t xml:space="preserve"> other literature generated by </w:t>
      </w:r>
      <w:r w:rsidR="00C67A3D">
        <w:rPr>
          <w:sz w:val="18"/>
        </w:rPr>
        <w:t>t</w:t>
      </w:r>
      <w:r w:rsidR="00485F39" w:rsidRPr="00603D9B">
        <w:rPr>
          <w:sz w:val="18"/>
        </w:rPr>
        <w:t>he Company</w:t>
      </w:r>
      <w:r w:rsidRPr="00603D9B">
        <w:rPr>
          <w:sz w:val="18"/>
        </w:rPr>
        <w:t xml:space="preserve"> may contain hedge clauses or legends that pertain to the reliability and accuracy of the information furnished.</w:t>
      </w:r>
    </w:p>
    <w:p w14:paraId="292BB26E" w14:textId="1320EDBF" w:rsidR="00872ACB" w:rsidRDefault="0075479B" w:rsidP="00872ACB">
      <w:pPr>
        <w:pStyle w:val="Heading3"/>
        <w:rPr>
          <w:b/>
          <w:bCs w:val="0"/>
          <w:noProof/>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sz w:val="18"/>
        </w:rPr>
        <w:t>.</w:t>
      </w:r>
      <w:r w:rsidRPr="00603D9B">
        <w:rPr>
          <w:sz w:val="18"/>
        </w:rPr>
        <w:tab/>
      </w:r>
      <w:r w:rsidRPr="00603D9B">
        <w:rPr>
          <w:b/>
          <w:sz w:val="18"/>
        </w:rPr>
        <w:t>Disclosure.</w:t>
      </w:r>
      <w:r w:rsidR="00C67A3D">
        <w:rPr>
          <w:sz w:val="18"/>
        </w:rPr>
        <w:t xml:space="preserve">  The following disclosure, or similar wording that incorporates the meaning of the following disclosure, </w:t>
      </w:r>
      <w:r w:rsidRPr="00603D9B">
        <w:rPr>
          <w:sz w:val="18"/>
        </w:rPr>
        <w:t xml:space="preserve">must be provided when using hedge clauses: </w:t>
      </w:r>
      <w:r w:rsidRPr="00603D9B">
        <w:rPr>
          <w:b/>
          <w:i/>
          <w:sz w:val="18"/>
        </w:rPr>
        <w:t>“The information contained herein has been obtained from sources believed to be reliable but the accuracy of the information cannot be guaranteed”</w:t>
      </w:r>
      <w:r w:rsidR="00872ACB">
        <w:rPr>
          <w:b/>
          <w:i/>
          <w:sz w:val="18"/>
        </w:rPr>
        <w:t xml:space="preserve"> </w:t>
      </w:r>
      <w:r w:rsidR="00872ACB" w:rsidRPr="00872ACB">
        <w:rPr>
          <w:sz w:val="18"/>
        </w:rPr>
        <w:t>assuming the truth of the representations</w:t>
      </w:r>
      <w:r w:rsidR="00872ACB">
        <w:rPr>
          <w:b/>
          <w:i/>
          <w:sz w:val="18"/>
        </w:rPr>
        <w:t xml:space="preserve">.  </w:t>
      </w:r>
      <w:r w:rsidR="00872ACB">
        <w:rPr>
          <w:sz w:val="18"/>
        </w:rPr>
        <w:t>It is prohibited to represent to an investor that this relieves the Company or IAR of any liability.</w:t>
      </w:r>
      <w:r w:rsidR="00872ACB">
        <w:rPr>
          <w:b/>
          <w:bCs w:val="0"/>
          <w:noProof/>
          <w:sz w:val="18"/>
        </w:rPr>
        <w:t xml:space="preserve">    </w:t>
      </w:r>
    </w:p>
    <w:p w14:paraId="0C68F6D0" w14:textId="0DD2527B" w:rsidR="00325109" w:rsidRPr="00325109" w:rsidRDefault="00325109" w:rsidP="00325109">
      <w:r>
        <w:rPr>
          <w:rFonts w:cs="Arial"/>
          <w:b/>
          <w:bCs/>
          <w:noProof/>
          <w:sz w:val="18"/>
        </w:rPr>
        <w:t>Performance based advertising is prohibited from any statement, express or implied, that the SEC has approved or reviewed the calculation or presentation of performance results</w:t>
      </w:r>
      <w:r w:rsidRPr="00325109">
        <w:t>.</w:t>
      </w:r>
    </w:p>
    <w:p w14:paraId="31D13CAA" w14:textId="77777777" w:rsidR="00325109" w:rsidRPr="00325109" w:rsidRDefault="00325109" w:rsidP="00325109"/>
    <w:p w14:paraId="43111AF4" w14:textId="77777777" w:rsidR="00325109" w:rsidRPr="00325109" w:rsidRDefault="00325109" w:rsidP="00325109"/>
    <w:p w14:paraId="0243CA47" w14:textId="0F2D39DE" w:rsidR="0075479B" w:rsidRPr="00B65312" w:rsidRDefault="0075479B" w:rsidP="00B65312">
      <w:pPr>
        <w:pStyle w:val="Heading3"/>
        <w:ind w:left="0" w:firstLine="0"/>
        <w:rPr>
          <w:b/>
          <w:sz w:val="24"/>
        </w:rPr>
      </w:pPr>
      <w:r w:rsidRPr="00B65312">
        <w:rPr>
          <w:b/>
          <w:sz w:val="24"/>
        </w:rPr>
        <w:fldChar w:fldCharType="begin"/>
      </w:r>
      <w:r w:rsidRPr="00B65312">
        <w:rPr>
          <w:b/>
          <w:sz w:val="24"/>
        </w:rPr>
        <w:instrText xml:space="preserve"> SEQ SeqIII \n \*ROMAN \*MERGEFORMAT </w:instrText>
      </w:r>
      <w:r w:rsidRPr="00B65312">
        <w:rPr>
          <w:b/>
          <w:sz w:val="24"/>
        </w:rPr>
        <w:fldChar w:fldCharType="separate"/>
      </w:r>
      <w:r w:rsidR="002A078E">
        <w:rPr>
          <w:b/>
          <w:noProof/>
          <w:sz w:val="24"/>
        </w:rPr>
        <w:t>VII</w:t>
      </w:r>
      <w:r w:rsidRPr="00B65312">
        <w:rPr>
          <w:b/>
          <w:sz w:val="24"/>
        </w:rPr>
        <w:fldChar w:fldCharType="end"/>
      </w:r>
      <w:r w:rsidRPr="00B65312">
        <w:rPr>
          <w:b/>
          <w:sz w:val="24"/>
        </w:rPr>
        <w:t>.</w:t>
      </w:r>
      <w:r w:rsidRPr="00B65312">
        <w:rPr>
          <w:b/>
          <w:sz w:val="24"/>
        </w:rPr>
        <w:tab/>
      </w:r>
      <w:r w:rsidR="00551956">
        <w:rPr>
          <w:b/>
          <w:sz w:val="24"/>
        </w:rPr>
        <w:t xml:space="preserve"> </w:t>
      </w:r>
      <w:r w:rsidRPr="00B65312">
        <w:rPr>
          <w:b/>
          <w:sz w:val="24"/>
        </w:rPr>
        <w:t>Disclosure Requirements</w:t>
      </w:r>
    </w:p>
    <w:p w14:paraId="7DB3ABC7" w14:textId="0BC0FCE6"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Responsibility</w:t>
      </w:r>
      <w:r w:rsidRPr="00603D9B">
        <w:rPr>
          <w:sz w:val="18"/>
        </w:rPr>
        <w:t xml:space="preserve">.  </w:t>
      </w:r>
      <w:r w:rsidR="00485F39" w:rsidRPr="00603D9B">
        <w:rPr>
          <w:sz w:val="18"/>
        </w:rPr>
        <w:t>The Company</w:t>
      </w:r>
      <w:r w:rsidRPr="00603D9B">
        <w:rPr>
          <w:sz w:val="18"/>
        </w:rPr>
        <w:t xml:space="preserve"> is required to disclose information regarding their business practices to both regulators and members of the public.  The CCO is responsible for ensuring that </w:t>
      </w:r>
      <w:r w:rsidR="00C67A3D">
        <w:rPr>
          <w:sz w:val="18"/>
        </w:rPr>
        <w:t>t</w:t>
      </w:r>
      <w:r w:rsidR="00485F39" w:rsidRPr="00603D9B">
        <w:rPr>
          <w:sz w:val="18"/>
        </w:rPr>
        <w:t>he Company</w:t>
      </w:r>
      <w:r w:rsidRPr="00603D9B">
        <w:rPr>
          <w:sz w:val="18"/>
        </w:rPr>
        <w:t xml:space="preserve"> meets all disclosure requirements required by applicable laws, rules and regulations.  </w:t>
      </w:r>
    </w:p>
    <w:p w14:paraId="70D1F504" w14:textId="77777777" w:rsidR="0075479B" w:rsidRPr="00603D9B" w:rsidRDefault="0075479B">
      <w:pPr>
        <w:pStyle w:val="Heading2"/>
        <w:rPr>
          <w:sz w:val="18"/>
        </w:rPr>
      </w:pPr>
      <w:r w:rsidRPr="00603D9B">
        <w:rPr>
          <w:b/>
          <w:sz w:val="18"/>
        </w:rPr>
        <w:t>B.</w:t>
      </w:r>
      <w:r w:rsidRPr="00603D9B">
        <w:rPr>
          <w:b/>
          <w:sz w:val="18"/>
        </w:rPr>
        <w:tab/>
        <w:t>Disciplinary Disclosure</w:t>
      </w:r>
      <w:r w:rsidRPr="00603D9B">
        <w:rPr>
          <w:sz w:val="18"/>
        </w:rPr>
        <w:t xml:space="preserve">.  All material facts must be disclosed which relate to legal or disciplinary events that are material to the client’s evaluation of </w:t>
      </w:r>
      <w:r w:rsidR="00C67A3D">
        <w:rPr>
          <w:sz w:val="18"/>
        </w:rPr>
        <w:t>t</w:t>
      </w:r>
      <w:r w:rsidR="00485F39" w:rsidRPr="00603D9B">
        <w:rPr>
          <w:sz w:val="18"/>
        </w:rPr>
        <w:t>he Company</w:t>
      </w:r>
      <w:r w:rsidRPr="00603D9B">
        <w:rPr>
          <w:sz w:val="18"/>
        </w:rPr>
        <w:t>’s integrity or ability to meet its contractual obligations, including:</w:t>
      </w:r>
    </w:p>
    <w:p w14:paraId="41B197CF" w14:textId="0A0A5AE4" w:rsidR="0075479B" w:rsidRPr="00603D9B" w:rsidRDefault="0075479B">
      <w:pPr>
        <w:pStyle w:val="Heading3"/>
        <w:keepNext/>
        <w:rPr>
          <w:b/>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 xml:space="preserve">Court Proceedings </w:t>
      </w:r>
      <w:r w:rsidRPr="00603D9B">
        <w:rPr>
          <w:b/>
          <w:i/>
          <w:sz w:val="18"/>
        </w:rPr>
        <w:t>(Criminal and Civil)</w:t>
      </w:r>
    </w:p>
    <w:p w14:paraId="5519B5B1" w14:textId="0814769A" w:rsidR="00B65312" w:rsidRDefault="0075479B" w:rsidP="00B65312">
      <w:pPr>
        <w:pStyle w:val="Heading4"/>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 xml:space="preserve">If </w:t>
      </w:r>
      <w:r w:rsidR="00C67A3D">
        <w:rPr>
          <w:sz w:val="18"/>
        </w:rPr>
        <w:t>t</w:t>
      </w:r>
      <w:r w:rsidR="00485F39" w:rsidRPr="00603D9B">
        <w:rPr>
          <w:sz w:val="18"/>
        </w:rPr>
        <w:t>he Company</w:t>
      </w:r>
      <w:r w:rsidRPr="00603D9B">
        <w:rPr>
          <w:sz w:val="18"/>
        </w:rPr>
        <w:t xml:space="preserve"> has been permanently or temporarily enjoined from engaging in investment-related activities or if any member of its senior management </w:t>
      </w:r>
      <w:r w:rsidR="00711294" w:rsidRPr="00603D9B">
        <w:rPr>
          <w:sz w:val="18"/>
        </w:rPr>
        <w:t xml:space="preserve">or an associated person </w:t>
      </w:r>
      <w:r w:rsidRPr="00603D9B">
        <w:rPr>
          <w:sz w:val="18"/>
        </w:rPr>
        <w:t>has been convicted of or has plead guilty or nolo contendere to a felony or misdemeanor involving an investment related statute; fraud; making false statements; omissions; wrongful taking of property; bribery; forgery; counterfeiting; or, extortion; and,</w:t>
      </w:r>
    </w:p>
    <w:p w14:paraId="565C2ACE" w14:textId="5132BE6A" w:rsidR="0075479B" w:rsidRPr="00603D9B" w:rsidRDefault="0075479B" w:rsidP="00B65312">
      <w:pPr>
        <w:pStyle w:val="Heading4"/>
        <w:ind w:left="1620" w:hanging="846"/>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 xml:space="preserve">Regulatory Proceedings.  </w:t>
      </w:r>
      <w:r w:rsidRPr="00603D9B">
        <w:rPr>
          <w:sz w:val="18"/>
        </w:rPr>
        <w:t xml:space="preserve">If applicable, that </w:t>
      </w:r>
      <w:r w:rsidR="00C67A3D">
        <w:rPr>
          <w:sz w:val="18"/>
        </w:rPr>
        <w:t>t</w:t>
      </w:r>
      <w:r w:rsidR="00485F39" w:rsidRPr="00603D9B">
        <w:rPr>
          <w:sz w:val="18"/>
        </w:rPr>
        <w:t>he Company</w:t>
      </w:r>
      <w:r w:rsidRPr="00603D9B">
        <w:rPr>
          <w:sz w:val="18"/>
        </w:rPr>
        <w:t xml:space="preserve"> or an associated person of </w:t>
      </w:r>
      <w:r w:rsidR="00C67A3D">
        <w:rPr>
          <w:sz w:val="18"/>
        </w:rPr>
        <w:t>t</w:t>
      </w:r>
      <w:r w:rsidR="00485F39" w:rsidRPr="00603D9B">
        <w:rPr>
          <w:sz w:val="18"/>
        </w:rPr>
        <w:t>he Company</w:t>
      </w:r>
      <w:r w:rsidRPr="00603D9B">
        <w:rPr>
          <w:sz w:val="18"/>
        </w:rPr>
        <w:t xml:space="preserve"> caused an investment related business to lose its authorization to conduct business or was found to have violated a statute and was subject to an action denying, suspending, or revoking its ability to do business; or received a fine in excess of $2,500 in a self-regulatory proceeding.</w:t>
      </w:r>
    </w:p>
    <w:p w14:paraId="28E30312" w14:textId="77777777" w:rsidR="0075479B" w:rsidRPr="00603D9B" w:rsidRDefault="0075479B">
      <w:pPr>
        <w:pStyle w:val="Heading2"/>
        <w:keepNext/>
        <w:rPr>
          <w:b/>
          <w:sz w:val="18"/>
        </w:rPr>
      </w:pPr>
      <w:r w:rsidRPr="00603D9B">
        <w:rPr>
          <w:b/>
          <w:sz w:val="18"/>
        </w:rPr>
        <w:lastRenderedPageBreak/>
        <w:t>C.</w:t>
      </w:r>
      <w:r w:rsidRPr="00603D9B">
        <w:rPr>
          <w:b/>
          <w:sz w:val="18"/>
        </w:rPr>
        <w:tab/>
        <w:t>Compensation</w:t>
      </w:r>
    </w:p>
    <w:p w14:paraId="27F98209" w14:textId="232BBE58" w:rsidR="0075479B" w:rsidRPr="00603D9B" w:rsidRDefault="0075479B">
      <w:pPr>
        <w:pStyle w:val="Heading3"/>
        <w:keepNext/>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 xml:space="preserve">Fee Schedule - </w:t>
      </w:r>
      <w:r w:rsidRPr="00603D9B">
        <w:rPr>
          <w:sz w:val="18"/>
        </w:rPr>
        <w:t>All material information regarding fees must be disclosed to the client (i.e. refund provisions, negotiability, etc.).  Compensation must be fair and reasonable.  It is usually structured in terms of an annual fee representing a percentage of assets under management.</w:t>
      </w:r>
      <w:r w:rsidR="00A725B4">
        <w:rPr>
          <w:sz w:val="18"/>
        </w:rPr>
        <w:t xml:space="preserve">  Alternatively, </w:t>
      </w:r>
      <w:r w:rsidR="00C67A3D">
        <w:rPr>
          <w:sz w:val="18"/>
        </w:rPr>
        <w:t xml:space="preserve">commissions, </w:t>
      </w:r>
      <w:r w:rsidR="00A725B4">
        <w:rPr>
          <w:sz w:val="18"/>
        </w:rPr>
        <w:t>retainer and hourly based fees are allowed when agreed to by the client.</w:t>
      </w:r>
    </w:p>
    <w:p w14:paraId="29FE6B76" w14:textId="00AC9218" w:rsidR="0075479B" w:rsidRDefault="0075479B" w:rsidP="00BB1D40">
      <w:pPr>
        <w:pStyle w:val="Heading3"/>
        <w:keepNext/>
        <w:spacing w:after="0"/>
        <w:rPr>
          <w:i/>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 xml:space="preserve">Solicitor Fees  </w:t>
      </w:r>
      <w:r w:rsidR="009A1659" w:rsidRPr="00603D9B">
        <w:rPr>
          <w:i/>
          <w:sz w:val="18"/>
        </w:rPr>
        <w:t>Advisor</w:t>
      </w:r>
      <w:r w:rsidRPr="00603D9B">
        <w:rPr>
          <w:i/>
          <w:sz w:val="18"/>
        </w:rPr>
        <w:t>s Act Ru</w:t>
      </w:r>
      <w:r w:rsidR="00E14EAF" w:rsidRPr="00603D9B">
        <w:rPr>
          <w:i/>
          <w:sz w:val="18"/>
        </w:rPr>
        <w:t>l</w:t>
      </w:r>
      <w:r w:rsidRPr="00603D9B">
        <w:rPr>
          <w:i/>
          <w:sz w:val="18"/>
        </w:rPr>
        <w:t>e 206(4)-3</w:t>
      </w:r>
    </w:p>
    <w:p w14:paraId="206D5FB1" w14:textId="77777777" w:rsidR="00BB1D40" w:rsidRPr="00BB1D40" w:rsidRDefault="00BB1D40" w:rsidP="00BB1D40"/>
    <w:p w14:paraId="1EFCCA44" w14:textId="3CC55A04"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r>
      <w:r w:rsidRPr="00603D9B">
        <w:rPr>
          <w:b/>
          <w:sz w:val="18"/>
        </w:rPr>
        <w:t>Review</w:t>
      </w:r>
      <w:r w:rsidRPr="00603D9B">
        <w:rPr>
          <w:sz w:val="18"/>
        </w:rPr>
        <w:t xml:space="preserve">.  </w:t>
      </w:r>
      <w:r w:rsidR="00485F39" w:rsidRPr="00603D9B">
        <w:rPr>
          <w:sz w:val="18"/>
        </w:rPr>
        <w:t>The Company</w:t>
      </w:r>
      <w:r w:rsidRPr="00603D9B">
        <w:rPr>
          <w:sz w:val="18"/>
        </w:rPr>
        <w:t xml:space="preserve"> may, from time to time, pay referral fees to finders or solicitors for obtaining new advisory clients.  The CCO must review all solicitor fee arrangements to ensure that they comply with the requirements set forth herein.</w:t>
      </w:r>
    </w:p>
    <w:p w14:paraId="62E858AF" w14:textId="2AC1C5C6"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r>
      <w:r w:rsidRPr="00603D9B">
        <w:rPr>
          <w:b/>
          <w:sz w:val="18"/>
        </w:rPr>
        <w:t>Requirements</w:t>
      </w:r>
      <w:r w:rsidRPr="00603D9B">
        <w:rPr>
          <w:sz w:val="18"/>
        </w:rPr>
        <w:t>.  Such arrangements must be in the form of a written agreement and the solicitor must not be subject to a statutory disqualification.</w:t>
      </w:r>
    </w:p>
    <w:p w14:paraId="069F2471" w14:textId="4426B9D1" w:rsidR="0075479B" w:rsidRDefault="0075479B" w:rsidP="00BB1D40">
      <w:pPr>
        <w:pStyle w:val="Heading4"/>
        <w:keepNext/>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r>
      <w:r w:rsidRPr="00603D9B">
        <w:rPr>
          <w:b/>
          <w:sz w:val="18"/>
        </w:rPr>
        <w:t>Disclosure</w:t>
      </w:r>
      <w:r w:rsidRPr="00603D9B">
        <w:rPr>
          <w:sz w:val="18"/>
        </w:rPr>
        <w:t>.  The required client disclosure depe</w:t>
      </w:r>
      <w:r w:rsidR="00BB1D40">
        <w:rPr>
          <w:sz w:val="18"/>
        </w:rPr>
        <w:t>nds on the type of solicitation.</w:t>
      </w:r>
    </w:p>
    <w:p w14:paraId="2245C7FD" w14:textId="77777777" w:rsidR="00BB1D40" w:rsidRPr="00BB1D40" w:rsidRDefault="00BB1D40" w:rsidP="00BB1D40"/>
    <w:p w14:paraId="6A15EC94" w14:textId="2472E240" w:rsidR="0075479B" w:rsidRPr="00603D9B" w:rsidRDefault="0075479B">
      <w:pPr>
        <w:pStyle w:val="Heading1"/>
        <w:jc w:val="left"/>
        <w:rPr>
          <w:i/>
          <w:smallCaps w:val="0"/>
          <w:sz w:val="18"/>
        </w:rPr>
      </w:pPr>
      <w:r w:rsidRPr="005B398B">
        <w:rPr>
          <w:sz w:val="24"/>
        </w:rPr>
        <w:fldChar w:fldCharType="begin"/>
      </w:r>
      <w:r w:rsidRPr="005B398B">
        <w:rPr>
          <w:sz w:val="24"/>
        </w:rPr>
        <w:instrText xml:space="preserve"> SEQ SeqIII \n \*ROMAN \*MERGEFORMAT </w:instrText>
      </w:r>
      <w:r w:rsidRPr="005B398B">
        <w:rPr>
          <w:sz w:val="24"/>
        </w:rPr>
        <w:fldChar w:fldCharType="separate"/>
      </w:r>
      <w:r w:rsidR="002A078E">
        <w:rPr>
          <w:noProof/>
          <w:sz w:val="24"/>
        </w:rPr>
        <w:t>VIII</w:t>
      </w:r>
      <w:r w:rsidRPr="005B398B">
        <w:rPr>
          <w:sz w:val="24"/>
        </w:rPr>
        <w:fldChar w:fldCharType="end"/>
      </w:r>
      <w:r w:rsidRPr="005B398B">
        <w:rPr>
          <w:sz w:val="24"/>
        </w:rPr>
        <w:t>.</w:t>
      </w:r>
      <w:r w:rsidRPr="005B398B">
        <w:rPr>
          <w:sz w:val="24"/>
        </w:rPr>
        <w:tab/>
        <w:t xml:space="preserve">Principal </w:t>
      </w:r>
      <w:smartTag w:uri="urn:schemas-microsoft-com:office:smarttags" w:element="stockticker">
        <w:r w:rsidRPr="005B398B">
          <w:rPr>
            <w:sz w:val="24"/>
          </w:rPr>
          <w:t>And</w:t>
        </w:r>
      </w:smartTag>
      <w:r w:rsidRPr="005B398B">
        <w:rPr>
          <w:sz w:val="24"/>
        </w:rPr>
        <w:t xml:space="preserve"> Agency Cross Transactions</w:t>
      </w:r>
      <w:r w:rsidRPr="005B398B">
        <w:rPr>
          <w:i/>
          <w:smallCaps w:val="0"/>
          <w:sz w:val="18"/>
        </w:rPr>
        <w:br/>
      </w:r>
      <w:r w:rsidR="009A1659" w:rsidRPr="00603D9B">
        <w:rPr>
          <w:i/>
          <w:smallCaps w:val="0"/>
          <w:sz w:val="18"/>
        </w:rPr>
        <w:t>Advisor</w:t>
      </w:r>
      <w:r w:rsidRPr="00603D9B">
        <w:rPr>
          <w:i/>
          <w:smallCaps w:val="0"/>
          <w:sz w:val="18"/>
        </w:rPr>
        <w:t>s Act Section 206(3)</w:t>
      </w:r>
    </w:p>
    <w:p w14:paraId="6621E864" w14:textId="77777777" w:rsidR="00781EF3" w:rsidRPr="00603D9B" w:rsidRDefault="0075479B" w:rsidP="00781EF3">
      <w:pPr>
        <w:numPr>
          <w:ilvl w:val="0"/>
          <w:numId w:val="23"/>
        </w:numPr>
        <w:rPr>
          <w:sz w:val="18"/>
        </w:rPr>
      </w:pPr>
      <w:r w:rsidRPr="00603D9B">
        <w:rPr>
          <w:b/>
          <w:sz w:val="18"/>
        </w:rPr>
        <w:t>Review</w:t>
      </w:r>
    </w:p>
    <w:p w14:paraId="3DDD437B" w14:textId="77777777" w:rsidR="00781EF3" w:rsidRPr="00603D9B" w:rsidRDefault="00781EF3" w:rsidP="00781EF3">
      <w:pPr>
        <w:rPr>
          <w:sz w:val="18"/>
        </w:rPr>
      </w:pPr>
    </w:p>
    <w:p w14:paraId="6C72A8E3" w14:textId="77777777" w:rsidR="0075479B" w:rsidRPr="00603D9B" w:rsidRDefault="0075479B" w:rsidP="00781EF3">
      <w:pPr>
        <w:pStyle w:val="Heading3"/>
        <w:ind w:left="1152" w:firstLine="0"/>
        <w:rPr>
          <w:sz w:val="18"/>
        </w:rPr>
      </w:pPr>
      <w:r w:rsidRPr="00603D9B">
        <w:rPr>
          <w:sz w:val="18"/>
        </w:rPr>
        <w:t>The CCO will review all transactions with advisory clients that involve either a principal or an agency cross transaction, to ensure that such transactions are in the best in</w:t>
      </w:r>
      <w:r w:rsidR="002B02A0" w:rsidRPr="00603D9B">
        <w:rPr>
          <w:sz w:val="18"/>
        </w:rPr>
        <w:t xml:space="preserve">terests of the clients and </w:t>
      </w:r>
      <w:r w:rsidRPr="00603D9B">
        <w:rPr>
          <w:sz w:val="18"/>
        </w:rPr>
        <w:t xml:space="preserve">written disclosure to the client of the capacity in which </w:t>
      </w:r>
      <w:r w:rsidR="00C67A3D">
        <w:rPr>
          <w:sz w:val="18"/>
        </w:rPr>
        <w:t>t</w:t>
      </w:r>
      <w:r w:rsidR="00485F39" w:rsidRPr="00603D9B">
        <w:rPr>
          <w:sz w:val="18"/>
        </w:rPr>
        <w:t>he Company</w:t>
      </w:r>
      <w:r w:rsidRPr="00603D9B">
        <w:rPr>
          <w:sz w:val="18"/>
        </w:rPr>
        <w:t xml:space="preserve"> is acting</w:t>
      </w:r>
      <w:r w:rsidR="002B02A0" w:rsidRPr="00603D9B">
        <w:rPr>
          <w:sz w:val="18"/>
        </w:rPr>
        <w:t xml:space="preserve"> is provided.  The CCO or her designated Principal will verify </w:t>
      </w:r>
      <w:r w:rsidRPr="00603D9B">
        <w:rPr>
          <w:sz w:val="18"/>
        </w:rPr>
        <w:t>the client</w:t>
      </w:r>
      <w:r w:rsidR="00B638D4">
        <w:rPr>
          <w:sz w:val="18"/>
        </w:rPr>
        <w:t>’</w:t>
      </w:r>
      <w:r w:rsidRPr="00603D9B">
        <w:rPr>
          <w:sz w:val="18"/>
        </w:rPr>
        <w:t>s written consent for each transaction</w:t>
      </w:r>
      <w:r w:rsidR="002B02A0" w:rsidRPr="00603D9B">
        <w:rPr>
          <w:sz w:val="18"/>
        </w:rPr>
        <w:t>,</w:t>
      </w:r>
      <w:r w:rsidRPr="00603D9B">
        <w:rPr>
          <w:sz w:val="18"/>
        </w:rPr>
        <w:t xml:space="preserve"> prio</w:t>
      </w:r>
      <w:r w:rsidR="00C67A3D">
        <w:rPr>
          <w:sz w:val="18"/>
        </w:rPr>
        <w:t>r to completion of</w:t>
      </w:r>
      <w:r w:rsidR="002B02A0" w:rsidRPr="00603D9B">
        <w:rPr>
          <w:sz w:val="18"/>
        </w:rPr>
        <w:t xml:space="preserve"> the transaction, has been obtained.</w:t>
      </w:r>
    </w:p>
    <w:p w14:paraId="05C5F931" w14:textId="77777777" w:rsidR="0075479B" w:rsidRPr="00603D9B" w:rsidRDefault="00485F39">
      <w:pPr>
        <w:keepNext/>
        <w:spacing w:after="360" w:line="360" w:lineRule="auto"/>
        <w:ind w:left="1152"/>
        <w:rPr>
          <w:sz w:val="18"/>
        </w:rPr>
      </w:pPr>
      <w:r w:rsidRPr="00603D9B">
        <w:rPr>
          <w:sz w:val="18"/>
        </w:rPr>
        <w:t>The Company</w:t>
      </w:r>
      <w:r w:rsidR="0075479B" w:rsidRPr="00603D9B">
        <w:rPr>
          <w:sz w:val="18"/>
        </w:rPr>
        <w:t xml:space="preserve"> may obtain written consent after the execution of the transaction but before settlement if the following conditions are met:</w:t>
      </w:r>
    </w:p>
    <w:p w14:paraId="16F56F7F" w14:textId="4688B17B"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notifies the client that they may “opt out” of the transaction;</w:t>
      </w:r>
    </w:p>
    <w:p w14:paraId="60C3126F" w14:textId="0EDC8656"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discloses the fee/commission that will be charged for the transaction; and,</w:t>
      </w:r>
    </w:p>
    <w:p w14:paraId="36A7081D" w14:textId="3E53A921" w:rsidR="007547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quotes a firm price for the transaction.</w:t>
      </w:r>
    </w:p>
    <w:p w14:paraId="40EF0791" w14:textId="77777777" w:rsidR="00BB1D40" w:rsidRPr="00BB1D40" w:rsidRDefault="00BB1D40" w:rsidP="00BB1D40"/>
    <w:p w14:paraId="2D022702" w14:textId="4A96460B" w:rsidR="0075479B" w:rsidRDefault="0075479B" w:rsidP="00BB1D40">
      <w:pPr>
        <w:pStyle w:val="Heading2"/>
        <w:keepNext/>
        <w:spacing w:after="0"/>
        <w:rPr>
          <w:b/>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Principal Transactions</w:t>
      </w:r>
    </w:p>
    <w:p w14:paraId="469F4FB1" w14:textId="77777777" w:rsidR="00BB1D40" w:rsidRPr="00BB1D40" w:rsidRDefault="00BB1D40" w:rsidP="00BB1D40"/>
    <w:p w14:paraId="68C11C94" w14:textId="393DFF57"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Definition</w:t>
      </w:r>
      <w:r w:rsidRPr="00603D9B">
        <w:rPr>
          <w:sz w:val="18"/>
        </w:rPr>
        <w:t xml:space="preserve">.  A Principal transaction is one in which </w:t>
      </w:r>
      <w:r w:rsidR="00C67A3D">
        <w:rPr>
          <w:sz w:val="18"/>
        </w:rPr>
        <w:t>t</w:t>
      </w:r>
      <w:r w:rsidR="00485F39" w:rsidRPr="00603D9B">
        <w:rPr>
          <w:sz w:val="18"/>
        </w:rPr>
        <w:t>he Company</w:t>
      </w:r>
      <w:r w:rsidRPr="00603D9B">
        <w:rPr>
          <w:sz w:val="18"/>
        </w:rPr>
        <w:t xml:space="preserve"> engages in the practice of buying securities for </w:t>
      </w:r>
      <w:r w:rsidR="00C67A3D">
        <w:rPr>
          <w:sz w:val="18"/>
        </w:rPr>
        <w:t>t</w:t>
      </w:r>
      <w:r w:rsidR="00485F39" w:rsidRPr="00603D9B">
        <w:rPr>
          <w:sz w:val="18"/>
        </w:rPr>
        <w:t>he Company</w:t>
      </w:r>
      <w:r w:rsidRPr="00603D9B">
        <w:rPr>
          <w:sz w:val="18"/>
        </w:rPr>
        <w:t xml:space="preserve">’s own inventory from a client or selling securities from </w:t>
      </w:r>
      <w:r w:rsidR="00C67A3D">
        <w:rPr>
          <w:sz w:val="18"/>
        </w:rPr>
        <w:t>t</w:t>
      </w:r>
      <w:r w:rsidR="00485F39" w:rsidRPr="00603D9B">
        <w:rPr>
          <w:sz w:val="18"/>
        </w:rPr>
        <w:t>he Company</w:t>
      </w:r>
      <w:r w:rsidRPr="00603D9B">
        <w:rPr>
          <w:sz w:val="18"/>
        </w:rPr>
        <w:t>’s own inventory to a client.</w:t>
      </w:r>
    </w:p>
    <w:p w14:paraId="53724D74" w14:textId="131B6561" w:rsidR="0075479B" w:rsidRPr="00603D9B" w:rsidRDefault="0075479B">
      <w:pPr>
        <w:pStyle w:val="Heading2"/>
        <w:keepNext/>
        <w:rPr>
          <w:b/>
          <w:sz w:val="18"/>
        </w:rPr>
      </w:pPr>
      <w:r w:rsidRPr="00603D9B">
        <w:rPr>
          <w:b/>
          <w:sz w:val="18"/>
        </w:rPr>
        <w:lastRenderedPageBreak/>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Agency Cross Transactions</w:t>
      </w:r>
    </w:p>
    <w:p w14:paraId="6312465C" w14:textId="731C7F11"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Requirements</w:t>
      </w:r>
      <w:r w:rsidRPr="00603D9B">
        <w:rPr>
          <w:sz w:val="18"/>
        </w:rPr>
        <w:t xml:space="preserve">.  An agency cross transaction occurs when </w:t>
      </w:r>
      <w:r w:rsidR="00C67A3D">
        <w:rPr>
          <w:sz w:val="18"/>
        </w:rPr>
        <w:t>t</w:t>
      </w:r>
      <w:r w:rsidR="00485F39" w:rsidRPr="00603D9B">
        <w:rPr>
          <w:sz w:val="18"/>
        </w:rPr>
        <w:t>he Company</w:t>
      </w:r>
      <w:r w:rsidRPr="00603D9B">
        <w:rPr>
          <w:sz w:val="18"/>
        </w:rPr>
        <w:t xml:space="preserve"> executes a trade with an advisory client on one side of the transaction and a non-advisory client on the other.  An agency cross transaction may result in a better price and/or lower transaction costs for the advisory client.  Agency cross transactions are permitted if;</w:t>
      </w:r>
    </w:p>
    <w:p w14:paraId="4F2234DA" w14:textId="4A3687B2"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 xml:space="preserve">The client has granted prior written authority to </w:t>
      </w:r>
      <w:r w:rsidR="00C67A3D">
        <w:rPr>
          <w:sz w:val="18"/>
        </w:rPr>
        <w:t>t</w:t>
      </w:r>
      <w:r w:rsidR="00485F39" w:rsidRPr="00603D9B">
        <w:rPr>
          <w:sz w:val="18"/>
        </w:rPr>
        <w:t>he Company</w:t>
      </w:r>
      <w:r w:rsidRPr="00603D9B">
        <w:rPr>
          <w:sz w:val="18"/>
        </w:rPr>
        <w:t xml:space="preserve"> to engage in agency cross transactions;</w:t>
      </w:r>
    </w:p>
    <w:p w14:paraId="6E526B94" w14:textId="5CE260BD" w:rsidR="007547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r>
      <w:r w:rsidR="00485F39" w:rsidRPr="00603D9B">
        <w:rPr>
          <w:sz w:val="18"/>
        </w:rPr>
        <w:t>The Company</w:t>
      </w:r>
      <w:r w:rsidRPr="00603D9B">
        <w:rPr>
          <w:sz w:val="18"/>
        </w:rPr>
        <w:t xml:space="preserve"> has disclosed to the client </w:t>
      </w:r>
      <w:r w:rsidR="00711294" w:rsidRPr="00603D9B">
        <w:rPr>
          <w:sz w:val="18"/>
        </w:rPr>
        <w:t xml:space="preserve">at the time of trade or prior to settlement, </w:t>
      </w:r>
      <w:r w:rsidRPr="00603D9B">
        <w:rPr>
          <w:sz w:val="18"/>
        </w:rPr>
        <w:t>in writing</w:t>
      </w:r>
      <w:r w:rsidR="00711294" w:rsidRPr="00603D9B">
        <w:rPr>
          <w:sz w:val="18"/>
        </w:rPr>
        <w:t>,</w:t>
      </w:r>
      <w:r w:rsidRPr="00603D9B">
        <w:rPr>
          <w:sz w:val="18"/>
        </w:rPr>
        <w:t xml:space="preserve"> its capacity in the transaction and any conflicts of interest and the transaction is confirmed in writing;</w:t>
      </w:r>
    </w:p>
    <w:p w14:paraId="6AF60B8B" w14:textId="77777777" w:rsidR="00BB1D40" w:rsidRPr="00BB1D40" w:rsidRDefault="00BB1D40" w:rsidP="00BB1D40"/>
    <w:p w14:paraId="7C25BA38" w14:textId="08E8CF02" w:rsidR="0075479B" w:rsidRDefault="0075479B" w:rsidP="00BB1D40">
      <w:pPr>
        <w:pStyle w:val="Heading3"/>
        <w:keepNext/>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Confirmations</w:t>
      </w:r>
      <w:r w:rsidRPr="00603D9B">
        <w:rPr>
          <w:sz w:val="18"/>
        </w:rPr>
        <w:t xml:space="preserve">.  </w:t>
      </w:r>
      <w:smartTag w:uri="urn:schemas-microsoft-com:office:smarttags" w:element="stockticker">
        <w:r w:rsidRPr="00603D9B">
          <w:rPr>
            <w:i/>
            <w:sz w:val="18"/>
          </w:rPr>
          <w:t>SEC</w:t>
        </w:r>
      </w:smartTag>
      <w:r w:rsidRPr="00603D9B">
        <w:rPr>
          <w:i/>
          <w:sz w:val="18"/>
        </w:rPr>
        <w:t xml:space="preserve"> Advises Act Rule 206(3)-2</w:t>
      </w:r>
      <w:r w:rsidRPr="00603D9B">
        <w:rPr>
          <w:sz w:val="18"/>
        </w:rPr>
        <w:t xml:space="preserve">  All agency cross transactions must be </w:t>
      </w:r>
      <w:r w:rsidR="00A725B4">
        <w:rPr>
          <w:sz w:val="18"/>
        </w:rPr>
        <w:t>consented to by</w:t>
      </w:r>
      <w:r w:rsidRPr="00603D9B">
        <w:rPr>
          <w:sz w:val="18"/>
        </w:rPr>
        <w:t xml:space="preserve"> the </w:t>
      </w:r>
      <w:r w:rsidR="00A725B4">
        <w:rPr>
          <w:sz w:val="18"/>
        </w:rPr>
        <w:t xml:space="preserve">respective </w:t>
      </w:r>
      <w:r w:rsidRPr="00603D9B">
        <w:rPr>
          <w:sz w:val="18"/>
        </w:rPr>
        <w:t>client in writing, at or before the completion of the transaction.  Confirmations must include the following information:</w:t>
      </w:r>
    </w:p>
    <w:p w14:paraId="4E65F7BF" w14:textId="77777777" w:rsidR="00BB1D40" w:rsidRPr="00BB1D40" w:rsidRDefault="00BB1D40" w:rsidP="00BB1D40"/>
    <w:p w14:paraId="38DE288A" w14:textId="11878DD5"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The date of the transaction;</w:t>
      </w:r>
    </w:p>
    <w:p w14:paraId="3DC5FAEB" w14:textId="12F97DE7"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 xml:space="preserve">The source and amount of </w:t>
      </w:r>
      <w:r w:rsidR="00C67A3D">
        <w:rPr>
          <w:sz w:val="18"/>
        </w:rPr>
        <w:t>t</w:t>
      </w:r>
      <w:r w:rsidR="00485F39" w:rsidRPr="00603D9B">
        <w:rPr>
          <w:sz w:val="18"/>
        </w:rPr>
        <w:t>he Company</w:t>
      </w:r>
      <w:r w:rsidRPr="00603D9B">
        <w:rPr>
          <w:sz w:val="18"/>
        </w:rPr>
        <w:t>’s compensation;</w:t>
      </w:r>
    </w:p>
    <w:p w14:paraId="6F37D978" w14:textId="006B3C4C"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t>The nature of the transaction; and,</w:t>
      </w:r>
    </w:p>
    <w:p w14:paraId="4C9EB11A" w14:textId="31747EE3" w:rsidR="0075479B" w:rsidRPr="00603D9B" w:rsidRDefault="0075479B" w:rsidP="00BB1D40">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d</w:t>
      </w:r>
      <w:r w:rsidRPr="00603D9B">
        <w:rPr>
          <w:sz w:val="18"/>
        </w:rPr>
        <w:fldChar w:fldCharType="end"/>
      </w:r>
      <w:r w:rsidRPr="00603D9B">
        <w:rPr>
          <w:sz w:val="18"/>
        </w:rPr>
        <w:t>.</w:t>
      </w:r>
      <w:r w:rsidRPr="00603D9B">
        <w:rPr>
          <w:sz w:val="18"/>
        </w:rPr>
        <w:tab/>
        <w:t>An offer to supply the time of the transaction, if requested.</w:t>
      </w:r>
    </w:p>
    <w:p w14:paraId="7EFD0A7C" w14:textId="77777777" w:rsidR="0075479B" w:rsidRPr="00603D9B" w:rsidRDefault="0075479B">
      <w:pPr>
        <w:rPr>
          <w:sz w:val="18"/>
        </w:rPr>
      </w:pPr>
    </w:p>
    <w:p w14:paraId="4C88214B" w14:textId="77777777" w:rsidR="0075479B" w:rsidRPr="00603D9B" w:rsidRDefault="0075479B">
      <w:pPr>
        <w:rPr>
          <w:sz w:val="18"/>
        </w:rPr>
      </w:pPr>
    </w:p>
    <w:p w14:paraId="1D7229F7" w14:textId="6A631342" w:rsidR="0075479B" w:rsidRPr="005B398B" w:rsidRDefault="0075479B">
      <w:pPr>
        <w:pStyle w:val="Heading1"/>
        <w:rPr>
          <w:sz w:val="24"/>
        </w:rPr>
      </w:pPr>
      <w:r w:rsidRPr="005B398B">
        <w:rPr>
          <w:sz w:val="24"/>
        </w:rPr>
        <w:fldChar w:fldCharType="begin"/>
      </w:r>
      <w:r w:rsidRPr="005B398B">
        <w:rPr>
          <w:sz w:val="24"/>
        </w:rPr>
        <w:instrText xml:space="preserve"> SEQ SeqIII \n \*ROMAN \*MERGEFORMAT </w:instrText>
      </w:r>
      <w:r w:rsidRPr="005B398B">
        <w:rPr>
          <w:sz w:val="24"/>
        </w:rPr>
        <w:fldChar w:fldCharType="separate"/>
      </w:r>
      <w:r w:rsidR="002A078E">
        <w:rPr>
          <w:noProof/>
          <w:sz w:val="24"/>
        </w:rPr>
        <w:t>IX</w:t>
      </w:r>
      <w:r w:rsidRPr="005B398B">
        <w:rPr>
          <w:sz w:val="24"/>
        </w:rPr>
        <w:fldChar w:fldCharType="end"/>
      </w:r>
      <w:r w:rsidRPr="005B398B">
        <w:rPr>
          <w:sz w:val="24"/>
        </w:rPr>
        <w:t>.</w:t>
      </w:r>
      <w:r w:rsidRPr="005B398B">
        <w:rPr>
          <w:sz w:val="24"/>
        </w:rPr>
        <w:tab/>
        <w:t>Code Of Ethics – (</w:t>
      </w:r>
      <w:smartTag w:uri="urn:schemas-microsoft-com:office:smarttags" w:element="stockticker">
        <w:r w:rsidRPr="005B398B">
          <w:rPr>
            <w:sz w:val="24"/>
          </w:rPr>
          <w:t>see</w:t>
        </w:r>
      </w:smartTag>
      <w:r w:rsidRPr="005B398B">
        <w:rPr>
          <w:sz w:val="24"/>
        </w:rPr>
        <w:t xml:space="preserve"> Cutter &amp; Company code of Ethics manual for complete version)</w:t>
      </w:r>
    </w:p>
    <w:p w14:paraId="3FC0BBE7" w14:textId="4B781713"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Responsibility</w:t>
      </w:r>
      <w:r w:rsidR="00E14EAF" w:rsidRPr="00603D9B">
        <w:rPr>
          <w:sz w:val="18"/>
        </w:rPr>
        <w:t xml:space="preserve">.  It is the responsibility of </w:t>
      </w:r>
      <w:r w:rsidR="00C67A3D">
        <w:rPr>
          <w:sz w:val="18"/>
        </w:rPr>
        <w:t>t</w:t>
      </w:r>
      <w:r w:rsidR="00485F39" w:rsidRPr="00603D9B">
        <w:rPr>
          <w:sz w:val="18"/>
        </w:rPr>
        <w:t>he Company</w:t>
      </w:r>
      <w:r w:rsidRPr="00603D9B">
        <w:rPr>
          <w:sz w:val="18"/>
        </w:rPr>
        <w:t xml:space="preserve"> and </w:t>
      </w:r>
      <w:r w:rsidR="00E14EAF" w:rsidRPr="00603D9B">
        <w:rPr>
          <w:sz w:val="18"/>
        </w:rPr>
        <w:t>its</w:t>
      </w:r>
      <w:r w:rsidRPr="00603D9B">
        <w:rPr>
          <w:sz w:val="18"/>
        </w:rPr>
        <w:t xml:space="preserve"> supervisory personnel</w:t>
      </w:r>
      <w:r w:rsidR="00616432" w:rsidRPr="00603D9B">
        <w:rPr>
          <w:sz w:val="18"/>
        </w:rPr>
        <w:t>,</w:t>
      </w:r>
      <w:r w:rsidRPr="00603D9B">
        <w:rPr>
          <w:sz w:val="18"/>
        </w:rPr>
        <w:t xml:space="preserve"> employees/independent contractor</w:t>
      </w:r>
      <w:r w:rsidR="00616432" w:rsidRPr="00603D9B">
        <w:rPr>
          <w:sz w:val="18"/>
        </w:rPr>
        <w:t xml:space="preserve">s and </w:t>
      </w:r>
      <w:r w:rsidR="00E14EAF" w:rsidRPr="00603D9B">
        <w:rPr>
          <w:sz w:val="18"/>
        </w:rPr>
        <w:t>IAR’s</w:t>
      </w:r>
      <w:r w:rsidRPr="00603D9B">
        <w:rPr>
          <w:sz w:val="18"/>
        </w:rPr>
        <w:t xml:space="preserve"> to ensure business is conducted with the highest level of ethical standards and in keeping with its fiduciary duties to its clients.</w:t>
      </w:r>
    </w:p>
    <w:p w14:paraId="5FF55838" w14:textId="334AA903"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Duty to Clients</w:t>
      </w:r>
      <w:r w:rsidRPr="00603D9B">
        <w:rPr>
          <w:sz w:val="18"/>
        </w:rPr>
        <w:t xml:space="preserve">.  </w:t>
      </w:r>
      <w:r w:rsidR="00485F39" w:rsidRPr="00603D9B">
        <w:rPr>
          <w:sz w:val="18"/>
        </w:rPr>
        <w:t>The Company</w:t>
      </w:r>
      <w:r w:rsidRPr="00603D9B">
        <w:rPr>
          <w:sz w:val="18"/>
        </w:rPr>
        <w:t xml:space="preserve"> has a duty to exercise its authority and responsibility for the benefit of its clients, to place the interests of its clients first, and to refrain from having outside interests that conflict with the interests of its clients.  </w:t>
      </w:r>
      <w:r w:rsidR="00485F39" w:rsidRPr="00603D9B">
        <w:rPr>
          <w:sz w:val="18"/>
        </w:rPr>
        <w:t>The Company</w:t>
      </w:r>
      <w:r w:rsidRPr="00603D9B">
        <w:rPr>
          <w:sz w:val="18"/>
        </w:rPr>
        <w:t xml:space="preserve"> must avoid any circumstances that might adversely affect or appear to affect its duty of complete loyalty to its clients.</w:t>
      </w:r>
      <w:r w:rsidR="00711294" w:rsidRPr="00603D9B">
        <w:rPr>
          <w:sz w:val="18"/>
        </w:rPr>
        <w:t xml:space="preserve">  Anytime a conflict or apparent conflict may exist, disclosure must </w:t>
      </w:r>
      <w:r w:rsidR="0063516D" w:rsidRPr="00603D9B">
        <w:rPr>
          <w:sz w:val="18"/>
        </w:rPr>
        <w:t>be made available to the clients i</w:t>
      </w:r>
      <w:r w:rsidR="00E14EAF" w:rsidRPr="00603D9B">
        <w:rPr>
          <w:sz w:val="18"/>
        </w:rPr>
        <w:t xml:space="preserve">n </w:t>
      </w:r>
      <w:r w:rsidR="00C67A3D">
        <w:rPr>
          <w:sz w:val="18"/>
        </w:rPr>
        <w:t>t</w:t>
      </w:r>
      <w:r w:rsidR="00485F39" w:rsidRPr="00603D9B">
        <w:rPr>
          <w:sz w:val="18"/>
        </w:rPr>
        <w:t>he Company</w:t>
      </w:r>
      <w:r w:rsidR="00E14EAF" w:rsidRPr="00603D9B">
        <w:rPr>
          <w:sz w:val="18"/>
        </w:rPr>
        <w:t xml:space="preserve">’s Form ADV </w:t>
      </w:r>
      <w:r w:rsidR="00A725B4">
        <w:rPr>
          <w:sz w:val="18"/>
        </w:rPr>
        <w:t>“</w:t>
      </w:r>
      <w:r w:rsidR="00E14EAF" w:rsidRPr="00603D9B">
        <w:rPr>
          <w:sz w:val="18"/>
        </w:rPr>
        <w:t>Part 2A</w:t>
      </w:r>
      <w:r w:rsidR="00A725B4">
        <w:rPr>
          <w:sz w:val="18"/>
        </w:rPr>
        <w:t>”</w:t>
      </w:r>
      <w:r w:rsidR="00E14EAF" w:rsidRPr="00603D9B">
        <w:rPr>
          <w:sz w:val="18"/>
        </w:rPr>
        <w:t xml:space="preserve"> and</w:t>
      </w:r>
      <w:r w:rsidR="00A725B4">
        <w:rPr>
          <w:sz w:val="18"/>
        </w:rPr>
        <w:t>/or</w:t>
      </w:r>
      <w:r w:rsidR="00E14EAF" w:rsidRPr="00603D9B">
        <w:rPr>
          <w:sz w:val="18"/>
        </w:rPr>
        <w:t xml:space="preserve"> </w:t>
      </w:r>
      <w:r w:rsidR="00A725B4">
        <w:rPr>
          <w:sz w:val="18"/>
        </w:rPr>
        <w:t>“</w:t>
      </w:r>
      <w:r w:rsidR="00E14EAF" w:rsidRPr="00603D9B">
        <w:rPr>
          <w:sz w:val="18"/>
        </w:rPr>
        <w:t>B</w:t>
      </w:r>
      <w:r w:rsidR="00A725B4">
        <w:rPr>
          <w:sz w:val="18"/>
        </w:rPr>
        <w:t>”</w:t>
      </w:r>
      <w:r w:rsidR="0063516D" w:rsidRPr="00603D9B">
        <w:rPr>
          <w:sz w:val="18"/>
        </w:rPr>
        <w:t xml:space="preserve"> Disclosure document</w:t>
      </w:r>
      <w:r w:rsidR="00A725B4">
        <w:rPr>
          <w:sz w:val="18"/>
        </w:rPr>
        <w:t>s</w:t>
      </w:r>
      <w:r w:rsidR="0063516D" w:rsidRPr="00603D9B">
        <w:rPr>
          <w:sz w:val="18"/>
        </w:rPr>
        <w:t>.</w:t>
      </w:r>
    </w:p>
    <w:p w14:paraId="62464B3C" w14:textId="721C9EC2"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Privacy of Client Financial Information</w:t>
      </w:r>
      <w:r w:rsidRPr="00603D9B">
        <w:rPr>
          <w:sz w:val="18"/>
        </w:rPr>
        <w:t xml:space="preserve">.  </w:t>
      </w:r>
      <w:r w:rsidR="00485F39" w:rsidRPr="00603D9B">
        <w:rPr>
          <w:sz w:val="18"/>
        </w:rPr>
        <w:t>The Company</w:t>
      </w:r>
      <w:r w:rsidRPr="00603D9B">
        <w:rPr>
          <w:sz w:val="18"/>
        </w:rPr>
        <w:t xml:space="preserve"> will not disclose any nonpublic personal information about a Client to any nonaffiliated third party unless the Client</w:t>
      </w:r>
      <w:r w:rsidR="00E14EAF" w:rsidRPr="00603D9B">
        <w:rPr>
          <w:sz w:val="18"/>
        </w:rPr>
        <w:t xml:space="preserve"> expressly gives permission to </w:t>
      </w:r>
      <w:r w:rsidR="009F3C52">
        <w:rPr>
          <w:sz w:val="18"/>
        </w:rPr>
        <w:t>t</w:t>
      </w:r>
      <w:r w:rsidR="00485F39" w:rsidRPr="00603D9B">
        <w:rPr>
          <w:sz w:val="18"/>
        </w:rPr>
        <w:t>he Company</w:t>
      </w:r>
      <w:r w:rsidRPr="00603D9B">
        <w:rPr>
          <w:sz w:val="18"/>
        </w:rPr>
        <w:t xml:space="preserve"> to do so</w:t>
      </w:r>
      <w:r w:rsidR="0063516D" w:rsidRPr="00603D9B">
        <w:rPr>
          <w:sz w:val="18"/>
        </w:rPr>
        <w:t xml:space="preserve"> or as otherwise required by law or regulation</w:t>
      </w:r>
      <w:r w:rsidRPr="00603D9B">
        <w:rPr>
          <w:sz w:val="18"/>
        </w:rPr>
        <w:t xml:space="preserve">.  </w:t>
      </w:r>
      <w:r w:rsidR="00A725B4">
        <w:rPr>
          <w:sz w:val="18"/>
        </w:rPr>
        <w:t>The Company Privacy Policy allow</w:t>
      </w:r>
      <w:r w:rsidR="00815989">
        <w:rPr>
          <w:sz w:val="18"/>
        </w:rPr>
        <w:t>s</w:t>
      </w:r>
      <w:r w:rsidR="00A725B4">
        <w:rPr>
          <w:sz w:val="18"/>
        </w:rPr>
        <w:t xml:space="preserve"> a departing advisor to retain client records to assist them at their new firm, unless a client opts out of this option.  For any other release of non-public information, t</w:t>
      </w:r>
      <w:r w:rsidR="00FB26A2" w:rsidRPr="00603D9B">
        <w:rPr>
          <w:sz w:val="18"/>
        </w:rPr>
        <w:t>he client must grant such permission</w:t>
      </w:r>
      <w:r w:rsidR="00E14EAF" w:rsidRPr="00603D9B">
        <w:rPr>
          <w:sz w:val="18"/>
        </w:rPr>
        <w:t xml:space="preserve"> to </w:t>
      </w:r>
      <w:r w:rsidR="00C67A3D">
        <w:rPr>
          <w:sz w:val="18"/>
        </w:rPr>
        <w:t>t</w:t>
      </w:r>
      <w:r w:rsidR="00485F39" w:rsidRPr="00603D9B">
        <w:rPr>
          <w:sz w:val="18"/>
        </w:rPr>
        <w:t>he Company</w:t>
      </w:r>
      <w:r w:rsidR="00FB26A2" w:rsidRPr="00603D9B">
        <w:rPr>
          <w:sz w:val="18"/>
        </w:rPr>
        <w:t xml:space="preserve"> in writing, or denial of permission, </w:t>
      </w:r>
      <w:r w:rsidR="00E14EAF" w:rsidRPr="00603D9B">
        <w:rPr>
          <w:sz w:val="18"/>
        </w:rPr>
        <w:t>as applicable</w:t>
      </w:r>
      <w:r w:rsidR="00FB26A2" w:rsidRPr="00603D9B">
        <w:rPr>
          <w:sz w:val="18"/>
        </w:rPr>
        <w:t>.  A copy of the permission/denia</w:t>
      </w:r>
      <w:r w:rsidR="00A725B4">
        <w:rPr>
          <w:sz w:val="18"/>
        </w:rPr>
        <w:t>l document will</w:t>
      </w:r>
      <w:r w:rsidR="00C67A3D">
        <w:rPr>
          <w:sz w:val="18"/>
        </w:rPr>
        <w:t xml:space="preserve"> be filed in t</w:t>
      </w:r>
      <w:r w:rsidR="00A725B4">
        <w:rPr>
          <w:sz w:val="18"/>
        </w:rPr>
        <w:t xml:space="preserve">he Company’s Privacy Policy file as well as the </w:t>
      </w:r>
      <w:r w:rsidR="00FB26A2" w:rsidRPr="00603D9B">
        <w:rPr>
          <w:sz w:val="18"/>
        </w:rPr>
        <w:t>client file.</w:t>
      </w:r>
    </w:p>
    <w:p w14:paraId="3DC13668" w14:textId="4FA20448" w:rsidR="0075479B" w:rsidRPr="00603D9B" w:rsidRDefault="0075479B">
      <w:pPr>
        <w:pStyle w:val="Heading2"/>
        <w:keepNext/>
        <w:rPr>
          <w:b/>
          <w:sz w:val="18"/>
        </w:rPr>
      </w:pPr>
      <w:r w:rsidRPr="00603D9B">
        <w:rPr>
          <w:b/>
          <w:sz w:val="18"/>
        </w:rPr>
        <w:lastRenderedPageBreak/>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D</w:t>
      </w:r>
      <w:r w:rsidRPr="00603D9B">
        <w:rPr>
          <w:b/>
          <w:sz w:val="18"/>
        </w:rPr>
        <w:fldChar w:fldCharType="end"/>
      </w:r>
      <w:r w:rsidRPr="00603D9B">
        <w:rPr>
          <w:b/>
          <w:sz w:val="18"/>
        </w:rPr>
        <w:t>.</w:t>
      </w:r>
      <w:r w:rsidRPr="00603D9B">
        <w:rPr>
          <w:b/>
          <w:sz w:val="18"/>
        </w:rPr>
        <w:tab/>
        <w:t>Prohibited Acts</w:t>
      </w:r>
    </w:p>
    <w:p w14:paraId="3851060E" w14:textId="1612EAC1"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sz w:val="18"/>
        </w:rPr>
        <w:t>.</w:t>
      </w:r>
      <w:r w:rsidRPr="00603D9B">
        <w:rPr>
          <w:sz w:val="18"/>
        </w:rPr>
        <w:tab/>
        <w:t>Employing any device, scheme or artifice to defraud;</w:t>
      </w:r>
    </w:p>
    <w:p w14:paraId="17620B80" w14:textId="0B2EA595"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sz w:val="18"/>
        </w:rPr>
        <w:t>.</w:t>
      </w:r>
      <w:r w:rsidRPr="00603D9B">
        <w:rPr>
          <w:sz w:val="18"/>
        </w:rPr>
        <w:tab/>
        <w:t>Making any untrue statement of a material fact;</w:t>
      </w:r>
    </w:p>
    <w:p w14:paraId="275FDAC2" w14:textId="33BB6DDB"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sz w:val="18"/>
        </w:rPr>
        <w:t>.</w:t>
      </w:r>
      <w:r w:rsidRPr="00603D9B">
        <w:rPr>
          <w:sz w:val="18"/>
        </w:rPr>
        <w:tab/>
        <w:t xml:space="preserve">Omitting to state a material fact necessary in order to make a statement, </w:t>
      </w:r>
      <w:r w:rsidR="00815989" w:rsidRPr="00603D9B">
        <w:rPr>
          <w:sz w:val="18"/>
        </w:rPr>
        <w:t>considering</w:t>
      </w:r>
      <w:r w:rsidRPr="00603D9B">
        <w:rPr>
          <w:sz w:val="18"/>
        </w:rPr>
        <w:t xml:space="preserve"> the circumstances under which it is made, not misleading;</w:t>
      </w:r>
    </w:p>
    <w:p w14:paraId="2358133A" w14:textId="4AEBD0F2"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sz w:val="18"/>
        </w:rPr>
        <w:t>.</w:t>
      </w:r>
      <w:r w:rsidRPr="00603D9B">
        <w:rPr>
          <w:sz w:val="18"/>
        </w:rPr>
        <w:tab/>
        <w:t>Engaging in any fraudulent or deceitful act, practice or course of business; or,</w:t>
      </w:r>
    </w:p>
    <w:p w14:paraId="04E66E3E" w14:textId="128F8328" w:rsidR="007547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5</w:t>
      </w:r>
      <w:r w:rsidRPr="00603D9B">
        <w:rPr>
          <w:b/>
          <w:sz w:val="18"/>
        </w:rPr>
        <w:fldChar w:fldCharType="end"/>
      </w:r>
      <w:r w:rsidRPr="00603D9B">
        <w:rPr>
          <w:sz w:val="18"/>
        </w:rPr>
        <w:t>.</w:t>
      </w:r>
      <w:r w:rsidRPr="00603D9B">
        <w:rPr>
          <w:sz w:val="18"/>
        </w:rPr>
        <w:tab/>
        <w:t>Engaging in any manipulative practices.</w:t>
      </w:r>
    </w:p>
    <w:p w14:paraId="171FEFA8" w14:textId="77777777" w:rsidR="00BB1D40" w:rsidRPr="00BB1D40" w:rsidRDefault="00BB1D40" w:rsidP="00BB1D40"/>
    <w:p w14:paraId="3F39BD2C" w14:textId="4DABD44A" w:rsidR="0075479B" w:rsidRDefault="0075479B" w:rsidP="00BB1D40">
      <w:pPr>
        <w:pStyle w:val="Heading2"/>
        <w:spacing w:after="0"/>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E</w:t>
      </w:r>
      <w:r w:rsidRPr="00603D9B">
        <w:rPr>
          <w:b/>
          <w:sz w:val="18"/>
        </w:rPr>
        <w:fldChar w:fldCharType="end"/>
      </w:r>
      <w:r w:rsidRPr="00603D9B">
        <w:rPr>
          <w:b/>
          <w:sz w:val="18"/>
        </w:rPr>
        <w:t>.</w:t>
      </w:r>
      <w:r w:rsidRPr="00603D9B">
        <w:rPr>
          <w:b/>
          <w:sz w:val="18"/>
        </w:rPr>
        <w:tab/>
        <w:t>Conflicts of Interest</w:t>
      </w:r>
      <w:r w:rsidRPr="00603D9B">
        <w:rPr>
          <w:sz w:val="18"/>
        </w:rPr>
        <w:t xml:space="preserve">.  </w:t>
      </w:r>
      <w:r w:rsidR="00485F39" w:rsidRPr="00603D9B">
        <w:rPr>
          <w:sz w:val="18"/>
        </w:rPr>
        <w:t>The Company</w:t>
      </w:r>
      <w:r w:rsidRPr="00603D9B">
        <w:rPr>
          <w:sz w:val="18"/>
        </w:rPr>
        <w:t xml:space="preserve"> has a duty to disclose potential and actual conflicts of interest to their clients.  All IAR’s have a duty to report potential and actual conflicts of interest to </w:t>
      </w:r>
      <w:r w:rsidR="00C67A3D">
        <w:rPr>
          <w:sz w:val="18"/>
        </w:rPr>
        <w:t>t</w:t>
      </w:r>
      <w:r w:rsidR="00485F39" w:rsidRPr="00603D9B">
        <w:rPr>
          <w:sz w:val="18"/>
        </w:rPr>
        <w:t>he Company</w:t>
      </w:r>
      <w:r w:rsidR="00FA08E3" w:rsidRPr="00603D9B">
        <w:rPr>
          <w:sz w:val="18"/>
        </w:rPr>
        <w:t>.  Gifts, other than nominal</w:t>
      </w:r>
      <w:r w:rsidRPr="00603D9B">
        <w:rPr>
          <w:sz w:val="18"/>
        </w:rPr>
        <w:t xml:space="preserve"> gifts</w:t>
      </w:r>
      <w:r w:rsidR="00FA08E3" w:rsidRPr="00603D9B">
        <w:rPr>
          <w:sz w:val="18"/>
        </w:rPr>
        <w:t xml:space="preserve"> of a reasonable value, </w:t>
      </w:r>
      <w:r w:rsidRPr="00603D9B">
        <w:rPr>
          <w:sz w:val="18"/>
        </w:rPr>
        <w:t xml:space="preserve">should not be accepted from </w:t>
      </w:r>
      <w:r w:rsidR="00B64772" w:rsidRPr="00603D9B">
        <w:rPr>
          <w:sz w:val="18"/>
        </w:rPr>
        <w:t xml:space="preserve">or given to </w:t>
      </w:r>
      <w:r w:rsidR="00FA08E3" w:rsidRPr="00603D9B">
        <w:rPr>
          <w:sz w:val="18"/>
        </w:rPr>
        <w:t>employees of</w:t>
      </w:r>
      <w:r w:rsidRPr="00603D9B">
        <w:rPr>
          <w:sz w:val="18"/>
        </w:rPr>
        <w:t xml:space="preserve"> </w:t>
      </w:r>
      <w:r w:rsidR="000D1BAD">
        <w:rPr>
          <w:sz w:val="18"/>
        </w:rPr>
        <w:t>corporate clients of</w:t>
      </w:r>
      <w:r w:rsidRPr="00603D9B">
        <w:rPr>
          <w:sz w:val="18"/>
        </w:rPr>
        <w:t xml:space="preserve"> </w:t>
      </w:r>
      <w:r w:rsidR="00C67A3D">
        <w:rPr>
          <w:sz w:val="18"/>
        </w:rPr>
        <w:t>t</w:t>
      </w:r>
      <w:r w:rsidR="00485F39" w:rsidRPr="00603D9B">
        <w:rPr>
          <w:sz w:val="18"/>
        </w:rPr>
        <w:t>he Company</w:t>
      </w:r>
      <w:r w:rsidRPr="00603D9B">
        <w:rPr>
          <w:sz w:val="18"/>
        </w:rPr>
        <w:t>.</w:t>
      </w:r>
    </w:p>
    <w:p w14:paraId="251B2338" w14:textId="77777777" w:rsidR="00BB1D40" w:rsidRPr="00BB1D40" w:rsidRDefault="00BB1D40" w:rsidP="00BB1D40"/>
    <w:p w14:paraId="1D22D3D8" w14:textId="5F257D7B"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F</w:t>
      </w:r>
      <w:r w:rsidRPr="00603D9B">
        <w:rPr>
          <w:b/>
          <w:sz w:val="18"/>
        </w:rPr>
        <w:fldChar w:fldCharType="end"/>
      </w:r>
      <w:r w:rsidRPr="00603D9B">
        <w:rPr>
          <w:b/>
          <w:sz w:val="18"/>
        </w:rPr>
        <w:t>.</w:t>
      </w:r>
      <w:r w:rsidRPr="00603D9B">
        <w:rPr>
          <w:b/>
          <w:sz w:val="18"/>
        </w:rPr>
        <w:tab/>
        <w:t>Use of Disclaimers</w:t>
      </w:r>
      <w:r w:rsidRPr="00603D9B">
        <w:rPr>
          <w:sz w:val="18"/>
        </w:rPr>
        <w:t xml:space="preserve">.  </w:t>
      </w:r>
      <w:r w:rsidR="00485F39" w:rsidRPr="00603D9B">
        <w:rPr>
          <w:sz w:val="18"/>
        </w:rPr>
        <w:t>The Company</w:t>
      </w:r>
      <w:r w:rsidRPr="00603D9B">
        <w:rPr>
          <w:sz w:val="18"/>
        </w:rPr>
        <w:t xml:space="preserve"> shall not attempt to limit liability for willful misconduct or gross negligence </w:t>
      </w:r>
      <w:r w:rsidR="00815989" w:rsidRPr="00603D9B">
        <w:rPr>
          <w:sz w:val="18"/>
        </w:rPr>
        <w:t>using</w:t>
      </w:r>
      <w:r w:rsidRPr="00603D9B">
        <w:rPr>
          <w:sz w:val="18"/>
        </w:rPr>
        <w:t xml:space="preserve"> disclaimers.</w:t>
      </w:r>
    </w:p>
    <w:p w14:paraId="5C25B74B" w14:textId="08F97F97"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G</w:t>
      </w:r>
      <w:r w:rsidRPr="00603D9B">
        <w:rPr>
          <w:b/>
          <w:sz w:val="18"/>
        </w:rPr>
        <w:fldChar w:fldCharType="end"/>
      </w:r>
      <w:r w:rsidRPr="00603D9B">
        <w:rPr>
          <w:b/>
          <w:sz w:val="18"/>
        </w:rPr>
        <w:t>.</w:t>
      </w:r>
      <w:r w:rsidRPr="00603D9B">
        <w:rPr>
          <w:b/>
          <w:sz w:val="18"/>
        </w:rPr>
        <w:tab/>
        <w:t>Suitability</w:t>
      </w:r>
      <w:r w:rsidRPr="00603D9B">
        <w:rPr>
          <w:sz w:val="18"/>
        </w:rPr>
        <w:t xml:space="preserve">.  </w:t>
      </w:r>
      <w:r w:rsidR="00485F39" w:rsidRPr="00603D9B">
        <w:rPr>
          <w:sz w:val="18"/>
        </w:rPr>
        <w:t>The Company</w:t>
      </w:r>
      <w:r w:rsidRPr="00603D9B">
        <w:rPr>
          <w:sz w:val="18"/>
        </w:rPr>
        <w:t xml:space="preserve"> shall only recommend those investments that it has a reasonable basis for believing are </w:t>
      </w:r>
      <w:r w:rsidR="00815989">
        <w:rPr>
          <w:sz w:val="18"/>
        </w:rPr>
        <w:t>in the best interest of</w:t>
      </w:r>
      <w:r w:rsidRPr="00603D9B">
        <w:rPr>
          <w:sz w:val="18"/>
        </w:rPr>
        <w:t xml:space="preserve"> a client, based upon the client’s particular situation and circumstances.  In addition, clients </w:t>
      </w:r>
      <w:r w:rsidR="000D33D6" w:rsidRPr="00603D9B">
        <w:rPr>
          <w:sz w:val="18"/>
        </w:rPr>
        <w:t>will</w:t>
      </w:r>
      <w:r w:rsidRPr="00603D9B">
        <w:rPr>
          <w:sz w:val="18"/>
        </w:rPr>
        <w:t xml:space="preserve"> be instructed to immediately notify </w:t>
      </w:r>
      <w:r w:rsidR="00C67A3D">
        <w:rPr>
          <w:sz w:val="18"/>
        </w:rPr>
        <w:t>t</w:t>
      </w:r>
      <w:r w:rsidR="00485F39" w:rsidRPr="00603D9B">
        <w:rPr>
          <w:sz w:val="18"/>
        </w:rPr>
        <w:t>he Company</w:t>
      </w:r>
      <w:r w:rsidRPr="00603D9B">
        <w:rPr>
          <w:sz w:val="18"/>
        </w:rPr>
        <w:t xml:space="preserve"> of any significant changes in their situ</w:t>
      </w:r>
      <w:r w:rsidR="00E14EAF" w:rsidRPr="00603D9B">
        <w:rPr>
          <w:sz w:val="18"/>
        </w:rPr>
        <w:t xml:space="preserve">ation or circumstances so that </w:t>
      </w:r>
      <w:r w:rsidR="00C67A3D">
        <w:rPr>
          <w:sz w:val="18"/>
        </w:rPr>
        <w:t>t</w:t>
      </w:r>
      <w:r w:rsidR="00485F39" w:rsidRPr="00603D9B">
        <w:rPr>
          <w:sz w:val="18"/>
        </w:rPr>
        <w:t>he Company</w:t>
      </w:r>
      <w:r w:rsidRPr="00603D9B">
        <w:rPr>
          <w:sz w:val="18"/>
        </w:rPr>
        <w:t xml:space="preserve"> can respond appropriately.</w:t>
      </w:r>
    </w:p>
    <w:p w14:paraId="2DF5B06F" w14:textId="43AA4BB5" w:rsidR="00BF2F62" w:rsidRPr="00603D9B" w:rsidRDefault="0075479B" w:rsidP="005B398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H</w:t>
      </w:r>
      <w:r w:rsidRPr="00603D9B">
        <w:rPr>
          <w:b/>
          <w:sz w:val="18"/>
        </w:rPr>
        <w:fldChar w:fldCharType="end"/>
      </w:r>
      <w:r w:rsidRPr="00603D9B">
        <w:rPr>
          <w:b/>
          <w:sz w:val="18"/>
        </w:rPr>
        <w:t>.</w:t>
      </w:r>
      <w:r w:rsidRPr="00603D9B">
        <w:rPr>
          <w:b/>
          <w:sz w:val="18"/>
        </w:rPr>
        <w:tab/>
        <w:t>Duty to Supervise</w:t>
      </w:r>
      <w:r w:rsidRPr="00603D9B">
        <w:rPr>
          <w:sz w:val="18"/>
        </w:rPr>
        <w:t>.  The CCO is responsible for ensuring adequate supervision over the activi</w:t>
      </w:r>
      <w:r w:rsidR="00E14EAF" w:rsidRPr="00603D9B">
        <w:rPr>
          <w:sz w:val="18"/>
        </w:rPr>
        <w:t xml:space="preserve">ties of all persons who act on </w:t>
      </w:r>
      <w:r w:rsidR="00C67A3D">
        <w:rPr>
          <w:sz w:val="18"/>
        </w:rPr>
        <w:t>t</w:t>
      </w:r>
      <w:r w:rsidR="00485F39" w:rsidRPr="00603D9B">
        <w:rPr>
          <w:sz w:val="18"/>
        </w:rPr>
        <w:t>he Company</w:t>
      </w:r>
      <w:r w:rsidRPr="00603D9B">
        <w:rPr>
          <w:sz w:val="18"/>
        </w:rPr>
        <w:t>’s behalf</w:t>
      </w:r>
      <w:r w:rsidR="002D41D3">
        <w:rPr>
          <w:sz w:val="18"/>
        </w:rPr>
        <w:t xml:space="preserve"> and their clients</w:t>
      </w:r>
      <w:r w:rsidRPr="00603D9B">
        <w:rPr>
          <w:sz w:val="18"/>
        </w:rPr>
        <w:t>.  Specific duties include, but are not limited to:</w:t>
      </w:r>
    </w:p>
    <w:p w14:paraId="457E5349" w14:textId="0D7A8DF2"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sz w:val="18"/>
        </w:rPr>
        <w:t>.</w:t>
      </w:r>
      <w:r w:rsidRPr="00603D9B">
        <w:rPr>
          <w:sz w:val="18"/>
        </w:rPr>
        <w:tab/>
        <w:t>Establishing procedures that could be reasonably expected to prevent and detect violations of the law by its advisory personnel;</w:t>
      </w:r>
    </w:p>
    <w:p w14:paraId="1A4E03DE" w14:textId="06E19B58"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sz w:val="18"/>
        </w:rPr>
        <w:t>.</w:t>
      </w:r>
      <w:r w:rsidRPr="00603D9B">
        <w:rPr>
          <w:sz w:val="18"/>
        </w:rPr>
        <w:tab/>
        <w:t>Analyzing its operations and creating a system of controls to ensure compliance with applicable securities laws;</w:t>
      </w:r>
    </w:p>
    <w:p w14:paraId="3DF72827" w14:textId="3D80F061" w:rsidR="007547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sz w:val="18"/>
        </w:rPr>
        <w:t>.</w:t>
      </w:r>
      <w:r w:rsidRPr="00603D9B">
        <w:rPr>
          <w:sz w:val="18"/>
        </w:rPr>
        <w:tab/>
        <w:t xml:space="preserve">Ensuring that all advisory personnel fully understand </w:t>
      </w:r>
      <w:r w:rsidR="00C67A3D">
        <w:rPr>
          <w:sz w:val="18"/>
        </w:rPr>
        <w:t>t</w:t>
      </w:r>
      <w:r w:rsidR="00485F39" w:rsidRPr="00603D9B">
        <w:rPr>
          <w:sz w:val="18"/>
        </w:rPr>
        <w:t>he Company</w:t>
      </w:r>
      <w:r w:rsidRPr="00603D9B">
        <w:rPr>
          <w:sz w:val="18"/>
        </w:rPr>
        <w:t xml:space="preserve">’s policies and procedures; </w:t>
      </w:r>
    </w:p>
    <w:p w14:paraId="4DCC251A" w14:textId="77777777" w:rsidR="002D41D3" w:rsidRPr="002D41D3" w:rsidRDefault="002D41D3" w:rsidP="00D740C5">
      <w:pPr>
        <w:pStyle w:val="ListParagraph"/>
        <w:numPr>
          <w:ilvl w:val="0"/>
          <w:numId w:val="18"/>
        </w:numPr>
        <w:spacing w:line="360" w:lineRule="auto"/>
        <w:rPr>
          <w:sz w:val="18"/>
          <w:szCs w:val="18"/>
        </w:rPr>
      </w:pPr>
      <w:r>
        <w:rPr>
          <w:sz w:val="18"/>
          <w:szCs w:val="18"/>
        </w:rPr>
        <w:t xml:space="preserve"> Periodic review of client accounts to confirm consistency of investment </w:t>
      </w:r>
      <w:r w:rsidR="00B568D3">
        <w:rPr>
          <w:sz w:val="18"/>
          <w:szCs w:val="18"/>
        </w:rPr>
        <w:t>holdings</w:t>
      </w:r>
      <w:r>
        <w:rPr>
          <w:sz w:val="18"/>
          <w:szCs w:val="18"/>
        </w:rPr>
        <w:t xml:space="preserve"> with investment objectives, </w:t>
      </w:r>
      <w:r w:rsidR="00D740C5">
        <w:rPr>
          <w:sz w:val="18"/>
          <w:szCs w:val="18"/>
        </w:rPr>
        <w:t xml:space="preserve">  </w:t>
      </w:r>
      <w:r w:rsidR="00815989">
        <w:rPr>
          <w:sz w:val="18"/>
          <w:szCs w:val="18"/>
        </w:rPr>
        <w:t xml:space="preserve">     </w:t>
      </w:r>
      <w:r>
        <w:rPr>
          <w:sz w:val="18"/>
          <w:szCs w:val="18"/>
        </w:rPr>
        <w:t>inactive/low balance accounts to verify if a fee-based structure continues to be appropriate, and accounts that are exposed to conflicts of interest, such as paying reduced fees for certain assets</w:t>
      </w:r>
      <w:r w:rsidR="00B568D3">
        <w:rPr>
          <w:sz w:val="18"/>
          <w:szCs w:val="18"/>
        </w:rPr>
        <w:t xml:space="preserve"> or asset classes and/or where the financial advisor is subject to paying the client’s transaction fees to verify the existing conflicts have not negatively impacted the client account(s).</w:t>
      </w:r>
    </w:p>
    <w:p w14:paraId="2BB8347B" w14:textId="77777777" w:rsidR="002D41D3" w:rsidRPr="002D41D3" w:rsidRDefault="002D41D3" w:rsidP="002D41D3">
      <w:r>
        <w:tab/>
      </w:r>
      <w:r>
        <w:tab/>
        <w:t xml:space="preserve">     </w:t>
      </w:r>
    </w:p>
    <w:p w14:paraId="54C22AF3" w14:textId="77777777" w:rsidR="0075479B" w:rsidRDefault="000828F7" w:rsidP="00BB1D40">
      <w:pPr>
        <w:pStyle w:val="Heading3"/>
        <w:spacing w:after="0"/>
        <w:rPr>
          <w:sz w:val="18"/>
        </w:rPr>
      </w:pPr>
      <w:r>
        <w:rPr>
          <w:b/>
          <w:sz w:val="18"/>
        </w:rPr>
        <w:t>5</w:t>
      </w:r>
      <w:r w:rsidR="0075479B" w:rsidRPr="00603D9B">
        <w:rPr>
          <w:sz w:val="18"/>
        </w:rPr>
        <w:t>.</w:t>
      </w:r>
      <w:r w:rsidR="0075479B" w:rsidRPr="00603D9B">
        <w:rPr>
          <w:sz w:val="18"/>
        </w:rPr>
        <w:tab/>
        <w:t>Establishing an annual review system designed to pro</w:t>
      </w:r>
      <w:r w:rsidR="00E14EAF" w:rsidRPr="00603D9B">
        <w:rPr>
          <w:sz w:val="18"/>
        </w:rPr>
        <w:t xml:space="preserve">vide reasonable assurance that </w:t>
      </w:r>
      <w:r w:rsidR="00C67A3D">
        <w:rPr>
          <w:sz w:val="18"/>
        </w:rPr>
        <w:t>t</w:t>
      </w:r>
      <w:r w:rsidR="00485F39" w:rsidRPr="00603D9B">
        <w:rPr>
          <w:sz w:val="18"/>
        </w:rPr>
        <w:t>he Company</w:t>
      </w:r>
      <w:r w:rsidR="0075479B" w:rsidRPr="00603D9B">
        <w:rPr>
          <w:sz w:val="18"/>
        </w:rPr>
        <w:t>’s policies and procedures are effective and are being followed.</w:t>
      </w:r>
    </w:p>
    <w:p w14:paraId="37F68511" w14:textId="77777777" w:rsidR="00BB1D40" w:rsidRPr="00BB1D40" w:rsidRDefault="00BB1D40" w:rsidP="00BB1D40"/>
    <w:p w14:paraId="075BC062" w14:textId="41299761" w:rsidR="0075479B" w:rsidRDefault="0075479B" w:rsidP="00BB1D40">
      <w:pPr>
        <w:pStyle w:val="Heading2"/>
        <w:spacing w:after="0"/>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I</w:t>
      </w:r>
      <w:r w:rsidRPr="00603D9B">
        <w:rPr>
          <w:b/>
          <w:sz w:val="18"/>
        </w:rPr>
        <w:fldChar w:fldCharType="end"/>
      </w:r>
      <w:r w:rsidRPr="00603D9B">
        <w:rPr>
          <w:b/>
          <w:sz w:val="18"/>
        </w:rPr>
        <w:t>.</w:t>
      </w:r>
      <w:r w:rsidRPr="00603D9B">
        <w:rPr>
          <w:b/>
          <w:sz w:val="18"/>
        </w:rPr>
        <w:tab/>
        <w:t>Personal Securities Transactions</w:t>
      </w:r>
      <w:r w:rsidRPr="00603D9B">
        <w:rPr>
          <w:sz w:val="18"/>
        </w:rPr>
        <w:t xml:space="preserve">.  </w:t>
      </w:r>
      <w:r w:rsidR="00485F39" w:rsidRPr="00603D9B">
        <w:rPr>
          <w:sz w:val="18"/>
        </w:rPr>
        <w:t>The Company</w:t>
      </w:r>
      <w:r w:rsidRPr="00603D9B">
        <w:rPr>
          <w:sz w:val="18"/>
        </w:rPr>
        <w:t xml:space="preserve">’s procedures governing personal security transactions are </w:t>
      </w:r>
      <w:r w:rsidR="000D33D6" w:rsidRPr="00603D9B">
        <w:rPr>
          <w:sz w:val="18"/>
        </w:rPr>
        <w:t>summarized in Section 2, 3 &amp; 4</w:t>
      </w:r>
      <w:r w:rsidRPr="00603D9B">
        <w:rPr>
          <w:sz w:val="18"/>
        </w:rPr>
        <w:t xml:space="preserve"> of </w:t>
      </w:r>
      <w:r w:rsidR="00A0218D" w:rsidRPr="00603D9B">
        <w:rPr>
          <w:sz w:val="18"/>
        </w:rPr>
        <w:t xml:space="preserve">the Code of Ethics </w:t>
      </w:r>
      <w:r w:rsidRPr="00603D9B">
        <w:rPr>
          <w:sz w:val="18"/>
        </w:rPr>
        <w:t>manual.</w:t>
      </w:r>
    </w:p>
    <w:p w14:paraId="65F035F5" w14:textId="77777777" w:rsidR="00BB1D40" w:rsidRPr="00BB1D40" w:rsidRDefault="00BB1D40" w:rsidP="00BB1D40"/>
    <w:p w14:paraId="4B52E759" w14:textId="39F1BB06" w:rsidR="0075479B" w:rsidRPr="005B398B" w:rsidRDefault="0075479B">
      <w:pPr>
        <w:pStyle w:val="Heading1"/>
        <w:jc w:val="left"/>
        <w:rPr>
          <w:b w:val="0"/>
          <w:smallCaps w:val="0"/>
          <w:sz w:val="24"/>
        </w:rPr>
      </w:pPr>
      <w:r w:rsidRPr="005B398B">
        <w:rPr>
          <w:sz w:val="24"/>
        </w:rPr>
        <w:lastRenderedPageBreak/>
        <w:fldChar w:fldCharType="begin"/>
      </w:r>
      <w:r w:rsidRPr="005B398B">
        <w:rPr>
          <w:sz w:val="24"/>
        </w:rPr>
        <w:instrText xml:space="preserve"> SEQ SeqIII \n \*ROMAN \*MERGEFORMAT </w:instrText>
      </w:r>
      <w:r w:rsidRPr="005B398B">
        <w:rPr>
          <w:sz w:val="24"/>
        </w:rPr>
        <w:fldChar w:fldCharType="separate"/>
      </w:r>
      <w:r w:rsidR="002A078E">
        <w:rPr>
          <w:noProof/>
          <w:sz w:val="24"/>
        </w:rPr>
        <w:t>X</w:t>
      </w:r>
      <w:r w:rsidRPr="005B398B">
        <w:rPr>
          <w:sz w:val="24"/>
        </w:rPr>
        <w:fldChar w:fldCharType="end"/>
      </w:r>
      <w:r w:rsidRPr="005B398B">
        <w:rPr>
          <w:sz w:val="24"/>
        </w:rPr>
        <w:t>.</w:t>
      </w:r>
      <w:r w:rsidRPr="005B398B">
        <w:rPr>
          <w:sz w:val="24"/>
        </w:rPr>
        <w:tab/>
        <w:t>Trading/Prohibited Transactions</w:t>
      </w:r>
    </w:p>
    <w:p w14:paraId="46821806" w14:textId="10434F8D" w:rsidR="0075479B" w:rsidRPr="00603D9B" w:rsidRDefault="0075479B">
      <w:pPr>
        <w:pStyle w:val="Heading2"/>
        <w:keepNext/>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Prohibitions</w:t>
      </w:r>
      <w:r w:rsidRPr="00603D9B">
        <w:rPr>
          <w:sz w:val="18"/>
        </w:rPr>
        <w:t xml:space="preserve">.  </w:t>
      </w:r>
      <w:r w:rsidR="00485F39" w:rsidRPr="00603D9B">
        <w:rPr>
          <w:sz w:val="18"/>
        </w:rPr>
        <w:t>The Company</w:t>
      </w:r>
      <w:r w:rsidRPr="00603D9B">
        <w:rPr>
          <w:sz w:val="18"/>
        </w:rPr>
        <w:t xml:space="preserve"> a</w:t>
      </w:r>
      <w:r w:rsidR="00E14EAF" w:rsidRPr="00603D9B">
        <w:rPr>
          <w:sz w:val="18"/>
        </w:rPr>
        <w:t xml:space="preserve">nd all persons associated with </w:t>
      </w:r>
      <w:r w:rsidR="00C67A3D">
        <w:rPr>
          <w:sz w:val="18"/>
        </w:rPr>
        <w:t>t</w:t>
      </w:r>
      <w:r w:rsidR="00485F39" w:rsidRPr="00603D9B">
        <w:rPr>
          <w:sz w:val="18"/>
        </w:rPr>
        <w:t>he Company</w:t>
      </w:r>
      <w:r w:rsidRPr="00603D9B">
        <w:rPr>
          <w:sz w:val="18"/>
        </w:rPr>
        <w:t xml:space="preserve"> are prohibited from:</w:t>
      </w:r>
    </w:p>
    <w:p w14:paraId="07E07E17" w14:textId="68D3F07D"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sz w:val="18"/>
        </w:rPr>
        <w:t>.</w:t>
      </w:r>
      <w:r w:rsidRPr="00603D9B">
        <w:rPr>
          <w:sz w:val="18"/>
        </w:rPr>
        <w:tab/>
        <w:t>employing any device, scheme, or artifice to defraud any client or prospective client;</w:t>
      </w:r>
    </w:p>
    <w:p w14:paraId="4A51FF03" w14:textId="266F6079"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sz w:val="18"/>
        </w:rPr>
        <w:t>.</w:t>
      </w:r>
      <w:r w:rsidRPr="00603D9B">
        <w:rPr>
          <w:sz w:val="18"/>
        </w:rPr>
        <w:tab/>
        <w:t>engaging in any transaction, practice or course of business that operates as a fraud or deceit upon any client or prospective client;</w:t>
      </w:r>
    </w:p>
    <w:p w14:paraId="46B0FAF1" w14:textId="41131D11"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sz w:val="18"/>
        </w:rPr>
        <w:t>.</w:t>
      </w:r>
      <w:r w:rsidRPr="00603D9B">
        <w:rPr>
          <w:sz w:val="18"/>
        </w:rPr>
        <w:tab/>
        <w:t>engaging in any act, practice or course of business that is fraudulent, deceptive or manipulative;</w:t>
      </w:r>
    </w:p>
    <w:p w14:paraId="0E97DC20" w14:textId="113C1387"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sz w:val="18"/>
        </w:rPr>
        <w:t>.</w:t>
      </w:r>
      <w:r w:rsidRPr="00603D9B">
        <w:rPr>
          <w:sz w:val="18"/>
        </w:rPr>
        <w:tab/>
        <w:t xml:space="preserve">directly or indirectly acquiring any beneficial interest in securities of an Initial Public Offering (IPO) </w:t>
      </w:r>
      <w:r w:rsidR="00E14EAF" w:rsidRPr="00603D9B">
        <w:rPr>
          <w:sz w:val="18"/>
        </w:rPr>
        <w:t xml:space="preserve">or Private Placement, in which </w:t>
      </w:r>
      <w:r w:rsidR="00C67A3D">
        <w:rPr>
          <w:sz w:val="18"/>
        </w:rPr>
        <w:t>t</w:t>
      </w:r>
      <w:r w:rsidR="00485F39" w:rsidRPr="00603D9B">
        <w:rPr>
          <w:sz w:val="18"/>
        </w:rPr>
        <w:t>he Company</w:t>
      </w:r>
      <w:r w:rsidRPr="00603D9B">
        <w:rPr>
          <w:sz w:val="18"/>
        </w:rPr>
        <w:t xml:space="preserve"> is allocated shares, without prior written approval from the CCO</w:t>
      </w:r>
      <w:r w:rsidR="00FA08E3" w:rsidRPr="00603D9B">
        <w:rPr>
          <w:sz w:val="18"/>
        </w:rPr>
        <w:t xml:space="preserve"> (pre-clearance form)</w:t>
      </w:r>
      <w:r w:rsidRPr="00603D9B">
        <w:rPr>
          <w:sz w:val="18"/>
        </w:rPr>
        <w:t>;</w:t>
      </w:r>
    </w:p>
    <w:p w14:paraId="72E472AA" w14:textId="732E8E59" w:rsidR="0075479B" w:rsidRPr="00603D9B" w:rsidRDefault="0075479B" w:rsidP="00BB1D40">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5</w:t>
      </w:r>
      <w:r w:rsidRPr="00603D9B">
        <w:rPr>
          <w:b/>
          <w:sz w:val="18"/>
        </w:rPr>
        <w:fldChar w:fldCharType="end"/>
      </w:r>
      <w:r w:rsidRPr="00603D9B">
        <w:rPr>
          <w:sz w:val="18"/>
        </w:rPr>
        <w:t>.</w:t>
      </w:r>
      <w:r w:rsidRPr="00603D9B">
        <w:rPr>
          <w:sz w:val="18"/>
        </w:rPr>
        <w:tab/>
        <w:t>knowingly selling or buying any security from an advisory client</w:t>
      </w:r>
      <w:r w:rsidR="000D33D6" w:rsidRPr="00603D9B">
        <w:rPr>
          <w:sz w:val="18"/>
        </w:rPr>
        <w:t xml:space="preserve"> (on a Principal or Agency Cross Transaction basis)</w:t>
      </w:r>
      <w:r w:rsidRPr="00603D9B">
        <w:rPr>
          <w:sz w:val="18"/>
        </w:rPr>
        <w:t xml:space="preserve"> without first disclosing in writing its capacity in the transaction and obtaining the client’s written consent to the transaction;</w:t>
      </w:r>
    </w:p>
    <w:p w14:paraId="410FE90E" w14:textId="77777777" w:rsidR="0075479B" w:rsidRPr="00603D9B" w:rsidRDefault="0075479B" w:rsidP="00BB1D40">
      <w:pPr>
        <w:pStyle w:val="Heading3"/>
        <w:spacing w:after="0"/>
        <w:rPr>
          <w:sz w:val="18"/>
        </w:rPr>
      </w:pPr>
      <w:r w:rsidRPr="00603D9B">
        <w:rPr>
          <w:b/>
          <w:sz w:val="18"/>
        </w:rPr>
        <w:t>6</w:t>
      </w:r>
      <w:r w:rsidRPr="00603D9B">
        <w:rPr>
          <w:sz w:val="18"/>
        </w:rPr>
        <w:t>.</w:t>
      </w:r>
      <w:r w:rsidRPr="00603D9B">
        <w:rPr>
          <w:sz w:val="18"/>
        </w:rPr>
        <w:tab/>
        <w:t xml:space="preserve">engaging in trading after the </w:t>
      </w:r>
      <w:r w:rsidR="002B02A0" w:rsidRPr="00603D9B">
        <w:rPr>
          <w:sz w:val="18"/>
        </w:rPr>
        <w:t xml:space="preserve">market </w:t>
      </w:r>
      <w:r w:rsidRPr="00603D9B">
        <w:rPr>
          <w:sz w:val="18"/>
        </w:rPr>
        <w:t>close.</w:t>
      </w:r>
    </w:p>
    <w:p w14:paraId="1A6C9D53" w14:textId="77777777" w:rsidR="00BF2F62" w:rsidRPr="00603D9B" w:rsidRDefault="00BF2F62" w:rsidP="00BF2F62">
      <w:pPr>
        <w:rPr>
          <w:sz w:val="18"/>
        </w:rPr>
      </w:pPr>
    </w:p>
    <w:p w14:paraId="53DC2775" w14:textId="77777777" w:rsidR="00BF2F62" w:rsidRPr="00603D9B" w:rsidRDefault="00BF2F62" w:rsidP="00BF2F62">
      <w:pPr>
        <w:rPr>
          <w:sz w:val="18"/>
        </w:rPr>
      </w:pPr>
    </w:p>
    <w:p w14:paraId="3FE29715" w14:textId="5CE9B8AA"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Trading After the Close</w:t>
      </w:r>
      <w:r w:rsidRPr="00603D9B">
        <w:rPr>
          <w:sz w:val="18"/>
        </w:rPr>
        <w:t xml:space="preserve">.  </w:t>
      </w:r>
      <w:r w:rsidR="00C67A3D">
        <w:rPr>
          <w:sz w:val="18"/>
        </w:rPr>
        <w:t xml:space="preserve">The Company does not </w:t>
      </w:r>
      <w:r w:rsidRPr="00603D9B">
        <w:rPr>
          <w:sz w:val="18"/>
        </w:rPr>
        <w:t xml:space="preserve">engage in late trading when purchasing or redeeming mutual fund shares.  Trading after the close is the practice of placing orders to buy or sell shares of a mutual fund after </w:t>
      </w:r>
      <w:smartTag w:uri="urn:schemas-microsoft-com:office:smarttags" w:element="time">
        <w:smartTagPr>
          <w:attr w:name="Hour" w:val="16"/>
          <w:attr w:name="Minute" w:val="0"/>
        </w:smartTagPr>
        <w:r w:rsidRPr="00603D9B">
          <w:rPr>
            <w:sz w:val="18"/>
          </w:rPr>
          <w:t>4:00 PM</w:t>
        </w:r>
      </w:smartTag>
      <w:r w:rsidRPr="00603D9B">
        <w:rPr>
          <w:sz w:val="18"/>
        </w:rPr>
        <w:t xml:space="preserve"> Eastern time, the time when most funds calculate their net asset value (</w:t>
      </w:r>
      <w:smartTag w:uri="urn:schemas-microsoft-com:office:smarttags" w:element="stockticker">
        <w:r w:rsidRPr="00603D9B">
          <w:rPr>
            <w:sz w:val="18"/>
          </w:rPr>
          <w:t>NAV</w:t>
        </w:r>
      </w:smartTag>
      <w:r w:rsidRPr="00603D9B">
        <w:rPr>
          <w:sz w:val="18"/>
        </w:rPr>
        <w:t xml:space="preserve">), but the investor still receives the current day’s price.  </w:t>
      </w:r>
    </w:p>
    <w:p w14:paraId="72CAE9D3" w14:textId="00EC0956" w:rsidR="0075479B" w:rsidRPr="00603D9B" w:rsidRDefault="0075479B">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Procedure</w:t>
      </w:r>
      <w:r w:rsidRPr="00603D9B">
        <w:rPr>
          <w:sz w:val="18"/>
        </w:rPr>
        <w:t>: Each trading ticket, whether purchase or sale, shall be time stamped and the individual placing the transaction shall be identified either by name or associate code.  It</w:t>
      </w:r>
      <w:r w:rsidR="00E14EAF" w:rsidRPr="00603D9B">
        <w:rPr>
          <w:sz w:val="18"/>
        </w:rPr>
        <w:t xml:space="preserve"> will be the responsibility of </w:t>
      </w:r>
      <w:r w:rsidR="00D0091A">
        <w:rPr>
          <w:sz w:val="18"/>
        </w:rPr>
        <w:t>t</w:t>
      </w:r>
      <w:r w:rsidR="00485F39" w:rsidRPr="00603D9B">
        <w:rPr>
          <w:sz w:val="18"/>
        </w:rPr>
        <w:t>he Company</w:t>
      </w:r>
      <w:r w:rsidRPr="00603D9B">
        <w:rPr>
          <w:sz w:val="18"/>
        </w:rPr>
        <w:t>’s CCO</w:t>
      </w:r>
      <w:r w:rsidR="00E14EAF" w:rsidRPr="00603D9B">
        <w:rPr>
          <w:sz w:val="18"/>
        </w:rPr>
        <w:t xml:space="preserve"> or another designated supervisor</w:t>
      </w:r>
      <w:r w:rsidRPr="00603D9B">
        <w:rPr>
          <w:sz w:val="18"/>
        </w:rPr>
        <w:t xml:space="preserve"> of the firm, to review mutual fund purchases and sales on a random </w:t>
      </w:r>
      <w:r w:rsidR="00E14EAF" w:rsidRPr="00603D9B">
        <w:rPr>
          <w:sz w:val="18"/>
        </w:rPr>
        <w:t xml:space="preserve">basis in order to determine if </w:t>
      </w:r>
      <w:r w:rsidR="00D0091A">
        <w:rPr>
          <w:sz w:val="18"/>
        </w:rPr>
        <w:t>t</w:t>
      </w:r>
      <w:r w:rsidR="00485F39" w:rsidRPr="00603D9B">
        <w:rPr>
          <w:sz w:val="18"/>
        </w:rPr>
        <w:t>he Company</w:t>
      </w:r>
      <w:r w:rsidRPr="00603D9B">
        <w:rPr>
          <w:sz w:val="18"/>
        </w:rPr>
        <w:t xml:space="preserve"> has engaged in such pro</w:t>
      </w:r>
      <w:r w:rsidR="00E14EAF" w:rsidRPr="00603D9B">
        <w:rPr>
          <w:sz w:val="18"/>
        </w:rPr>
        <w:t xml:space="preserve">hibited activity.  </w:t>
      </w:r>
      <w:r w:rsidRPr="00603D9B">
        <w:rPr>
          <w:sz w:val="18"/>
        </w:rPr>
        <w:t>If there is an appearance of a</w:t>
      </w:r>
      <w:r w:rsidR="00E14EAF" w:rsidRPr="00603D9B">
        <w:rPr>
          <w:sz w:val="18"/>
        </w:rPr>
        <w:t>ny improper trades the reviewer</w:t>
      </w:r>
      <w:r w:rsidRPr="00603D9B">
        <w:rPr>
          <w:sz w:val="18"/>
        </w:rPr>
        <w:t xml:space="preserve"> should immediately report such to the CCO, who will take it upon him/herself to cause further review.  If any improper trading has occurred the CCO will take prompt and proper action.  Such action may consist of discussing the transaction with the individual that placed the trade, notifying the President of </w:t>
      </w:r>
      <w:r w:rsidR="00D0091A">
        <w:rPr>
          <w:sz w:val="18"/>
        </w:rPr>
        <w:t>t</w:t>
      </w:r>
      <w:r w:rsidR="00485F39" w:rsidRPr="00603D9B">
        <w:rPr>
          <w:sz w:val="18"/>
        </w:rPr>
        <w:t>he Company</w:t>
      </w:r>
      <w:r w:rsidRPr="00603D9B">
        <w:rPr>
          <w:sz w:val="18"/>
        </w:rPr>
        <w:t>, etc.</w:t>
      </w:r>
    </w:p>
    <w:p w14:paraId="6D7944C0" w14:textId="2912549A" w:rsidR="007547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Market Timing</w:t>
      </w:r>
      <w:r w:rsidRPr="00603D9B">
        <w:rPr>
          <w:sz w:val="18"/>
        </w:rPr>
        <w:t xml:space="preserve">.  It is </w:t>
      </w:r>
      <w:r w:rsidR="009F3C52">
        <w:rPr>
          <w:sz w:val="18"/>
        </w:rPr>
        <w:t>t</w:t>
      </w:r>
      <w:r w:rsidR="00485F39" w:rsidRPr="00603D9B">
        <w:rPr>
          <w:sz w:val="18"/>
        </w:rPr>
        <w:t>he Company</w:t>
      </w:r>
      <w:r w:rsidRPr="00603D9B">
        <w:rPr>
          <w:sz w:val="18"/>
        </w:rPr>
        <w:t>’s policy not to allow market timing when purchasing or redeeming mutual fund shares</w:t>
      </w:r>
      <w:r w:rsidR="00FA08E3" w:rsidRPr="00603D9B">
        <w:rPr>
          <w:sz w:val="18"/>
        </w:rPr>
        <w:t xml:space="preserve"> unless an investment company that specializes in this area is utilized (ie: Rydex</w:t>
      </w:r>
      <w:r w:rsidR="002B02A0" w:rsidRPr="00603D9B">
        <w:rPr>
          <w:sz w:val="18"/>
        </w:rPr>
        <w:t>,</w:t>
      </w:r>
      <w:r w:rsidR="00FA08E3" w:rsidRPr="00603D9B">
        <w:rPr>
          <w:sz w:val="18"/>
        </w:rPr>
        <w:t xml:space="preserve"> Pro Funds)</w:t>
      </w:r>
      <w:r w:rsidRPr="00603D9B">
        <w:rPr>
          <w:sz w:val="18"/>
        </w:rPr>
        <w:t xml:space="preserve">.  </w:t>
      </w:r>
      <w:r w:rsidR="00D0091A">
        <w:rPr>
          <w:sz w:val="18"/>
        </w:rPr>
        <w:t xml:space="preserve"> Market timing is defined by a</w:t>
      </w:r>
      <w:r w:rsidRPr="00603D9B">
        <w:rPr>
          <w:sz w:val="18"/>
        </w:rPr>
        <w:t xml:space="preserve"> quantity of transactions – buy and sell – that exceed the number allowed by </w:t>
      </w:r>
      <w:r w:rsidR="0063516D" w:rsidRPr="00603D9B">
        <w:rPr>
          <w:sz w:val="18"/>
        </w:rPr>
        <w:t xml:space="preserve">the terms of </w:t>
      </w:r>
      <w:r w:rsidRPr="00603D9B">
        <w:rPr>
          <w:sz w:val="18"/>
        </w:rPr>
        <w:t>the mutual fund or annuity company prospectus.</w:t>
      </w:r>
    </w:p>
    <w:p w14:paraId="604F78C0" w14:textId="77777777" w:rsidR="00F01999" w:rsidRPr="00BF5503" w:rsidRDefault="00F01999" w:rsidP="007058A1">
      <w:pPr>
        <w:spacing w:line="360" w:lineRule="auto"/>
        <w:ind w:left="1166" w:hanging="446"/>
        <w:rPr>
          <w:rFonts w:cs="Arial"/>
          <w:bCs/>
          <w:iCs/>
          <w:sz w:val="18"/>
        </w:rPr>
      </w:pPr>
      <w:r>
        <w:rPr>
          <w:rFonts w:cs="Arial"/>
          <w:b/>
          <w:bCs/>
          <w:iCs/>
          <w:noProof/>
          <w:sz w:val="18"/>
        </w:rPr>
        <w:t>D</w:t>
      </w:r>
      <w:r w:rsidRPr="00F01999">
        <w:t>.</w:t>
      </w:r>
      <w:r>
        <w:t xml:space="preserve">    </w:t>
      </w:r>
      <w:r w:rsidRPr="00F01999">
        <w:rPr>
          <w:b/>
          <w:sz w:val="18"/>
          <w:szCs w:val="18"/>
        </w:rPr>
        <w:t>Trading Errors</w:t>
      </w:r>
      <w:r w:rsidRPr="00BF5503">
        <w:t xml:space="preserve">.   </w:t>
      </w:r>
      <w:r w:rsidRPr="00BF5503">
        <w:rPr>
          <w:sz w:val="18"/>
          <w:szCs w:val="18"/>
        </w:rPr>
        <w:t xml:space="preserve">As fiduciaries, investment advisors are required to put their client’s interests ahead of their own. </w:t>
      </w:r>
      <w:r w:rsidRPr="00BF5503">
        <w:rPr>
          <w:rFonts w:cs="Arial"/>
          <w:b/>
          <w:bCs/>
          <w:iCs/>
          <w:sz w:val="18"/>
        </w:rPr>
        <w:t xml:space="preserve">   </w:t>
      </w:r>
      <w:r w:rsidRPr="00BF5503">
        <w:rPr>
          <w:rFonts w:cs="Arial"/>
          <w:bCs/>
          <w:iCs/>
          <w:sz w:val="18"/>
        </w:rPr>
        <w:t>In correcting a trading error, the client should not be disadvantaged in any way</w:t>
      </w:r>
      <w:r w:rsidRPr="00BF5503">
        <w:rPr>
          <w:rFonts w:cs="Arial"/>
          <w:b/>
          <w:bCs/>
          <w:iCs/>
          <w:sz w:val="18"/>
        </w:rPr>
        <w:t xml:space="preserve">.  </w:t>
      </w:r>
      <w:r w:rsidRPr="00BF5503">
        <w:rPr>
          <w:rFonts w:cs="Arial"/>
          <w:bCs/>
          <w:iCs/>
          <w:sz w:val="18"/>
        </w:rPr>
        <w:t xml:space="preserve">The affected client, and all other clients, will be put in the same position as they would have been had the error not occurred.  Soft dollars may not be used to pay for correcting the advisor’s trading error.  The Company and/or its IAR’s must bear any cost associated with correcting a trade error, and not pass any of those costs on to the client.  </w:t>
      </w:r>
    </w:p>
    <w:p w14:paraId="63D85974" w14:textId="77777777" w:rsidR="00F01999" w:rsidRPr="00BF5503" w:rsidRDefault="00F01999" w:rsidP="007058A1">
      <w:pPr>
        <w:spacing w:line="360" w:lineRule="auto"/>
        <w:ind w:left="1166" w:hanging="446"/>
        <w:rPr>
          <w:rFonts w:cs="Arial"/>
          <w:bCs/>
          <w:iCs/>
          <w:sz w:val="18"/>
        </w:rPr>
      </w:pPr>
    </w:p>
    <w:p w14:paraId="7DECB312" w14:textId="77777777" w:rsidR="00F01999" w:rsidRPr="00BF5503" w:rsidRDefault="00F01999" w:rsidP="007058A1">
      <w:pPr>
        <w:spacing w:line="360" w:lineRule="auto"/>
        <w:ind w:left="1166" w:hanging="446"/>
        <w:rPr>
          <w:rFonts w:cs="Arial"/>
          <w:bCs/>
          <w:iCs/>
          <w:sz w:val="18"/>
        </w:rPr>
      </w:pPr>
      <w:r w:rsidRPr="00BF5503">
        <w:rPr>
          <w:rFonts w:cs="Arial"/>
          <w:bCs/>
          <w:iCs/>
          <w:sz w:val="18"/>
        </w:rPr>
        <w:tab/>
        <w:t xml:space="preserve">There is no single solution to every trading error.  Resolution must be determined on a case-by-case basis.  Two examples are:  </w:t>
      </w:r>
    </w:p>
    <w:p w14:paraId="7C9EA402" w14:textId="77777777" w:rsidR="00F01999" w:rsidRPr="00BF5503" w:rsidRDefault="00F01999" w:rsidP="007058A1">
      <w:pPr>
        <w:spacing w:line="360" w:lineRule="auto"/>
        <w:ind w:left="1166" w:hanging="446"/>
        <w:rPr>
          <w:rFonts w:cs="Arial"/>
          <w:bCs/>
          <w:iCs/>
          <w:sz w:val="18"/>
        </w:rPr>
      </w:pPr>
    </w:p>
    <w:p w14:paraId="6D06E546" w14:textId="77777777" w:rsidR="00F01999" w:rsidRDefault="00F01999" w:rsidP="007058A1">
      <w:pPr>
        <w:spacing w:line="360" w:lineRule="auto"/>
        <w:ind w:left="1166" w:hanging="446"/>
        <w:rPr>
          <w:rFonts w:cs="Arial"/>
          <w:bCs/>
          <w:iCs/>
          <w:sz w:val="18"/>
        </w:rPr>
      </w:pPr>
      <w:r w:rsidRPr="00BF5503">
        <w:rPr>
          <w:rFonts w:cs="Arial"/>
          <w:bCs/>
          <w:iCs/>
          <w:sz w:val="18"/>
        </w:rPr>
        <w:tab/>
        <w:t>If an account is overcharged for the purchase of securities, it may be appropriate to reimburse the account for the amount overcharged, plus adjustments such as interest.</w:t>
      </w:r>
    </w:p>
    <w:p w14:paraId="3C9694B5" w14:textId="77777777" w:rsidR="00F01999" w:rsidRDefault="00F01999" w:rsidP="007058A1">
      <w:pPr>
        <w:spacing w:line="360" w:lineRule="auto"/>
        <w:ind w:left="1166" w:hanging="446"/>
        <w:rPr>
          <w:rFonts w:cs="Arial"/>
          <w:bCs/>
          <w:iCs/>
          <w:sz w:val="18"/>
        </w:rPr>
      </w:pPr>
    </w:p>
    <w:p w14:paraId="77D3BB58" w14:textId="77777777" w:rsidR="00F01999" w:rsidRDefault="00F01999" w:rsidP="007058A1">
      <w:pPr>
        <w:spacing w:line="360" w:lineRule="auto"/>
        <w:ind w:left="1166" w:hanging="446"/>
        <w:rPr>
          <w:rFonts w:cs="Arial"/>
          <w:bCs/>
          <w:iCs/>
          <w:sz w:val="18"/>
        </w:rPr>
      </w:pPr>
      <w:r>
        <w:rPr>
          <w:rFonts w:cs="Arial"/>
          <w:bCs/>
          <w:iCs/>
          <w:sz w:val="18"/>
        </w:rPr>
        <w:tab/>
        <w:t>If an account was restricted from holding a particular security, it may be appropriate to repurchase the securities from the account for the same price as the account paid for them, plus adjustments such as interest.  If a trading error results in a profit to the client, and the account was restricted from holding such securities, the account cannot profit from this trade, other than adjustments such as interest.</w:t>
      </w:r>
    </w:p>
    <w:p w14:paraId="10C705C6" w14:textId="77777777" w:rsidR="00F01999" w:rsidRDefault="00F01999" w:rsidP="007058A1">
      <w:pPr>
        <w:spacing w:line="360" w:lineRule="auto"/>
        <w:ind w:left="1166" w:hanging="446"/>
        <w:rPr>
          <w:rFonts w:cs="Arial"/>
          <w:bCs/>
          <w:iCs/>
          <w:sz w:val="18"/>
        </w:rPr>
      </w:pPr>
      <w:r>
        <w:rPr>
          <w:rFonts w:cs="Arial"/>
          <w:bCs/>
          <w:iCs/>
          <w:sz w:val="18"/>
        </w:rPr>
        <w:tab/>
      </w:r>
    </w:p>
    <w:p w14:paraId="3E353880" w14:textId="77777777" w:rsidR="00F01999" w:rsidRDefault="00F01999" w:rsidP="007058A1">
      <w:pPr>
        <w:spacing w:line="360" w:lineRule="auto"/>
        <w:ind w:left="1166" w:hanging="446"/>
        <w:rPr>
          <w:rFonts w:cs="Arial"/>
          <w:bCs/>
          <w:iCs/>
          <w:sz w:val="18"/>
        </w:rPr>
      </w:pPr>
      <w:r>
        <w:rPr>
          <w:rFonts w:cs="Arial"/>
          <w:bCs/>
          <w:iCs/>
          <w:sz w:val="18"/>
        </w:rPr>
        <w:tab/>
        <w:t>Any person discovering an error shall immediately notify Deborah Castiglioni</w:t>
      </w:r>
      <w:r w:rsidR="00D3078B">
        <w:rPr>
          <w:rFonts w:cs="Arial"/>
          <w:bCs/>
          <w:iCs/>
          <w:sz w:val="18"/>
        </w:rPr>
        <w:t xml:space="preserve"> or Barry Gerdin</w:t>
      </w:r>
      <w:r>
        <w:rPr>
          <w:rFonts w:cs="Arial"/>
          <w:bCs/>
          <w:iCs/>
          <w:sz w:val="18"/>
        </w:rPr>
        <w:t>.  Error corrections will be made as soon as possible after the error is discovered.  Often this means no later than the next business day.  Sometimes an error correction needs to take place after an investigation to determine whether the client, the advisory firm, the broker/dealer or the custodian made the error.  Error correction may need to be delayed until after the Company consults with the client.  The Company will use its best efforts to resolve errors in a timely manner.  The Company will maintain a file documenting the correction of all trading errors.</w:t>
      </w:r>
    </w:p>
    <w:p w14:paraId="1AC5497D" w14:textId="77777777" w:rsidR="00D3078B" w:rsidRDefault="00D3078B" w:rsidP="007058A1">
      <w:pPr>
        <w:spacing w:line="360" w:lineRule="auto"/>
        <w:ind w:left="1166" w:hanging="446"/>
        <w:rPr>
          <w:rFonts w:cs="Arial"/>
          <w:bCs/>
          <w:iCs/>
          <w:sz w:val="18"/>
        </w:rPr>
      </w:pPr>
    </w:p>
    <w:p w14:paraId="1DA102B9" w14:textId="77777777" w:rsidR="00D3078B" w:rsidRDefault="00D3078B" w:rsidP="007058A1">
      <w:pPr>
        <w:spacing w:line="360" w:lineRule="auto"/>
        <w:ind w:left="1166" w:hanging="446"/>
        <w:rPr>
          <w:rFonts w:cs="Arial"/>
          <w:bCs/>
          <w:iCs/>
          <w:sz w:val="18"/>
        </w:rPr>
      </w:pPr>
      <w:r>
        <w:rPr>
          <w:rFonts w:cs="Arial"/>
          <w:bCs/>
          <w:iCs/>
          <w:sz w:val="18"/>
        </w:rPr>
        <w:tab/>
        <w:t>If a trading error results in a loss, the party that is responsible for the error shall pay for the loss (i.e. client errors are paid for by client, financial advisor errors paid by the financial advisor, firm errors are paid by the firm).  In the event the error results in a gain, if the client made the error and is able to retain the trade (i.e. For example, by adding additional funds to pay for too many shares purchased.), the client is allowed to retain any such gain and the additional shares once fully paid.  If the financial advisor is responsible for the error that results in a gain, the firm will retain the gain and will not provide the credit to the financial advisor.</w:t>
      </w:r>
    </w:p>
    <w:p w14:paraId="44F24388" w14:textId="77777777" w:rsidR="00F01999" w:rsidRPr="00F01999" w:rsidRDefault="00F01999" w:rsidP="00F01999">
      <w:pPr>
        <w:ind w:left="1170" w:hanging="450"/>
        <w:rPr>
          <w:rFonts w:cs="Arial"/>
          <w:bCs/>
          <w:iCs/>
          <w:sz w:val="18"/>
        </w:rPr>
      </w:pPr>
    </w:p>
    <w:p w14:paraId="1D158775" w14:textId="77777777" w:rsidR="0075479B" w:rsidRPr="00603D9B" w:rsidRDefault="00F01999" w:rsidP="00B638D4">
      <w:pPr>
        <w:pStyle w:val="Heading2"/>
        <w:rPr>
          <w:sz w:val="18"/>
        </w:rPr>
      </w:pPr>
      <w:r>
        <w:rPr>
          <w:b/>
          <w:sz w:val="18"/>
        </w:rPr>
        <w:t>E</w:t>
      </w:r>
      <w:r w:rsidR="0075479B" w:rsidRPr="00603D9B">
        <w:rPr>
          <w:b/>
          <w:sz w:val="18"/>
        </w:rPr>
        <w:t>.</w:t>
      </w:r>
      <w:r w:rsidR="0075479B" w:rsidRPr="00603D9B">
        <w:rPr>
          <w:b/>
          <w:sz w:val="18"/>
        </w:rPr>
        <w:tab/>
        <w:t xml:space="preserve">Exclusion of </w:t>
      </w:r>
      <w:r w:rsidR="00B638D4">
        <w:rPr>
          <w:b/>
          <w:sz w:val="18"/>
        </w:rPr>
        <w:t>t</w:t>
      </w:r>
      <w:r w:rsidR="00485F39" w:rsidRPr="00603D9B">
        <w:rPr>
          <w:b/>
          <w:sz w:val="18"/>
        </w:rPr>
        <w:t>he Company</w:t>
      </w:r>
      <w:r w:rsidR="0075479B" w:rsidRPr="00603D9B">
        <w:rPr>
          <w:b/>
          <w:sz w:val="18"/>
        </w:rPr>
        <w:t xml:space="preserve"> from the Definition of Investment Company</w:t>
      </w:r>
      <w:r w:rsidR="0075479B" w:rsidRPr="00603D9B">
        <w:rPr>
          <w:sz w:val="18"/>
        </w:rPr>
        <w:t xml:space="preserve">.  In order for </w:t>
      </w:r>
      <w:r w:rsidR="00D0091A">
        <w:rPr>
          <w:sz w:val="18"/>
        </w:rPr>
        <w:t>t</w:t>
      </w:r>
      <w:r w:rsidR="00485F39" w:rsidRPr="00603D9B">
        <w:rPr>
          <w:sz w:val="18"/>
        </w:rPr>
        <w:t>he Company</w:t>
      </w:r>
      <w:r w:rsidR="0075479B" w:rsidRPr="00603D9B">
        <w:rPr>
          <w:sz w:val="18"/>
        </w:rPr>
        <w:t xml:space="preserve"> to meet the definition of an “investment </w:t>
      </w:r>
      <w:r w:rsidR="009A1659" w:rsidRPr="00603D9B">
        <w:rPr>
          <w:sz w:val="18"/>
        </w:rPr>
        <w:t>advisor</w:t>
      </w:r>
      <w:r w:rsidR="0075479B" w:rsidRPr="00603D9B">
        <w:rPr>
          <w:sz w:val="18"/>
        </w:rPr>
        <w:t>” and not be classified as an “investment company”, the following requirements must be strictly complied with:</w:t>
      </w:r>
    </w:p>
    <w:p w14:paraId="5DFA5F2E" w14:textId="10A6A9E0"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Each client account must be managed on the basis of that client’s individual financial situation, investment objectives, and instructions;</w:t>
      </w:r>
    </w:p>
    <w:p w14:paraId="69225315" w14:textId="458864F8"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r>
      <w:r w:rsidR="00485F39" w:rsidRPr="00603D9B">
        <w:rPr>
          <w:sz w:val="18"/>
        </w:rPr>
        <w:t>The Company</w:t>
      </w:r>
      <w:r w:rsidRPr="00603D9B">
        <w:rPr>
          <w:sz w:val="18"/>
        </w:rPr>
        <w:t xml:space="preserve"> must obtain information from each client that is necessary to manage the client’s account individually</w:t>
      </w:r>
      <w:r w:rsidR="007058A1">
        <w:rPr>
          <w:sz w:val="18"/>
        </w:rPr>
        <w:t xml:space="preserve"> and annually contact the client to determine if there have been changes</w:t>
      </w:r>
      <w:r w:rsidRPr="00603D9B">
        <w:rPr>
          <w:sz w:val="18"/>
        </w:rPr>
        <w:t>;</w:t>
      </w:r>
    </w:p>
    <w:p w14:paraId="64DA31A1" w14:textId="45D66736"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sz w:val="18"/>
        </w:rPr>
        <w:tab/>
        <w:t xml:space="preserve">The designated sponsor (as that term is used in </w:t>
      </w:r>
      <w:r w:rsidR="009A1659" w:rsidRPr="00603D9B">
        <w:rPr>
          <w:sz w:val="18"/>
        </w:rPr>
        <w:t>Advisor</w:t>
      </w:r>
      <w:r w:rsidRPr="00603D9B">
        <w:rPr>
          <w:sz w:val="18"/>
        </w:rPr>
        <w:t xml:space="preserve">s Act </w:t>
      </w:r>
      <w:r w:rsidRPr="00603D9B">
        <w:rPr>
          <w:i/>
          <w:sz w:val="18"/>
        </w:rPr>
        <w:t>Rule 204-3</w:t>
      </w:r>
      <w:r w:rsidRPr="00603D9B">
        <w:rPr>
          <w:sz w:val="18"/>
        </w:rPr>
        <w:t>(f)) and the portfolio manager (if applicable) must be reasonably available to consult with clients;</w:t>
      </w:r>
    </w:p>
    <w:p w14:paraId="21AEE800" w14:textId="78AEA28C"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b/>
          <w:sz w:val="18"/>
        </w:rPr>
        <w:t>.</w:t>
      </w:r>
      <w:r w:rsidRPr="00603D9B">
        <w:rPr>
          <w:sz w:val="18"/>
        </w:rPr>
        <w:tab/>
        <w:t>Each client must have the ability to impose reasonable restrictions on the management of their account;</w:t>
      </w:r>
    </w:p>
    <w:p w14:paraId="4E06FACD" w14:textId="6F626570"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5</w:t>
      </w:r>
      <w:r w:rsidRPr="00603D9B">
        <w:rPr>
          <w:b/>
          <w:sz w:val="18"/>
        </w:rPr>
        <w:fldChar w:fldCharType="end"/>
      </w:r>
      <w:r w:rsidRPr="00603D9B">
        <w:rPr>
          <w:b/>
          <w:sz w:val="18"/>
        </w:rPr>
        <w:t>.</w:t>
      </w:r>
      <w:r w:rsidRPr="00603D9B">
        <w:rPr>
          <w:sz w:val="18"/>
        </w:rPr>
        <w:tab/>
        <w:t>Each client must be provided with a quarterly statement containing a description of all activity in the client’s account;</w:t>
      </w:r>
    </w:p>
    <w:p w14:paraId="7CD06A27" w14:textId="634E8B8F"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6</w:t>
      </w:r>
      <w:r w:rsidRPr="00603D9B">
        <w:rPr>
          <w:b/>
          <w:sz w:val="18"/>
        </w:rPr>
        <w:fldChar w:fldCharType="end"/>
      </w:r>
      <w:r w:rsidRPr="00603D9B">
        <w:rPr>
          <w:b/>
          <w:sz w:val="18"/>
        </w:rPr>
        <w:t>.</w:t>
      </w:r>
      <w:r w:rsidRPr="00603D9B">
        <w:rPr>
          <w:sz w:val="18"/>
        </w:rPr>
        <w:tab/>
        <w:t>Each client must retain the indicia of ownership of all securities and funds in the account;</w:t>
      </w:r>
    </w:p>
    <w:p w14:paraId="628558A5" w14:textId="34B25AF3"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7</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must establish and effect written procedures that are reasonably designed to ensure that each of the conditions specified herein are met;</w:t>
      </w:r>
    </w:p>
    <w:p w14:paraId="30A6A329" w14:textId="7775C3F9" w:rsidR="0075479B" w:rsidRPr="00603D9B" w:rsidRDefault="0075479B" w:rsidP="00B317FD">
      <w:pPr>
        <w:pStyle w:val="Heading3"/>
        <w:spacing w:after="0"/>
        <w:rPr>
          <w:sz w:val="18"/>
        </w:rPr>
      </w:pPr>
      <w:r w:rsidRPr="00603D9B">
        <w:rPr>
          <w:b/>
          <w:sz w:val="18"/>
        </w:rPr>
        <w:lastRenderedPageBreak/>
        <w:fldChar w:fldCharType="begin"/>
      </w:r>
      <w:r w:rsidRPr="00603D9B">
        <w:rPr>
          <w:b/>
          <w:sz w:val="18"/>
        </w:rPr>
        <w:instrText xml:space="preserve"> SEQ Seq1 \n \*Arabic \*MERGEFORMAT </w:instrText>
      </w:r>
      <w:r w:rsidRPr="00603D9B">
        <w:rPr>
          <w:b/>
          <w:sz w:val="18"/>
        </w:rPr>
        <w:fldChar w:fldCharType="separate"/>
      </w:r>
      <w:r w:rsidR="002A078E">
        <w:rPr>
          <w:b/>
          <w:noProof/>
          <w:sz w:val="18"/>
        </w:rPr>
        <w:t>8</w:t>
      </w:r>
      <w:r w:rsidRPr="00603D9B">
        <w:rPr>
          <w:b/>
          <w:sz w:val="18"/>
        </w:rPr>
        <w:fldChar w:fldCharType="end"/>
      </w:r>
      <w:r w:rsidRPr="00603D9B">
        <w:rPr>
          <w:b/>
          <w:sz w:val="18"/>
        </w:rPr>
        <w:t>.</w:t>
      </w:r>
      <w:r w:rsidR="00DA0425" w:rsidRPr="00603D9B">
        <w:rPr>
          <w:sz w:val="18"/>
        </w:rPr>
        <w:tab/>
        <w:t xml:space="preserve">If </w:t>
      </w:r>
      <w:r w:rsidR="00D0091A">
        <w:rPr>
          <w:sz w:val="18"/>
        </w:rPr>
        <w:t>t</w:t>
      </w:r>
      <w:r w:rsidR="00485F39" w:rsidRPr="00603D9B">
        <w:rPr>
          <w:sz w:val="18"/>
        </w:rPr>
        <w:t>he Company</w:t>
      </w:r>
      <w:r w:rsidRPr="00603D9B">
        <w:rPr>
          <w:sz w:val="18"/>
        </w:rPr>
        <w:t xml:space="preserve"> designates a third-party to perform certain o</w:t>
      </w:r>
      <w:r w:rsidR="00DA0425" w:rsidRPr="00603D9B">
        <w:rPr>
          <w:sz w:val="18"/>
        </w:rPr>
        <w:t xml:space="preserve">bligations under the rule, </w:t>
      </w:r>
      <w:r w:rsidR="00D0091A">
        <w:rPr>
          <w:sz w:val="18"/>
        </w:rPr>
        <w:t>t</w:t>
      </w:r>
      <w:r w:rsidR="00485F39" w:rsidRPr="00603D9B">
        <w:rPr>
          <w:sz w:val="18"/>
        </w:rPr>
        <w:t>he Company</w:t>
      </w:r>
      <w:r w:rsidRPr="00603D9B">
        <w:rPr>
          <w:sz w:val="18"/>
        </w:rPr>
        <w:t xml:space="preserve"> must obtain from that third-party a written agreement to perform those obligations;</w:t>
      </w:r>
    </w:p>
    <w:p w14:paraId="03CE20FB" w14:textId="3BAC9DF1"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9</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must maintain and preserve the policies, procedures, agreements and other documents relating to its investment advisory operations; and,</w:t>
      </w:r>
    </w:p>
    <w:p w14:paraId="15D402CB" w14:textId="74E55567" w:rsidR="0075479B" w:rsidRDefault="0075479B" w:rsidP="00D735A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10</w:t>
      </w:r>
      <w:r w:rsidRPr="00603D9B">
        <w:rPr>
          <w:b/>
          <w:sz w:val="18"/>
        </w:rPr>
        <w:fldChar w:fldCharType="end"/>
      </w:r>
      <w:r w:rsidRPr="00603D9B">
        <w:rPr>
          <w:b/>
          <w:sz w:val="18"/>
        </w:rPr>
        <w:t>.</w:t>
      </w:r>
      <w:r w:rsidRPr="00603D9B">
        <w:rPr>
          <w:sz w:val="18"/>
        </w:rPr>
        <w:tab/>
      </w:r>
      <w:r w:rsidR="00485F39" w:rsidRPr="00603D9B">
        <w:rPr>
          <w:sz w:val="18"/>
        </w:rPr>
        <w:t>The Company</w:t>
      </w:r>
      <w:r w:rsidRPr="00603D9B">
        <w:rPr>
          <w:sz w:val="18"/>
        </w:rPr>
        <w:t xml:space="preserve"> must furnish to the </w:t>
      </w:r>
      <w:smartTag w:uri="urn:schemas-microsoft-com:office:smarttags" w:element="stockticker">
        <w:r w:rsidRPr="00603D9B">
          <w:rPr>
            <w:sz w:val="18"/>
          </w:rPr>
          <w:t>SEC</w:t>
        </w:r>
      </w:smartTag>
      <w:r w:rsidRPr="00603D9B">
        <w:rPr>
          <w:sz w:val="18"/>
        </w:rPr>
        <w:t>, upon demand, copies of all specified documents.</w:t>
      </w:r>
    </w:p>
    <w:p w14:paraId="017BF5C6" w14:textId="77777777" w:rsidR="00D735AD" w:rsidRPr="00603D9B" w:rsidRDefault="00D735AD" w:rsidP="00D735AD">
      <w:pPr>
        <w:pStyle w:val="Heading2"/>
        <w:keepNext/>
        <w:ind w:left="1620" w:hanging="450"/>
        <w:rPr>
          <w:sz w:val="18"/>
        </w:rPr>
      </w:pPr>
      <w:r>
        <w:rPr>
          <w:b/>
          <w:sz w:val="18"/>
        </w:rPr>
        <w:t>11</w:t>
      </w:r>
      <w:r w:rsidRPr="00603D9B">
        <w:rPr>
          <w:b/>
          <w:sz w:val="18"/>
        </w:rPr>
        <w:t>.</w:t>
      </w:r>
      <w:r>
        <w:rPr>
          <w:b/>
          <w:sz w:val="18"/>
        </w:rPr>
        <w:t xml:space="preserve">    </w:t>
      </w:r>
      <w:r w:rsidRPr="00603D9B">
        <w:rPr>
          <w:sz w:val="18"/>
        </w:rPr>
        <w:t xml:space="preserve">The Company will include </w:t>
      </w:r>
      <w:r>
        <w:rPr>
          <w:sz w:val="18"/>
        </w:rPr>
        <w:t>a</w:t>
      </w:r>
      <w:r w:rsidRPr="00603D9B">
        <w:rPr>
          <w:sz w:val="18"/>
        </w:rPr>
        <w:t xml:space="preserve"> protective legend on cover letters that accompany all fee invoices that it may prepare and forward to clients.  This protective legend is designed to remind clients to notify </w:t>
      </w:r>
      <w:r>
        <w:rPr>
          <w:sz w:val="18"/>
        </w:rPr>
        <w:t>t</w:t>
      </w:r>
      <w:r w:rsidRPr="00603D9B">
        <w:rPr>
          <w:sz w:val="18"/>
        </w:rPr>
        <w:t xml:space="preserve">he Company in the event of any changes to their financial position or investment objectives:  </w:t>
      </w:r>
    </w:p>
    <w:p w14:paraId="0B90601C" w14:textId="77777777" w:rsidR="0075479B" w:rsidRPr="00603D9B" w:rsidRDefault="00F01999">
      <w:pPr>
        <w:pStyle w:val="Heading2"/>
        <w:keepNext/>
        <w:rPr>
          <w:sz w:val="18"/>
        </w:rPr>
      </w:pPr>
      <w:r>
        <w:rPr>
          <w:b/>
          <w:sz w:val="18"/>
        </w:rPr>
        <w:t>F</w:t>
      </w:r>
      <w:r w:rsidR="0075479B" w:rsidRPr="00603D9B">
        <w:rPr>
          <w:b/>
          <w:sz w:val="18"/>
        </w:rPr>
        <w:t>.</w:t>
      </w:r>
      <w:r w:rsidR="0075479B" w:rsidRPr="00603D9B">
        <w:rPr>
          <w:b/>
          <w:sz w:val="18"/>
        </w:rPr>
        <w:tab/>
        <w:t>Block Trading</w:t>
      </w:r>
      <w:r w:rsidR="0075479B" w:rsidRPr="00603D9B">
        <w:rPr>
          <w:sz w:val="18"/>
        </w:rPr>
        <w:t>.  Block trading (bunching transactions) is permitted where the following conditions are met:</w:t>
      </w:r>
    </w:p>
    <w:p w14:paraId="3CC3C7F9" w14:textId="0F125D22"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 xml:space="preserve">Orders of two or more clients may be bunched only if </w:t>
      </w:r>
      <w:r w:rsidR="00D0091A">
        <w:rPr>
          <w:sz w:val="18"/>
        </w:rPr>
        <w:t>t</w:t>
      </w:r>
      <w:r w:rsidR="00485F39" w:rsidRPr="00603D9B">
        <w:rPr>
          <w:sz w:val="18"/>
        </w:rPr>
        <w:t>he Company</w:t>
      </w:r>
      <w:r w:rsidRPr="00603D9B">
        <w:rPr>
          <w:sz w:val="18"/>
        </w:rPr>
        <w:t xml:space="preserve"> has determined, on an individual basis, that the securities order is:</w:t>
      </w:r>
    </w:p>
    <w:p w14:paraId="3DDB6A78" w14:textId="065DC2FD"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sz w:val="18"/>
        </w:rPr>
        <w:tab/>
        <w:t>in the best interests of each client participating in the order;</w:t>
      </w:r>
    </w:p>
    <w:p w14:paraId="25905902" w14:textId="0D953208"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00DA0425" w:rsidRPr="00603D9B">
        <w:rPr>
          <w:sz w:val="18"/>
        </w:rPr>
        <w:tab/>
        <w:t xml:space="preserve">consistent with </w:t>
      </w:r>
      <w:r w:rsidR="00D0091A">
        <w:rPr>
          <w:sz w:val="18"/>
        </w:rPr>
        <w:t>t</w:t>
      </w:r>
      <w:r w:rsidR="00485F39" w:rsidRPr="00603D9B">
        <w:rPr>
          <w:sz w:val="18"/>
        </w:rPr>
        <w:t>he Company</w:t>
      </w:r>
      <w:r w:rsidRPr="00603D9B">
        <w:rPr>
          <w:sz w:val="18"/>
        </w:rPr>
        <w:t>’s duty to obtain best execution; and</w:t>
      </w:r>
    </w:p>
    <w:p w14:paraId="2DB36C48" w14:textId="02B8C3A8"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4</w:t>
      </w:r>
      <w:r w:rsidRPr="00603D9B">
        <w:rPr>
          <w:b/>
          <w:sz w:val="18"/>
        </w:rPr>
        <w:fldChar w:fldCharType="end"/>
      </w:r>
      <w:r w:rsidRPr="00603D9B">
        <w:rPr>
          <w:b/>
          <w:sz w:val="18"/>
        </w:rPr>
        <w:t>.</w:t>
      </w:r>
      <w:r w:rsidRPr="00603D9B">
        <w:rPr>
          <w:sz w:val="18"/>
        </w:rPr>
        <w:tab/>
        <w:t>consistent with the terms of the investment advisory agreement of each participating client.</w:t>
      </w:r>
    </w:p>
    <w:p w14:paraId="574DD5BB" w14:textId="5AFC3A3C"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5</w:t>
      </w:r>
      <w:r w:rsidRPr="00603D9B">
        <w:rPr>
          <w:b/>
          <w:sz w:val="18"/>
        </w:rPr>
        <w:fldChar w:fldCharType="end"/>
      </w:r>
      <w:r w:rsidRPr="00603D9B">
        <w:rPr>
          <w:b/>
          <w:sz w:val="18"/>
        </w:rPr>
        <w:t>.</w:t>
      </w:r>
      <w:r w:rsidRPr="00603D9B">
        <w:rPr>
          <w:sz w:val="18"/>
        </w:rPr>
        <w:tab/>
        <w:t>Any investment by one client shall not be dependent or contingent upon the willingness or ability of another client to participate in such transaction.</w:t>
      </w:r>
    </w:p>
    <w:p w14:paraId="600D3D06" w14:textId="01F99E2B"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6</w:t>
      </w:r>
      <w:r w:rsidRPr="00603D9B">
        <w:rPr>
          <w:b/>
          <w:sz w:val="18"/>
        </w:rPr>
        <w:fldChar w:fldCharType="end"/>
      </w:r>
      <w:r w:rsidRPr="00603D9B">
        <w:rPr>
          <w:b/>
          <w:sz w:val="18"/>
        </w:rPr>
        <w:t>.</w:t>
      </w:r>
      <w:r w:rsidRPr="00603D9B">
        <w:rPr>
          <w:sz w:val="18"/>
        </w:rPr>
        <w:tab/>
        <w:t>Separate documentation relating to the transaction shall be generated and maintained for each client participating in the bunched trade.</w:t>
      </w:r>
    </w:p>
    <w:p w14:paraId="76EB0411" w14:textId="3EE19A5B"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7</w:t>
      </w:r>
      <w:r w:rsidRPr="00603D9B">
        <w:rPr>
          <w:b/>
          <w:sz w:val="18"/>
        </w:rPr>
        <w:fldChar w:fldCharType="end"/>
      </w:r>
      <w:r w:rsidRPr="00603D9B">
        <w:rPr>
          <w:b/>
          <w:sz w:val="18"/>
        </w:rPr>
        <w:t>.</w:t>
      </w:r>
      <w:r w:rsidRPr="00603D9B">
        <w:rPr>
          <w:sz w:val="18"/>
        </w:rPr>
        <w:tab/>
        <w:t>The terms negotiated for the bunched transaction should apply equally to each participating client.</w:t>
      </w:r>
    </w:p>
    <w:p w14:paraId="3107E7CE" w14:textId="02639C08"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8</w:t>
      </w:r>
      <w:r w:rsidRPr="00603D9B">
        <w:rPr>
          <w:b/>
          <w:sz w:val="18"/>
        </w:rPr>
        <w:fldChar w:fldCharType="end"/>
      </w:r>
      <w:r w:rsidRPr="00603D9B">
        <w:rPr>
          <w:b/>
          <w:sz w:val="18"/>
        </w:rPr>
        <w:t>.</w:t>
      </w:r>
      <w:r w:rsidRPr="00603D9B">
        <w:rPr>
          <w:sz w:val="18"/>
        </w:rPr>
        <w:tab/>
        <w:t>The allocation of securities purchased or sold in a bunched trade m</w:t>
      </w:r>
      <w:r w:rsidR="00DA0425" w:rsidRPr="00603D9B">
        <w:rPr>
          <w:sz w:val="18"/>
        </w:rPr>
        <w:t xml:space="preserve">ust be made in accordance with </w:t>
      </w:r>
      <w:r w:rsidR="00D0091A">
        <w:rPr>
          <w:sz w:val="18"/>
        </w:rPr>
        <w:t>t</w:t>
      </w:r>
      <w:r w:rsidR="00485F39" w:rsidRPr="00603D9B">
        <w:rPr>
          <w:sz w:val="18"/>
        </w:rPr>
        <w:t>he Company</w:t>
      </w:r>
      <w:r w:rsidRPr="00603D9B">
        <w:rPr>
          <w:sz w:val="18"/>
        </w:rPr>
        <w:t>’s allocation procedures.</w:t>
      </w:r>
    </w:p>
    <w:p w14:paraId="17548568" w14:textId="6651E23E"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9</w:t>
      </w:r>
      <w:r w:rsidRPr="00603D9B">
        <w:rPr>
          <w:b/>
          <w:sz w:val="18"/>
        </w:rPr>
        <w:fldChar w:fldCharType="end"/>
      </w:r>
      <w:r w:rsidRPr="00603D9B">
        <w:rPr>
          <w:b/>
          <w:sz w:val="18"/>
        </w:rPr>
        <w:t>.</w:t>
      </w:r>
      <w:r w:rsidRPr="00603D9B">
        <w:rPr>
          <w:sz w:val="18"/>
        </w:rPr>
        <w:tab/>
        <w:t>The price of the securities purchased or sold in a bunched transaction shall be at the average share price for all transactions of the clients in that security, with all transaction costs shared on a pro rata basis.</w:t>
      </w:r>
    </w:p>
    <w:p w14:paraId="208EA9C5" w14:textId="5ED2A4AB" w:rsidR="007547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10</w:t>
      </w:r>
      <w:r w:rsidRPr="00603D9B">
        <w:rPr>
          <w:b/>
          <w:sz w:val="18"/>
        </w:rPr>
        <w:fldChar w:fldCharType="end"/>
      </w:r>
      <w:r w:rsidR="00DA0425" w:rsidRPr="00603D9B">
        <w:rPr>
          <w:sz w:val="18"/>
        </w:rPr>
        <w:t>.</w:t>
      </w:r>
      <w:r w:rsidR="00DA0425" w:rsidRPr="00603D9B">
        <w:rPr>
          <w:sz w:val="18"/>
        </w:rPr>
        <w:tab/>
        <w:t xml:space="preserve">The books and records of </w:t>
      </w:r>
      <w:r w:rsidR="00D0091A">
        <w:rPr>
          <w:sz w:val="18"/>
        </w:rPr>
        <w:t>t</w:t>
      </w:r>
      <w:r w:rsidR="00485F39" w:rsidRPr="00603D9B">
        <w:rPr>
          <w:sz w:val="18"/>
        </w:rPr>
        <w:t>he Company</w:t>
      </w:r>
      <w:r w:rsidRPr="00603D9B">
        <w:rPr>
          <w:sz w:val="18"/>
        </w:rPr>
        <w:t xml:space="preserve"> will separately reflect, for each client for whom an order is bunched, the securities held by, purchased and sold for that client.</w:t>
      </w:r>
    </w:p>
    <w:p w14:paraId="1C13ACE1" w14:textId="77777777" w:rsidR="00B638D4" w:rsidRDefault="00B638D4" w:rsidP="00B638D4"/>
    <w:p w14:paraId="39DC0410" w14:textId="77777777" w:rsidR="00B638D4" w:rsidRPr="00603D9B" w:rsidRDefault="00B638D4" w:rsidP="00B638D4">
      <w:pPr>
        <w:pStyle w:val="Heading2"/>
        <w:rPr>
          <w:sz w:val="18"/>
        </w:rPr>
      </w:pPr>
      <w:r>
        <w:tab/>
      </w:r>
      <w:r>
        <w:tab/>
      </w:r>
      <w:r>
        <w:tab/>
      </w:r>
      <w:r w:rsidRPr="00603D9B">
        <w:rPr>
          <w:b/>
          <w:sz w:val="18"/>
        </w:rPr>
        <w:t>Trade Allocation</w:t>
      </w:r>
      <w:r w:rsidR="00D3078B">
        <w:rPr>
          <w:sz w:val="18"/>
        </w:rPr>
        <w:t>.  The Company will allocate publicly traded</w:t>
      </w:r>
      <w:r w:rsidRPr="00603D9B">
        <w:rPr>
          <w:sz w:val="18"/>
        </w:rPr>
        <w:t xml:space="preserve"> securities, </w:t>
      </w:r>
      <w:r w:rsidR="0006578E">
        <w:rPr>
          <w:sz w:val="18"/>
        </w:rPr>
        <w:t>as well as</w:t>
      </w:r>
      <w:r w:rsidRPr="00603D9B">
        <w:rPr>
          <w:sz w:val="18"/>
        </w:rPr>
        <w:t xml:space="preserve"> IPOs and Private Placements, </w:t>
      </w:r>
      <w:r w:rsidR="00D3078B">
        <w:rPr>
          <w:sz w:val="18"/>
        </w:rPr>
        <w:t xml:space="preserve">without preferential treatment to any specific </w:t>
      </w:r>
      <w:r w:rsidRPr="00603D9B">
        <w:rPr>
          <w:sz w:val="18"/>
        </w:rPr>
        <w:t xml:space="preserve">clients.  This </w:t>
      </w:r>
      <w:r w:rsidR="00D3078B">
        <w:rPr>
          <w:sz w:val="18"/>
        </w:rPr>
        <w:t xml:space="preserve">allocation </w:t>
      </w:r>
      <w:r w:rsidRPr="00603D9B">
        <w:rPr>
          <w:sz w:val="18"/>
        </w:rPr>
        <w:t xml:space="preserve">formula shall provide a fair and equitable basis for allocations and be consistently applied to all clients.  Prior to the allocation of </w:t>
      </w:r>
      <w:r w:rsidRPr="00D3078B">
        <w:rPr>
          <w:sz w:val="18"/>
          <w:u w:val="single"/>
        </w:rPr>
        <w:t>illiquid securities</w:t>
      </w:r>
      <w:r w:rsidRPr="00603D9B">
        <w:rPr>
          <w:sz w:val="18"/>
        </w:rPr>
        <w:t xml:space="preserve"> (i.e. limited partnership units, REIT’s, Private Placements, etc.) by </w:t>
      </w:r>
      <w:r>
        <w:rPr>
          <w:sz w:val="18"/>
        </w:rPr>
        <w:t>t</w:t>
      </w:r>
      <w:r w:rsidRPr="00603D9B">
        <w:rPr>
          <w:sz w:val="18"/>
        </w:rPr>
        <w:t xml:space="preserve">he Company, the CCO will determine if a Client’s investment objectives and suitability requirements qualify the Client for participation in purchasing a specific security, IPO or Private Placement.  If the Client qualifies for participation in the purchase of a specific security, IPO or Private Placement </w:t>
      </w:r>
      <w:r>
        <w:rPr>
          <w:sz w:val="18"/>
        </w:rPr>
        <w:t>t</w:t>
      </w:r>
      <w:r w:rsidRPr="00603D9B">
        <w:rPr>
          <w:sz w:val="18"/>
        </w:rPr>
        <w:t>he Company will allocate a certain percentage of the total allocation to each qualified Client based upon the following formula:</w:t>
      </w:r>
    </w:p>
    <w:p w14:paraId="4894A8DD" w14:textId="40636A2E" w:rsidR="00B638D4" w:rsidRDefault="00B638D4" w:rsidP="00B638D4">
      <w:pPr>
        <w:pStyle w:val="Heading3"/>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Allocation Formula</w:t>
      </w:r>
      <w:r w:rsidR="00D3078B">
        <w:rPr>
          <w:b/>
          <w:sz w:val="18"/>
        </w:rPr>
        <w:t xml:space="preserve"> for Illiquid Securities</w:t>
      </w:r>
      <w:r w:rsidRPr="00603D9B">
        <w:rPr>
          <w:sz w:val="18"/>
        </w:rPr>
        <w:t xml:space="preserve">.  The formula is based upon dividing the total shares allocated to </w:t>
      </w:r>
      <w:r>
        <w:rPr>
          <w:sz w:val="18"/>
        </w:rPr>
        <w:t>t</w:t>
      </w:r>
      <w:r w:rsidRPr="00603D9B">
        <w:rPr>
          <w:sz w:val="18"/>
        </w:rPr>
        <w:t xml:space="preserve">he Company by the total number of qualified Client’s and their assets under management.  For example, if the total allocation to </w:t>
      </w:r>
      <w:r>
        <w:rPr>
          <w:sz w:val="18"/>
        </w:rPr>
        <w:t>t</w:t>
      </w:r>
      <w:r w:rsidRPr="00603D9B">
        <w:rPr>
          <w:sz w:val="18"/>
        </w:rPr>
        <w:t xml:space="preserve">he Company is 1,000,000 shares and </w:t>
      </w:r>
      <w:r>
        <w:rPr>
          <w:sz w:val="18"/>
        </w:rPr>
        <w:t>t</w:t>
      </w:r>
      <w:r w:rsidRPr="00603D9B">
        <w:rPr>
          <w:sz w:val="18"/>
        </w:rPr>
        <w:t xml:space="preserve">he Company has ten (10) Clients that qualify for a percentage of the allocation and each Client has a total of $1,000,000 under management with </w:t>
      </w:r>
      <w:r>
        <w:rPr>
          <w:sz w:val="18"/>
        </w:rPr>
        <w:t>t</w:t>
      </w:r>
      <w:r w:rsidRPr="00603D9B">
        <w:rPr>
          <w:sz w:val="18"/>
        </w:rPr>
        <w:t xml:space="preserve">he Company, each Client will receive an allocation of 100,000 shares.  </w:t>
      </w:r>
    </w:p>
    <w:p w14:paraId="0A1EF1F7" w14:textId="77777777" w:rsidR="00BA2962" w:rsidRPr="00BA2962" w:rsidRDefault="00D3078B" w:rsidP="00BA2962">
      <w:pPr>
        <w:pStyle w:val="Heading3"/>
        <w:rPr>
          <w:sz w:val="18"/>
          <w:szCs w:val="18"/>
        </w:rPr>
      </w:pPr>
      <w:r w:rsidRPr="007732D3">
        <w:rPr>
          <w:b/>
          <w:noProof/>
          <w:sz w:val="18"/>
          <w:szCs w:val="18"/>
        </w:rPr>
        <w:lastRenderedPageBreak/>
        <w:t>2</w:t>
      </w:r>
      <w:r w:rsidRPr="007732D3">
        <w:rPr>
          <w:sz w:val="18"/>
          <w:szCs w:val="18"/>
        </w:rPr>
        <w:t xml:space="preserve">.   </w:t>
      </w:r>
      <w:r w:rsidRPr="007732D3">
        <w:rPr>
          <w:b/>
          <w:sz w:val="18"/>
          <w:szCs w:val="18"/>
        </w:rPr>
        <w:t>Allocation Formula for publicly traded securities</w:t>
      </w:r>
      <w:r w:rsidRPr="00D3078B">
        <w:rPr>
          <w:b/>
        </w:rPr>
        <w:t xml:space="preserve"> – </w:t>
      </w:r>
      <w:r w:rsidR="00BA2962" w:rsidRPr="00BA2962">
        <w:rPr>
          <w:sz w:val="18"/>
          <w:szCs w:val="18"/>
        </w:rPr>
        <w:t xml:space="preserve">Publicly traded securities that are purchased or sold as part of a block trade may not always result in a completed order (i.e. particularly when using limit orders).  In the event of a partial fill of publicly traded securities, the shares may be allocated on a prorated basis amongst all clients originally intended to purchase or sell such securities as part of the block transaction.  Alternatively, shares may be allocated by starting with the client that has the lowest numeric account number and providing full quantity allocations until the shares have been fully allocated. </w:t>
      </w:r>
      <w:r w:rsidR="00871B91">
        <w:rPr>
          <w:sz w:val="18"/>
          <w:szCs w:val="18"/>
        </w:rPr>
        <w:t xml:space="preserve">Additionally, for IAR’s with multiple representative codes, it is acceptable to allocate shares to the clients within one specific representative code (low account number to highest) and then go to the next client list for the following representative code for allocation (again, beginning with lowest account number to the highest) </w:t>
      </w:r>
      <w:r w:rsidR="00BA2962" w:rsidRPr="00BA2962">
        <w:rPr>
          <w:sz w:val="18"/>
          <w:szCs w:val="18"/>
        </w:rPr>
        <w:t xml:space="preserve"> Using the alternative allocation method may favor or advantage clients with lower account numbers</w:t>
      </w:r>
      <w:r w:rsidR="00907E58">
        <w:rPr>
          <w:sz w:val="18"/>
          <w:szCs w:val="18"/>
        </w:rPr>
        <w:t xml:space="preserve"> and could disadvantage those in higher account number ranges or the representative number that is not considered primary for the allocation</w:t>
      </w:r>
      <w:r w:rsidR="00BA2962" w:rsidRPr="00BA2962">
        <w:rPr>
          <w:sz w:val="18"/>
          <w:szCs w:val="18"/>
        </w:rPr>
        <w:t>.</w:t>
      </w:r>
    </w:p>
    <w:p w14:paraId="603555BD" w14:textId="77777777" w:rsidR="00BA2962" w:rsidRPr="00BA2962" w:rsidRDefault="00BA2962" w:rsidP="00BA2962">
      <w:pPr>
        <w:pStyle w:val="Heading3"/>
        <w:ind w:firstLine="0"/>
        <w:rPr>
          <w:sz w:val="18"/>
          <w:szCs w:val="18"/>
        </w:rPr>
      </w:pPr>
      <w:r w:rsidRPr="00BA2962">
        <w:rPr>
          <w:sz w:val="18"/>
          <w:szCs w:val="18"/>
        </w:rPr>
        <w:t>(For example, if the original order intended to purchase 20,000 shares and 10,000 shares fill  - if there were 10 clients involved, the investment advisor representative may allocate 1,000 shares to each client, or, if the original intent was to purchase 2,000 for each client, the IAR may choose to allot 2,000 to the first five client accounts, beginning with the lowest numerical account number.)</w:t>
      </w:r>
    </w:p>
    <w:p w14:paraId="792718A9" w14:textId="77777777" w:rsidR="00871B91" w:rsidRDefault="0006578E" w:rsidP="00871B91">
      <w:pPr>
        <w:pStyle w:val="Heading3"/>
        <w:rPr>
          <w:sz w:val="18"/>
          <w:szCs w:val="18"/>
        </w:rPr>
      </w:pPr>
      <w:r>
        <w:rPr>
          <w:b/>
          <w:sz w:val="18"/>
          <w:szCs w:val="18"/>
        </w:rPr>
        <w:tab/>
      </w:r>
      <w:r w:rsidRPr="0006578E">
        <w:rPr>
          <w:sz w:val="18"/>
          <w:szCs w:val="18"/>
        </w:rPr>
        <w:t>IARs that enter block orders must provide an allocation worksheet on the day of the transaction.  The allocation worksheet should separately denote if a partial fill occurred</w:t>
      </w:r>
      <w:r w:rsidR="00871B91">
        <w:rPr>
          <w:sz w:val="18"/>
          <w:szCs w:val="18"/>
        </w:rPr>
        <w:t xml:space="preserve">.  </w:t>
      </w:r>
    </w:p>
    <w:p w14:paraId="6BEA05E6" w14:textId="77777777" w:rsidR="00B65312" w:rsidRDefault="002B02A0" w:rsidP="00871B91">
      <w:pPr>
        <w:pStyle w:val="Heading3"/>
        <w:rPr>
          <w:sz w:val="18"/>
        </w:rPr>
      </w:pPr>
      <w:r w:rsidRPr="00603D9B">
        <w:rPr>
          <w:b/>
          <w:sz w:val="18"/>
        </w:rPr>
        <w:t>FINRA</w:t>
      </w:r>
      <w:r w:rsidR="0075479B" w:rsidRPr="00603D9B">
        <w:rPr>
          <w:b/>
          <w:sz w:val="18"/>
        </w:rPr>
        <w:t xml:space="preserve"> Hot Issue Restrictions</w:t>
      </w:r>
      <w:r w:rsidR="0075479B" w:rsidRPr="00603D9B">
        <w:rPr>
          <w:sz w:val="18"/>
        </w:rPr>
        <w:t xml:space="preserve">.  Employees/Independent Contractors and IAR’s of </w:t>
      </w:r>
      <w:r w:rsidR="00D0091A">
        <w:rPr>
          <w:sz w:val="18"/>
        </w:rPr>
        <w:t>t</w:t>
      </w:r>
      <w:r w:rsidR="00485F39" w:rsidRPr="00603D9B">
        <w:rPr>
          <w:sz w:val="18"/>
        </w:rPr>
        <w:t>he Company</w:t>
      </w:r>
      <w:r w:rsidR="0075479B" w:rsidRPr="00603D9B">
        <w:rPr>
          <w:sz w:val="18"/>
        </w:rPr>
        <w:t xml:space="preserve"> who are also</w:t>
      </w:r>
      <w:r w:rsidR="00DA0425" w:rsidRPr="00603D9B">
        <w:rPr>
          <w:sz w:val="18"/>
        </w:rPr>
        <w:t xml:space="preserve"> registered representatives of </w:t>
      </w:r>
      <w:r w:rsidR="00D0091A">
        <w:rPr>
          <w:sz w:val="18"/>
        </w:rPr>
        <w:t>t</w:t>
      </w:r>
      <w:r w:rsidR="00485F39" w:rsidRPr="00603D9B">
        <w:rPr>
          <w:sz w:val="18"/>
        </w:rPr>
        <w:t>he Company</w:t>
      </w:r>
      <w:r w:rsidR="00DA0425" w:rsidRPr="00603D9B">
        <w:rPr>
          <w:sz w:val="18"/>
        </w:rPr>
        <w:t>’s</w:t>
      </w:r>
      <w:r w:rsidR="0075479B" w:rsidRPr="00603D9B">
        <w:rPr>
          <w:sz w:val="18"/>
        </w:rPr>
        <w:t xml:space="preserve"> broker/dealer are required to comply with </w:t>
      </w:r>
      <w:r w:rsidRPr="00603D9B">
        <w:rPr>
          <w:sz w:val="18"/>
        </w:rPr>
        <w:t>FINRA</w:t>
      </w:r>
      <w:r w:rsidR="0075479B" w:rsidRPr="00603D9B">
        <w:rPr>
          <w:sz w:val="18"/>
        </w:rPr>
        <w:t xml:space="preserve"> Hot Issue Restrictions (also called “Free Riding” and “Withholding” rules).  These restrictions prohibit those individuals from selling shares of a hot issue to affiliates, related persons, or senior officers of financial institutions.  </w:t>
      </w:r>
    </w:p>
    <w:p w14:paraId="0BF14829" w14:textId="77777777" w:rsidR="0075479B" w:rsidRPr="00603D9B" w:rsidRDefault="0075479B" w:rsidP="00B65312">
      <w:pPr>
        <w:pStyle w:val="Heading2"/>
        <w:ind w:left="1260" w:firstLine="0"/>
        <w:rPr>
          <w:sz w:val="18"/>
        </w:rPr>
      </w:pPr>
      <w:r w:rsidRPr="00603D9B">
        <w:rPr>
          <w:sz w:val="18"/>
        </w:rPr>
        <w:t>The h</w:t>
      </w:r>
      <w:r w:rsidR="00DA0425" w:rsidRPr="00603D9B">
        <w:rPr>
          <w:sz w:val="18"/>
        </w:rPr>
        <w:t xml:space="preserve">ot issue restrictions apply to </w:t>
      </w:r>
      <w:r w:rsidR="00D0091A">
        <w:rPr>
          <w:sz w:val="18"/>
        </w:rPr>
        <w:t>t</w:t>
      </w:r>
      <w:r w:rsidR="00485F39" w:rsidRPr="00603D9B">
        <w:rPr>
          <w:sz w:val="18"/>
        </w:rPr>
        <w:t>he Company</w:t>
      </w:r>
      <w:r w:rsidRPr="00603D9B">
        <w:rPr>
          <w:sz w:val="18"/>
        </w:rPr>
        <w:t>’s senior officers and associated persons who have a beneficial interest in any client account.</w:t>
      </w:r>
    </w:p>
    <w:p w14:paraId="426A0D42" w14:textId="77777777" w:rsidR="0075479B" w:rsidRPr="00603D9B" w:rsidRDefault="00F01999">
      <w:pPr>
        <w:pStyle w:val="Heading2"/>
        <w:keepNext/>
        <w:rPr>
          <w:sz w:val="18"/>
        </w:rPr>
      </w:pPr>
      <w:r>
        <w:rPr>
          <w:b/>
          <w:sz w:val="18"/>
        </w:rPr>
        <w:t>H</w:t>
      </w:r>
      <w:r w:rsidR="0075479B" w:rsidRPr="00603D9B">
        <w:rPr>
          <w:b/>
          <w:sz w:val="18"/>
        </w:rPr>
        <w:t>.</w:t>
      </w:r>
      <w:r w:rsidR="0075479B" w:rsidRPr="00603D9B">
        <w:rPr>
          <w:b/>
          <w:sz w:val="18"/>
        </w:rPr>
        <w:tab/>
        <w:t>Best Execution</w:t>
      </w:r>
      <w:r w:rsidR="0075479B" w:rsidRPr="00603D9B">
        <w:rPr>
          <w:sz w:val="18"/>
        </w:rPr>
        <w:t xml:space="preserve">.  It is </w:t>
      </w:r>
      <w:r w:rsidR="00D0091A">
        <w:rPr>
          <w:sz w:val="18"/>
        </w:rPr>
        <w:t>t</w:t>
      </w:r>
      <w:r w:rsidR="00485F39" w:rsidRPr="00603D9B">
        <w:rPr>
          <w:sz w:val="18"/>
        </w:rPr>
        <w:t xml:space="preserve">he </w:t>
      </w:r>
      <w:r w:rsidR="003322F8">
        <w:rPr>
          <w:sz w:val="18"/>
        </w:rPr>
        <w:t xml:space="preserve">duty of the </w:t>
      </w:r>
      <w:r w:rsidR="00485F39" w:rsidRPr="00603D9B">
        <w:rPr>
          <w:sz w:val="18"/>
        </w:rPr>
        <w:t>Company</w:t>
      </w:r>
      <w:r w:rsidR="0075479B" w:rsidRPr="00603D9B">
        <w:rPr>
          <w:sz w:val="18"/>
        </w:rPr>
        <w:t xml:space="preserve"> to </w:t>
      </w:r>
      <w:r w:rsidR="003322F8">
        <w:rPr>
          <w:sz w:val="18"/>
        </w:rPr>
        <w:t>seek</w:t>
      </w:r>
      <w:r w:rsidR="0075479B" w:rsidRPr="00603D9B">
        <w:rPr>
          <w:sz w:val="18"/>
        </w:rPr>
        <w:t xml:space="preserve"> best execution </w:t>
      </w:r>
      <w:r w:rsidR="003322F8">
        <w:rPr>
          <w:sz w:val="18"/>
        </w:rPr>
        <w:t>on securities transactions.</w:t>
      </w:r>
      <w:r w:rsidR="0009490E">
        <w:rPr>
          <w:sz w:val="18"/>
        </w:rPr>
        <w:t xml:space="preserve">  This means that we must seek to execute client trades at the best net price, considering all relevant circumstances.  In order to obtain better services (better access, timely execution, expertise, better error record), it may be acceptable to pay up for better execution.</w:t>
      </w:r>
    </w:p>
    <w:p w14:paraId="798B77F0" w14:textId="77777777" w:rsidR="0075479B" w:rsidRDefault="0009490E" w:rsidP="0009490E">
      <w:pPr>
        <w:pStyle w:val="Heading4"/>
        <w:spacing w:after="0"/>
        <w:ind w:left="1260" w:firstLine="0"/>
        <w:rPr>
          <w:sz w:val="18"/>
        </w:rPr>
      </w:pPr>
      <w:r>
        <w:rPr>
          <w:sz w:val="18"/>
        </w:rPr>
        <w:t>T</w:t>
      </w:r>
      <w:r w:rsidR="0075479B" w:rsidRPr="00603D9B">
        <w:rPr>
          <w:sz w:val="18"/>
        </w:rPr>
        <w:t xml:space="preserve">he CCO will monitor and evaluate broker-dealer execution performance by </w:t>
      </w:r>
      <w:r w:rsidR="00D0091A">
        <w:rPr>
          <w:sz w:val="18"/>
        </w:rPr>
        <w:t>periodic review of our</w:t>
      </w:r>
      <w:r w:rsidR="0063516D" w:rsidRPr="00603D9B">
        <w:rPr>
          <w:sz w:val="18"/>
        </w:rPr>
        <w:t xml:space="preserve"> </w:t>
      </w:r>
      <w:r>
        <w:rPr>
          <w:sz w:val="18"/>
        </w:rPr>
        <w:t xml:space="preserve">executing </w:t>
      </w:r>
      <w:r w:rsidR="001E2BBC" w:rsidRPr="00603D9B">
        <w:rPr>
          <w:sz w:val="18"/>
        </w:rPr>
        <w:t xml:space="preserve">broker-dealer </w:t>
      </w:r>
      <w:smartTag w:uri="urn:schemas-microsoft-com:office:smarttags" w:element="stockticker">
        <w:r w:rsidR="001E2BBC" w:rsidRPr="00603D9B">
          <w:rPr>
            <w:sz w:val="18"/>
          </w:rPr>
          <w:t>SEC</w:t>
        </w:r>
      </w:smartTag>
      <w:r w:rsidR="001E2BBC" w:rsidRPr="00603D9B">
        <w:rPr>
          <w:sz w:val="18"/>
        </w:rPr>
        <w:t xml:space="preserve"> Rule 11Ac1-6 reports</w:t>
      </w:r>
      <w:r w:rsidR="0075479B" w:rsidRPr="00603D9B">
        <w:rPr>
          <w:sz w:val="18"/>
        </w:rPr>
        <w:t xml:space="preserve">.  When </w:t>
      </w:r>
      <w:r w:rsidR="00A0218D" w:rsidRPr="00603D9B">
        <w:rPr>
          <w:sz w:val="18"/>
        </w:rPr>
        <w:t>a client chooses to use an</w:t>
      </w:r>
      <w:r w:rsidR="0075479B" w:rsidRPr="00603D9B">
        <w:rPr>
          <w:sz w:val="18"/>
        </w:rPr>
        <w:t xml:space="preserve"> unaffiliated broker-dealer the firm</w:t>
      </w:r>
      <w:r w:rsidR="001E2BBC" w:rsidRPr="00603D9B">
        <w:rPr>
          <w:sz w:val="18"/>
        </w:rPr>
        <w:t xml:space="preserve"> will not take responsibility for client to receive best execution from such unaffiliated broker-dealer.</w:t>
      </w:r>
      <w:r w:rsidR="0075479B" w:rsidRPr="00603D9B">
        <w:rPr>
          <w:sz w:val="18"/>
        </w:rPr>
        <w:t xml:space="preserve">  The CCO will periodically compare the Rule 5 (</w:t>
      </w:r>
      <w:smartTag w:uri="urn:schemas-microsoft-com:office:smarttags" w:element="stockticker">
        <w:r w:rsidR="0075479B" w:rsidRPr="00603D9B">
          <w:rPr>
            <w:sz w:val="18"/>
          </w:rPr>
          <w:t>SEC</w:t>
        </w:r>
      </w:smartTag>
      <w:r w:rsidR="0075479B" w:rsidRPr="00603D9B">
        <w:rPr>
          <w:sz w:val="18"/>
        </w:rPr>
        <w:t xml:space="preserve"> Rule 11Ac1-5) reports of the market centers that the executing broker-dealer uses with Rule 5 reports of market centers not used by the executing broker-dealer.  </w:t>
      </w:r>
    </w:p>
    <w:p w14:paraId="76851FA8" w14:textId="77777777" w:rsidR="0009490E" w:rsidRPr="0009490E" w:rsidRDefault="0009490E" w:rsidP="0009490E"/>
    <w:p w14:paraId="6C1C5867" w14:textId="77777777" w:rsidR="0009490E" w:rsidRDefault="0009490E" w:rsidP="0009490E">
      <w:pPr>
        <w:spacing w:line="360" w:lineRule="auto"/>
        <w:ind w:left="1252" w:hanging="446"/>
        <w:rPr>
          <w:sz w:val="18"/>
          <w:szCs w:val="18"/>
        </w:rPr>
      </w:pPr>
      <w:r>
        <w:lastRenderedPageBreak/>
        <w:tab/>
      </w:r>
      <w:r w:rsidRPr="0009490E">
        <w:rPr>
          <w:sz w:val="18"/>
          <w:szCs w:val="18"/>
        </w:rPr>
        <w:t>Additional analysis may include review of ability to handle trades and answer calls in volatile markets, research for the benefit of the client, willingness, ability, facilities, infrastructure to work with RIA’s, and trading errors and ability to correct (based on historical experience).</w:t>
      </w:r>
    </w:p>
    <w:p w14:paraId="167868AC" w14:textId="77777777" w:rsidR="008A5C6B" w:rsidRDefault="008A5C6B" w:rsidP="0009490E">
      <w:pPr>
        <w:spacing w:line="360" w:lineRule="auto"/>
        <w:ind w:left="1252" w:hanging="446"/>
        <w:rPr>
          <w:sz w:val="18"/>
          <w:szCs w:val="18"/>
        </w:rPr>
      </w:pPr>
    </w:p>
    <w:p w14:paraId="24544EB3" w14:textId="77777777" w:rsidR="008A5C6B" w:rsidRDefault="008A5C6B" w:rsidP="0009490E">
      <w:pPr>
        <w:spacing w:line="360" w:lineRule="auto"/>
        <w:ind w:left="1252" w:hanging="446"/>
        <w:rPr>
          <w:sz w:val="18"/>
          <w:szCs w:val="18"/>
        </w:rPr>
      </w:pPr>
      <w:r>
        <w:rPr>
          <w:sz w:val="18"/>
          <w:szCs w:val="18"/>
        </w:rPr>
        <w:tab/>
        <w:t>As it pertains to best execution related to mutual fund share</w:t>
      </w:r>
      <w:r w:rsidR="00181331">
        <w:rPr>
          <w:sz w:val="18"/>
          <w:szCs w:val="18"/>
        </w:rPr>
        <w:t xml:space="preserve"> classes</w:t>
      </w:r>
      <w:r>
        <w:rPr>
          <w:sz w:val="18"/>
          <w:szCs w:val="18"/>
        </w:rPr>
        <w:t xml:space="preserve">, the Company strives to provide access to the </w:t>
      </w:r>
      <w:r w:rsidR="00181331">
        <w:rPr>
          <w:sz w:val="18"/>
          <w:szCs w:val="18"/>
        </w:rPr>
        <w:t xml:space="preserve">lower priced </w:t>
      </w:r>
      <w:r>
        <w:rPr>
          <w:sz w:val="18"/>
          <w:szCs w:val="18"/>
        </w:rPr>
        <w:t>institutional share classes of most mutual funds where available.  The Company</w:t>
      </w:r>
      <w:r w:rsidR="00181331">
        <w:rPr>
          <w:sz w:val="18"/>
          <w:szCs w:val="18"/>
        </w:rPr>
        <w:t>, however,</w:t>
      </w:r>
      <w:r>
        <w:rPr>
          <w:sz w:val="18"/>
          <w:szCs w:val="18"/>
        </w:rPr>
        <w:t xml:space="preserve"> </w:t>
      </w:r>
      <w:r w:rsidR="00181331">
        <w:rPr>
          <w:sz w:val="18"/>
          <w:szCs w:val="18"/>
        </w:rPr>
        <w:t xml:space="preserve">does not prohibit the purchase of or transfer in of higher cost share classes (purchased previously) when appropriate disclosure has been provided to the client.  There should be very little utilization of fund shares that are not the institutional class, or that carry a 12b-1 fee, particularly where a lower cost share is available.  </w:t>
      </w:r>
    </w:p>
    <w:p w14:paraId="515BF60E" w14:textId="77777777" w:rsidR="00F11E85" w:rsidRDefault="00F11E85" w:rsidP="0009490E">
      <w:pPr>
        <w:spacing w:line="360" w:lineRule="auto"/>
        <w:ind w:left="1252" w:hanging="446"/>
        <w:rPr>
          <w:sz w:val="18"/>
          <w:szCs w:val="18"/>
        </w:rPr>
      </w:pPr>
    </w:p>
    <w:p w14:paraId="4FFB466F" w14:textId="77777777" w:rsidR="00F11E85" w:rsidRDefault="00C110FA" w:rsidP="00C110FA">
      <w:pPr>
        <w:numPr>
          <w:ilvl w:val="0"/>
          <w:numId w:val="33"/>
        </w:numPr>
        <w:spacing w:line="360" w:lineRule="auto"/>
        <w:ind w:left="1260" w:hanging="540"/>
        <w:rPr>
          <w:sz w:val="18"/>
          <w:szCs w:val="18"/>
        </w:rPr>
      </w:pPr>
      <w:r>
        <w:rPr>
          <w:b/>
          <w:sz w:val="18"/>
          <w:szCs w:val="18"/>
        </w:rPr>
        <w:t xml:space="preserve">        </w:t>
      </w:r>
      <w:r w:rsidR="00F11E85" w:rsidRPr="00F11E85">
        <w:rPr>
          <w:b/>
          <w:sz w:val="18"/>
          <w:szCs w:val="18"/>
        </w:rPr>
        <w:t>Soft Dollars.</w:t>
      </w:r>
      <w:r w:rsidR="00F11E85">
        <w:rPr>
          <w:b/>
          <w:sz w:val="18"/>
          <w:szCs w:val="18"/>
        </w:rPr>
        <w:t xml:space="preserve">  </w:t>
      </w:r>
      <w:r w:rsidR="00F11E85" w:rsidRPr="00F11E85">
        <w:rPr>
          <w:sz w:val="18"/>
          <w:szCs w:val="18"/>
        </w:rPr>
        <w:t>The Company</w:t>
      </w:r>
      <w:r w:rsidR="00F11E85">
        <w:rPr>
          <w:sz w:val="18"/>
          <w:szCs w:val="18"/>
        </w:rPr>
        <w:t xml:space="preserve"> must make a good faith determination that commissions paid are reasonable in relation to the value of the products and services provided in connection with accounts in which we exercise discretionary authority.  </w:t>
      </w:r>
    </w:p>
    <w:p w14:paraId="75C9F7DF" w14:textId="77777777" w:rsidR="00C110FA" w:rsidRDefault="00C110FA" w:rsidP="00C110FA">
      <w:pPr>
        <w:spacing w:line="360" w:lineRule="auto"/>
        <w:ind w:left="1260"/>
        <w:rPr>
          <w:b/>
          <w:sz w:val="18"/>
          <w:szCs w:val="18"/>
        </w:rPr>
      </w:pPr>
    </w:p>
    <w:p w14:paraId="60372743" w14:textId="77777777" w:rsidR="00C110FA" w:rsidRDefault="00C110FA" w:rsidP="00C110FA">
      <w:pPr>
        <w:spacing w:line="360" w:lineRule="auto"/>
        <w:ind w:left="1260"/>
        <w:rPr>
          <w:sz w:val="18"/>
          <w:szCs w:val="18"/>
        </w:rPr>
      </w:pPr>
      <w:r w:rsidRPr="00C110FA">
        <w:rPr>
          <w:sz w:val="18"/>
          <w:szCs w:val="18"/>
        </w:rPr>
        <w:t xml:space="preserve">Soft dollars </w:t>
      </w:r>
      <w:r w:rsidR="00181331" w:rsidRPr="00C110FA">
        <w:rPr>
          <w:sz w:val="18"/>
          <w:szCs w:val="18"/>
        </w:rPr>
        <w:t>mean</w:t>
      </w:r>
      <w:r w:rsidRPr="00C110FA">
        <w:rPr>
          <w:sz w:val="18"/>
          <w:szCs w:val="18"/>
        </w:rPr>
        <w:t xml:space="preserve"> products and services – anything other than a trade execution – provided </w:t>
      </w:r>
      <w:r>
        <w:rPr>
          <w:sz w:val="18"/>
          <w:szCs w:val="18"/>
        </w:rPr>
        <w:t xml:space="preserve">by a broker/dealer in exchange for commissions paid by a client.  Soft dollars </w:t>
      </w:r>
      <w:r w:rsidR="00181331">
        <w:rPr>
          <w:sz w:val="18"/>
          <w:szCs w:val="18"/>
        </w:rPr>
        <w:t>are</w:t>
      </w:r>
      <w:r>
        <w:rPr>
          <w:sz w:val="18"/>
          <w:szCs w:val="18"/>
        </w:rPr>
        <w:t xml:space="preserve"> a rebate of client commissions to the advisor in the form of goods and services.  When advisors use client commission dollars to obtain research they would otherwise have to buy with their own “hard” dollars, advisors receive a benefit and may therefore be considered to have breached their fiduciary duty to spend client assets only for the client’s benefit.  Section 28(e) of the Securities Exchange Act of 1934 protects an advisor’s decision to cause a client to pay more than the lowest available commission if the advisor determines in good faith that the commission paid was “reasonable in relation to the value of the brokerage and research services provided.”</w:t>
      </w:r>
    </w:p>
    <w:p w14:paraId="3EEA1BEB" w14:textId="77777777" w:rsidR="00C110FA" w:rsidRDefault="00C110FA" w:rsidP="00C110FA">
      <w:pPr>
        <w:spacing w:line="360" w:lineRule="auto"/>
        <w:ind w:left="1260"/>
        <w:rPr>
          <w:sz w:val="18"/>
          <w:szCs w:val="18"/>
        </w:rPr>
      </w:pPr>
    </w:p>
    <w:p w14:paraId="363DD366" w14:textId="77777777" w:rsidR="00C110FA" w:rsidRDefault="00C110FA" w:rsidP="00C110FA">
      <w:pPr>
        <w:spacing w:line="360" w:lineRule="auto"/>
        <w:ind w:left="1260"/>
        <w:rPr>
          <w:sz w:val="18"/>
          <w:szCs w:val="18"/>
        </w:rPr>
      </w:pPr>
      <w:r>
        <w:rPr>
          <w:sz w:val="18"/>
          <w:szCs w:val="18"/>
        </w:rPr>
        <w:t xml:space="preserve">Research can be considered in best execution if such research is received within the safe harbor under Section 28(e).  The Company may receive research related soft dollars </w:t>
      </w:r>
      <w:r w:rsidR="00181331">
        <w:rPr>
          <w:sz w:val="18"/>
          <w:szCs w:val="18"/>
        </w:rPr>
        <w:t>to</w:t>
      </w:r>
      <w:r>
        <w:rPr>
          <w:sz w:val="18"/>
          <w:szCs w:val="18"/>
        </w:rPr>
        <w:t xml:space="preserve"> assist the Company and/or its IAR’s with the performance of our investment decision-making responsibilities.  Products or services that do not </w:t>
      </w:r>
      <w:r w:rsidR="00181331">
        <w:rPr>
          <w:sz w:val="18"/>
          <w:szCs w:val="18"/>
        </w:rPr>
        <w:t>aid</w:t>
      </w:r>
      <w:r>
        <w:rPr>
          <w:sz w:val="18"/>
          <w:szCs w:val="18"/>
        </w:rPr>
        <w:t xml:space="preserve"> the Company and/or its IAR’s in the investment decision-making process are not within the safe harbor.</w:t>
      </w:r>
    </w:p>
    <w:p w14:paraId="7CE3BF66" w14:textId="77777777" w:rsidR="00C110FA" w:rsidRDefault="00C110FA" w:rsidP="00C110FA">
      <w:pPr>
        <w:spacing w:line="360" w:lineRule="auto"/>
        <w:ind w:left="1260"/>
        <w:rPr>
          <w:sz w:val="18"/>
          <w:szCs w:val="18"/>
        </w:rPr>
      </w:pPr>
    </w:p>
    <w:p w14:paraId="4832B9F8" w14:textId="77777777" w:rsidR="00C110FA" w:rsidRDefault="00C110FA" w:rsidP="00C110FA">
      <w:pPr>
        <w:spacing w:line="360" w:lineRule="auto"/>
        <w:ind w:left="1260"/>
        <w:rPr>
          <w:sz w:val="18"/>
          <w:szCs w:val="18"/>
        </w:rPr>
      </w:pPr>
      <w:r>
        <w:rPr>
          <w:sz w:val="18"/>
          <w:szCs w:val="18"/>
        </w:rPr>
        <w:t>The Company will disclose all soft dollar practices in Form ADV, whether within the safe harbor or not.  If any soft dollar products or services are received outside the safe harbor, disclosure will describe these products and services so that clients will be aware of any potential conflicts of interest.</w:t>
      </w:r>
    </w:p>
    <w:p w14:paraId="5D153A21" w14:textId="77777777" w:rsidR="002A4912" w:rsidRDefault="002A4912" w:rsidP="002A4912">
      <w:pPr>
        <w:spacing w:line="360" w:lineRule="auto"/>
        <w:rPr>
          <w:sz w:val="18"/>
          <w:szCs w:val="18"/>
        </w:rPr>
      </w:pPr>
    </w:p>
    <w:p w14:paraId="1263F86E" w14:textId="77777777" w:rsidR="002A4912" w:rsidRDefault="002A4912" w:rsidP="002A4912">
      <w:pPr>
        <w:spacing w:line="360" w:lineRule="auto"/>
        <w:rPr>
          <w:sz w:val="18"/>
          <w:szCs w:val="18"/>
        </w:rPr>
      </w:pPr>
    </w:p>
    <w:p w14:paraId="203E51C7" w14:textId="77777777" w:rsidR="002A4912" w:rsidRDefault="002A4912" w:rsidP="002A4912">
      <w:pPr>
        <w:spacing w:line="360" w:lineRule="auto"/>
        <w:ind w:left="1260" w:hanging="396"/>
        <w:rPr>
          <w:sz w:val="18"/>
          <w:szCs w:val="18"/>
        </w:rPr>
      </w:pPr>
      <w:r w:rsidRPr="002A4912">
        <w:rPr>
          <w:b/>
          <w:sz w:val="18"/>
          <w:szCs w:val="18"/>
        </w:rPr>
        <w:t xml:space="preserve">J.  </w:t>
      </w:r>
      <w:r w:rsidRPr="002A4912">
        <w:rPr>
          <w:b/>
          <w:sz w:val="18"/>
          <w:szCs w:val="18"/>
        </w:rPr>
        <w:tab/>
        <w:t>Pay to Play – Political Contributions</w:t>
      </w:r>
      <w:r>
        <w:rPr>
          <w:b/>
          <w:sz w:val="18"/>
          <w:szCs w:val="18"/>
        </w:rPr>
        <w:t xml:space="preserve">.  </w:t>
      </w:r>
      <w:r>
        <w:rPr>
          <w:sz w:val="18"/>
          <w:szCs w:val="18"/>
        </w:rPr>
        <w:t>Pay-to-play is the practice of making campaign contributions (and related payments) to elected officials in order to influence the awarding of the management of public pension plan assets and similar government investment accounts.</w:t>
      </w:r>
    </w:p>
    <w:p w14:paraId="11D41384" w14:textId="77777777" w:rsidR="002A4912" w:rsidRDefault="002A4912" w:rsidP="002A4912">
      <w:pPr>
        <w:spacing w:line="360" w:lineRule="auto"/>
        <w:ind w:left="1260" w:hanging="396"/>
        <w:rPr>
          <w:sz w:val="18"/>
          <w:szCs w:val="18"/>
        </w:rPr>
      </w:pPr>
    </w:p>
    <w:p w14:paraId="0FFD68BA" w14:textId="77777777" w:rsidR="002A4912" w:rsidRDefault="002A4912" w:rsidP="002A4912">
      <w:pPr>
        <w:spacing w:line="360" w:lineRule="auto"/>
        <w:ind w:left="1260" w:hanging="396"/>
        <w:rPr>
          <w:sz w:val="18"/>
          <w:szCs w:val="18"/>
        </w:rPr>
      </w:pPr>
      <w:r>
        <w:rPr>
          <w:sz w:val="18"/>
          <w:szCs w:val="18"/>
        </w:rPr>
        <w:tab/>
        <w:t>SEC Rule 206(4)-5 (“Pay-to-Play” Rule) is designed to remove conflicts of interest (undue influence) between political contributions and the award of investment advisory business from government and public pension funds.  The rule’s two-year time out is triggered by a contribution to an “official” of a “government entity.”</w:t>
      </w:r>
    </w:p>
    <w:p w14:paraId="07A75CC6" w14:textId="77777777" w:rsidR="002A4912" w:rsidRDefault="002A4912" w:rsidP="002A4912">
      <w:pPr>
        <w:spacing w:line="360" w:lineRule="auto"/>
        <w:ind w:left="1260" w:hanging="396"/>
        <w:rPr>
          <w:sz w:val="18"/>
          <w:szCs w:val="18"/>
        </w:rPr>
      </w:pPr>
    </w:p>
    <w:p w14:paraId="3A9ECA0F" w14:textId="77777777" w:rsidR="002A4912" w:rsidRDefault="002A4912" w:rsidP="002A4912">
      <w:pPr>
        <w:spacing w:line="360" w:lineRule="auto"/>
        <w:ind w:left="1260" w:hanging="396"/>
        <w:rPr>
          <w:sz w:val="18"/>
          <w:szCs w:val="18"/>
        </w:rPr>
      </w:pPr>
      <w:r>
        <w:rPr>
          <w:sz w:val="18"/>
          <w:szCs w:val="18"/>
        </w:rPr>
        <w:lastRenderedPageBreak/>
        <w:tab/>
        <w:t xml:space="preserve">“Government Official” means any person (including their election committee) who at the time of the contribution, is an incumbent, candidate or successful candidate for elective office of a government entity, if the office is directly or indirectly responsible for, or can influence the outcome of, the hiring of an investment </w:t>
      </w:r>
      <w:r w:rsidR="00F5771E">
        <w:rPr>
          <w:sz w:val="18"/>
          <w:szCs w:val="18"/>
        </w:rPr>
        <w:t>advisor</w:t>
      </w:r>
      <w:r>
        <w:rPr>
          <w:sz w:val="18"/>
          <w:szCs w:val="18"/>
        </w:rPr>
        <w:t xml:space="preserve"> by a government entity-or has the authority to appoint a person who is directly or indirectly responsible for, or can influence the outcome of the hiring of an investment </w:t>
      </w:r>
      <w:r w:rsidR="00F5771E">
        <w:rPr>
          <w:sz w:val="18"/>
          <w:szCs w:val="18"/>
        </w:rPr>
        <w:t>advisor</w:t>
      </w:r>
      <w:r>
        <w:rPr>
          <w:sz w:val="18"/>
          <w:szCs w:val="18"/>
        </w:rPr>
        <w:t xml:space="preserve"> by a government entity.  This includes a federal candidate who is a state or local official at the time of contribution.</w:t>
      </w:r>
    </w:p>
    <w:p w14:paraId="78BA68C7" w14:textId="77777777" w:rsidR="002A4912" w:rsidRDefault="002A4912" w:rsidP="002A4912">
      <w:pPr>
        <w:spacing w:line="360" w:lineRule="auto"/>
        <w:ind w:left="1260" w:hanging="396"/>
        <w:rPr>
          <w:sz w:val="18"/>
          <w:szCs w:val="18"/>
        </w:rPr>
      </w:pPr>
    </w:p>
    <w:p w14:paraId="22529780" w14:textId="77777777" w:rsidR="002A4912" w:rsidRDefault="002A4912" w:rsidP="002A4912">
      <w:pPr>
        <w:spacing w:line="360" w:lineRule="auto"/>
        <w:ind w:left="1260" w:hanging="396"/>
        <w:rPr>
          <w:sz w:val="18"/>
          <w:szCs w:val="18"/>
        </w:rPr>
      </w:pPr>
      <w:r>
        <w:rPr>
          <w:sz w:val="18"/>
          <w:szCs w:val="18"/>
        </w:rPr>
        <w:tab/>
        <w:t xml:space="preserve">“Government entity” means:  </w:t>
      </w:r>
    </w:p>
    <w:p w14:paraId="558AD10E" w14:textId="77777777" w:rsidR="002A4912" w:rsidRDefault="002A4912" w:rsidP="002A4912">
      <w:pPr>
        <w:numPr>
          <w:ilvl w:val="0"/>
          <w:numId w:val="7"/>
        </w:numPr>
        <w:spacing w:line="360" w:lineRule="auto"/>
        <w:ind w:firstLine="1440"/>
        <w:rPr>
          <w:sz w:val="18"/>
          <w:szCs w:val="18"/>
        </w:rPr>
      </w:pPr>
      <w:r>
        <w:rPr>
          <w:sz w:val="18"/>
          <w:szCs w:val="18"/>
        </w:rPr>
        <w:t>Any state or local government, agency, authority or instrumentality of a state or local government</w:t>
      </w:r>
    </w:p>
    <w:p w14:paraId="4982F1D5" w14:textId="77777777" w:rsidR="00F11E85" w:rsidRDefault="002A4912" w:rsidP="00F11E85">
      <w:pPr>
        <w:numPr>
          <w:ilvl w:val="0"/>
          <w:numId w:val="7"/>
        </w:numPr>
        <w:spacing w:line="360" w:lineRule="auto"/>
        <w:ind w:left="2160"/>
        <w:rPr>
          <w:sz w:val="18"/>
          <w:szCs w:val="18"/>
        </w:rPr>
      </w:pPr>
      <w:r w:rsidRPr="002A4912">
        <w:rPr>
          <w:sz w:val="18"/>
          <w:szCs w:val="18"/>
        </w:rPr>
        <w:t>Any pool of assets sponsored by a state or local government (such as a defined benefit pension plan, separate account or general fund)</w:t>
      </w:r>
    </w:p>
    <w:p w14:paraId="3F8459DC" w14:textId="77777777" w:rsidR="002A4912" w:rsidRDefault="002A4912" w:rsidP="00F11E85">
      <w:pPr>
        <w:numPr>
          <w:ilvl w:val="0"/>
          <w:numId w:val="7"/>
        </w:numPr>
        <w:spacing w:line="360" w:lineRule="auto"/>
        <w:ind w:left="2160"/>
        <w:rPr>
          <w:sz w:val="18"/>
          <w:szCs w:val="18"/>
        </w:rPr>
      </w:pPr>
      <w:r>
        <w:rPr>
          <w:sz w:val="18"/>
          <w:szCs w:val="18"/>
        </w:rPr>
        <w:t>Any participant-directed government plan (such as 529, 403(b), or 457 plans)</w:t>
      </w:r>
    </w:p>
    <w:p w14:paraId="537832D3" w14:textId="77777777" w:rsidR="002A4912" w:rsidRDefault="002A4912" w:rsidP="00F11E85">
      <w:pPr>
        <w:numPr>
          <w:ilvl w:val="0"/>
          <w:numId w:val="7"/>
        </w:numPr>
        <w:spacing w:line="360" w:lineRule="auto"/>
        <w:ind w:left="2160"/>
        <w:rPr>
          <w:sz w:val="18"/>
          <w:szCs w:val="18"/>
        </w:rPr>
      </w:pPr>
      <w:r>
        <w:rPr>
          <w:sz w:val="18"/>
          <w:szCs w:val="18"/>
        </w:rPr>
        <w:t>Officers, agents, or employees of the state or local government acting in their official capacity</w:t>
      </w:r>
    </w:p>
    <w:p w14:paraId="4542A3B1" w14:textId="77777777" w:rsidR="002A4912" w:rsidRDefault="002A4912" w:rsidP="002A4912">
      <w:pPr>
        <w:spacing w:line="360" w:lineRule="auto"/>
        <w:rPr>
          <w:sz w:val="18"/>
          <w:szCs w:val="18"/>
        </w:rPr>
      </w:pPr>
    </w:p>
    <w:p w14:paraId="288E8B61" w14:textId="77777777" w:rsidR="002A4912" w:rsidRDefault="002A4912" w:rsidP="002A4912">
      <w:pPr>
        <w:spacing w:line="360" w:lineRule="auto"/>
        <w:ind w:left="1296"/>
        <w:rPr>
          <w:sz w:val="18"/>
          <w:szCs w:val="18"/>
        </w:rPr>
      </w:pPr>
      <w:r>
        <w:rPr>
          <w:sz w:val="18"/>
          <w:szCs w:val="18"/>
        </w:rPr>
        <w:t xml:space="preserve">“Covered associate” means: </w:t>
      </w:r>
    </w:p>
    <w:p w14:paraId="7F85C60D" w14:textId="77777777" w:rsidR="002A4912" w:rsidRDefault="002A4912" w:rsidP="00DA5EFB">
      <w:pPr>
        <w:numPr>
          <w:ilvl w:val="0"/>
          <w:numId w:val="7"/>
        </w:numPr>
        <w:spacing w:line="360" w:lineRule="auto"/>
        <w:ind w:left="2160"/>
        <w:rPr>
          <w:sz w:val="18"/>
          <w:szCs w:val="18"/>
        </w:rPr>
      </w:pPr>
      <w:r>
        <w:rPr>
          <w:sz w:val="18"/>
          <w:szCs w:val="18"/>
        </w:rPr>
        <w:t xml:space="preserve"> </w:t>
      </w:r>
      <w:r w:rsidR="00DA5EFB">
        <w:rPr>
          <w:sz w:val="18"/>
          <w:szCs w:val="18"/>
        </w:rPr>
        <w:t>Any general partner, managing member or executive officer, or other individual with a similar status or function</w:t>
      </w:r>
    </w:p>
    <w:p w14:paraId="4A0BDB4E" w14:textId="77777777" w:rsidR="00DA5EFB" w:rsidRDefault="00DA5EFB" w:rsidP="00DA5EFB">
      <w:pPr>
        <w:numPr>
          <w:ilvl w:val="0"/>
          <w:numId w:val="7"/>
        </w:numPr>
        <w:spacing w:line="360" w:lineRule="auto"/>
        <w:ind w:left="2160"/>
        <w:rPr>
          <w:sz w:val="18"/>
          <w:szCs w:val="18"/>
        </w:rPr>
      </w:pPr>
      <w:r>
        <w:rPr>
          <w:sz w:val="18"/>
          <w:szCs w:val="18"/>
        </w:rPr>
        <w:t xml:space="preserve">Any employee who solicits a government entity for the investment </w:t>
      </w:r>
      <w:r w:rsidR="00F5771E">
        <w:rPr>
          <w:sz w:val="18"/>
          <w:szCs w:val="18"/>
        </w:rPr>
        <w:t>advisor</w:t>
      </w:r>
      <w:r>
        <w:rPr>
          <w:sz w:val="18"/>
          <w:szCs w:val="18"/>
        </w:rPr>
        <w:t xml:space="preserve"> and any person who supervises, directly or indirectly, such employee</w:t>
      </w:r>
    </w:p>
    <w:p w14:paraId="43E91F78" w14:textId="77777777" w:rsidR="00DA5EFB" w:rsidRDefault="00DA5EFB" w:rsidP="00DA5EFB">
      <w:pPr>
        <w:numPr>
          <w:ilvl w:val="0"/>
          <w:numId w:val="7"/>
        </w:numPr>
        <w:spacing w:line="360" w:lineRule="auto"/>
        <w:ind w:left="2160"/>
        <w:rPr>
          <w:sz w:val="18"/>
          <w:szCs w:val="18"/>
        </w:rPr>
      </w:pPr>
      <w:r>
        <w:rPr>
          <w:sz w:val="18"/>
          <w:szCs w:val="18"/>
        </w:rPr>
        <w:t xml:space="preserve">Any political action committee (PAC) controlled by the investment </w:t>
      </w:r>
      <w:r w:rsidR="00F5771E">
        <w:rPr>
          <w:sz w:val="18"/>
          <w:szCs w:val="18"/>
        </w:rPr>
        <w:t>advisor</w:t>
      </w:r>
      <w:r>
        <w:rPr>
          <w:sz w:val="18"/>
          <w:szCs w:val="18"/>
        </w:rPr>
        <w:t xml:space="preserve"> or by any of its covered associates</w:t>
      </w:r>
    </w:p>
    <w:p w14:paraId="61691A28" w14:textId="77777777" w:rsidR="00DA5EFB" w:rsidRDefault="00DA5EFB" w:rsidP="00DA5EFB">
      <w:pPr>
        <w:spacing w:line="360" w:lineRule="auto"/>
        <w:ind w:left="1296"/>
        <w:rPr>
          <w:sz w:val="18"/>
          <w:szCs w:val="18"/>
        </w:rPr>
      </w:pPr>
      <w:r>
        <w:rPr>
          <w:sz w:val="18"/>
          <w:szCs w:val="18"/>
        </w:rPr>
        <w:t xml:space="preserve">The rule and our policy include prohibitions intended to capture not only direct political contributions by investment </w:t>
      </w:r>
      <w:r w:rsidR="00F5771E">
        <w:rPr>
          <w:sz w:val="18"/>
          <w:szCs w:val="18"/>
        </w:rPr>
        <w:t>advisor</w:t>
      </w:r>
      <w:r>
        <w:rPr>
          <w:sz w:val="18"/>
          <w:szCs w:val="18"/>
        </w:rPr>
        <w:t xml:space="preserve">s, but also other ways that </w:t>
      </w:r>
      <w:r w:rsidR="00F5771E">
        <w:rPr>
          <w:sz w:val="18"/>
          <w:szCs w:val="18"/>
        </w:rPr>
        <w:t>advisor</w:t>
      </w:r>
      <w:r>
        <w:rPr>
          <w:sz w:val="18"/>
          <w:szCs w:val="18"/>
        </w:rPr>
        <w:t>s may engage in pay-to-play arrangements.</w:t>
      </w:r>
    </w:p>
    <w:p w14:paraId="181D4906" w14:textId="77777777" w:rsidR="00DA5EFB" w:rsidRDefault="00DA5EFB" w:rsidP="00DA5EFB">
      <w:pPr>
        <w:spacing w:line="360" w:lineRule="auto"/>
        <w:ind w:left="1296"/>
        <w:rPr>
          <w:sz w:val="18"/>
          <w:szCs w:val="18"/>
        </w:rPr>
      </w:pPr>
    </w:p>
    <w:p w14:paraId="36873283" w14:textId="77777777" w:rsidR="00DA5EFB" w:rsidRDefault="00DA5EFB" w:rsidP="00DA5EFB">
      <w:pPr>
        <w:spacing w:line="360" w:lineRule="auto"/>
        <w:ind w:left="1296"/>
        <w:rPr>
          <w:sz w:val="18"/>
          <w:szCs w:val="18"/>
        </w:rPr>
      </w:pPr>
      <w:r w:rsidRPr="00DA5EFB">
        <w:rPr>
          <w:b/>
          <w:sz w:val="18"/>
          <w:szCs w:val="18"/>
        </w:rPr>
        <w:t>Restricting Political Contributions (Two Year Time Out):</w:t>
      </w:r>
      <w:r>
        <w:rPr>
          <w:b/>
          <w:sz w:val="18"/>
          <w:szCs w:val="18"/>
        </w:rPr>
        <w:t xml:space="preserve">  </w:t>
      </w:r>
      <w:r>
        <w:rPr>
          <w:sz w:val="18"/>
          <w:szCs w:val="18"/>
        </w:rPr>
        <w:t>This policy restricts the Company and its covered associates from providing advisory services for compensation, either directly or through a fund, when a political contribution to an elected government official in a position to influence the selection of our firm has been made within a period of two years prior.   This policy applies to political incumbents as well as to candidates for a position that can influence the selection of the Company.</w:t>
      </w:r>
    </w:p>
    <w:p w14:paraId="7BA9A26E" w14:textId="77777777" w:rsidR="00DA5EFB" w:rsidRDefault="00DA5EFB" w:rsidP="00DA5EFB">
      <w:pPr>
        <w:spacing w:line="360" w:lineRule="auto"/>
        <w:ind w:left="1296"/>
        <w:rPr>
          <w:sz w:val="18"/>
          <w:szCs w:val="18"/>
        </w:rPr>
      </w:pPr>
    </w:p>
    <w:p w14:paraId="35C943CF" w14:textId="77777777" w:rsidR="00DA5EFB" w:rsidRDefault="00DA5EFB" w:rsidP="00DA5EFB">
      <w:pPr>
        <w:spacing w:line="360" w:lineRule="auto"/>
        <w:ind w:left="1296"/>
        <w:rPr>
          <w:sz w:val="18"/>
          <w:szCs w:val="18"/>
        </w:rPr>
      </w:pPr>
      <w:r w:rsidRPr="00DA5EFB">
        <w:rPr>
          <w:b/>
          <w:sz w:val="18"/>
          <w:szCs w:val="18"/>
        </w:rPr>
        <w:t>De minimis provision</w:t>
      </w:r>
      <w:r>
        <w:rPr>
          <w:sz w:val="18"/>
          <w:szCs w:val="18"/>
        </w:rPr>
        <w:t>:  The de minimis provision permits covered associates to make contributions of up to $350 per election per candidate if the contributor is entitled to vote for the candidate, and up to $150 per election per candidate if the contributor is not entitled to vote for the candidate.</w:t>
      </w:r>
    </w:p>
    <w:p w14:paraId="053B1AC5" w14:textId="77777777" w:rsidR="00DA5EFB" w:rsidRDefault="00DA5EFB" w:rsidP="00DA5EFB">
      <w:pPr>
        <w:spacing w:line="360" w:lineRule="auto"/>
        <w:ind w:left="1296"/>
        <w:rPr>
          <w:sz w:val="18"/>
          <w:szCs w:val="18"/>
        </w:rPr>
      </w:pPr>
    </w:p>
    <w:p w14:paraId="477E9E61" w14:textId="77777777" w:rsidR="00DA5EFB" w:rsidRDefault="00DA5EFB" w:rsidP="00DA5EFB">
      <w:pPr>
        <w:spacing w:line="360" w:lineRule="auto"/>
        <w:ind w:left="1296"/>
        <w:rPr>
          <w:sz w:val="18"/>
          <w:szCs w:val="18"/>
        </w:rPr>
      </w:pPr>
      <w:r w:rsidRPr="00DA5EFB">
        <w:rPr>
          <w:b/>
          <w:sz w:val="18"/>
          <w:szCs w:val="18"/>
        </w:rPr>
        <w:t>Banning Solicitation of Contributions</w:t>
      </w:r>
      <w:r>
        <w:rPr>
          <w:sz w:val="18"/>
          <w:szCs w:val="18"/>
        </w:rPr>
        <w:t>:  This policy prohibits covered associates from asking another person or political action committee(PAC) to:</w:t>
      </w:r>
    </w:p>
    <w:p w14:paraId="5F8ECC86" w14:textId="77777777" w:rsidR="00DA5EFB" w:rsidRDefault="00DA5EFB" w:rsidP="00DA5EFB">
      <w:pPr>
        <w:numPr>
          <w:ilvl w:val="0"/>
          <w:numId w:val="34"/>
        </w:numPr>
        <w:spacing w:line="360" w:lineRule="auto"/>
        <w:rPr>
          <w:sz w:val="18"/>
          <w:szCs w:val="18"/>
        </w:rPr>
      </w:pPr>
      <w:r>
        <w:rPr>
          <w:sz w:val="18"/>
          <w:szCs w:val="18"/>
        </w:rPr>
        <w:t xml:space="preserve"> Make a contribution to an elected official (or candidate for the official’s position) who can influence the selection of our firm.</w:t>
      </w:r>
    </w:p>
    <w:p w14:paraId="04490FFE" w14:textId="77777777" w:rsidR="00DA5EFB" w:rsidRDefault="00DA5EFB" w:rsidP="00DA5EFB">
      <w:pPr>
        <w:numPr>
          <w:ilvl w:val="0"/>
          <w:numId w:val="34"/>
        </w:numPr>
        <w:spacing w:line="360" w:lineRule="auto"/>
        <w:rPr>
          <w:sz w:val="18"/>
          <w:szCs w:val="18"/>
        </w:rPr>
      </w:pPr>
      <w:r>
        <w:rPr>
          <w:sz w:val="18"/>
          <w:szCs w:val="18"/>
        </w:rPr>
        <w:t>Make a payment to a political party of the state or locality where the Company is seeking to provide advisory services to the government.</w:t>
      </w:r>
    </w:p>
    <w:p w14:paraId="01F7388D" w14:textId="77777777" w:rsidR="00DA5EFB" w:rsidRDefault="00DA5EFB" w:rsidP="00DA5EFB">
      <w:pPr>
        <w:spacing w:line="360" w:lineRule="auto"/>
        <w:rPr>
          <w:sz w:val="18"/>
          <w:szCs w:val="18"/>
        </w:rPr>
      </w:pPr>
    </w:p>
    <w:p w14:paraId="04413252" w14:textId="77777777" w:rsidR="00DA5EFB" w:rsidRDefault="00DA5EFB" w:rsidP="00DA5EFB">
      <w:pPr>
        <w:spacing w:line="360" w:lineRule="auto"/>
        <w:ind w:left="1296"/>
        <w:rPr>
          <w:sz w:val="18"/>
          <w:szCs w:val="18"/>
        </w:rPr>
      </w:pPr>
      <w:r w:rsidRPr="00DA5EFB">
        <w:rPr>
          <w:b/>
          <w:sz w:val="18"/>
          <w:szCs w:val="18"/>
        </w:rPr>
        <w:lastRenderedPageBreak/>
        <w:t>Banning Certain Third-Party Solicitors</w:t>
      </w:r>
      <w:r>
        <w:rPr>
          <w:sz w:val="18"/>
          <w:szCs w:val="18"/>
        </w:rPr>
        <w:t>:  This policy prohibits covered associates from paying a third party, such as a solicitor or placement agent, to solicit a government client on behalf of our firm, unless that third party is a “regulated person” (SEC-registered investment advisor, broker-dealer, registered municipal advisor) subject to similar pay to play restrictions.</w:t>
      </w:r>
    </w:p>
    <w:p w14:paraId="54343700" w14:textId="77777777" w:rsidR="00DA5EFB" w:rsidRDefault="00DA5EFB" w:rsidP="00DA5EFB">
      <w:pPr>
        <w:spacing w:line="360" w:lineRule="auto"/>
        <w:ind w:left="1296"/>
        <w:rPr>
          <w:sz w:val="18"/>
          <w:szCs w:val="18"/>
        </w:rPr>
      </w:pPr>
    </w:p>
    <w:p w14:paraId="722EE935" w14:textId="77777777" w:rsidR="00DA5EFB" w:rsidRDefault="00DA5EFB" w:rsidP="00DA5EFB">
      <w:pPr>
        <w:spacing w:line="360" w:lineRule="auto"/>
        <w:ind w:left="1296"/>
        <w:rPr>
          <w:sz w:val="18"/>
          <w:szCs w:val="18"/>
        </w:rPr>
      </w:pPr>
      <w:r w:rsidRPr="00DA5EFB">
        <w:rPr>
          <w:b/>
          <w:sz w:val="18"/>
          <w:szCs w:val="18"/>
        </w:rPr>
        <w:t>Restricting Indirect Contributions and Solicitations</w:t>
      </w:r>
      <w:r>
        <w:rPr>
          <w:sz w:val="18"/>
          <w:szCs w:val="18"/>
        </w:rPr>
        <w:t>:  This policy prohibits covered associates from engaging in pay to play conduct indirectly, such as by directing or funding contributions through third parties such as spouses, lawyers, or companies aff</w:t>
      </w:r>
      <w:r w:rsidR="0098762D">
        <w:rPr>
          <w:sz w:val="18"/>
          <w:szCs w:val="18"/>
        </w:rPr>
        <w:t>iliated with our firm, if that conduct would violate the rule if our firm did it directly.  This provision prevents us from circumventing the rule by directing or funding contributions through third parties.</w:t>
      </w:r>
    </w:p>
    <w:p w14:paraId="0CB58E98" w14:textId="77777777" w:rsidR="0098762D" w:rsidRDefault="0098762D" w:rsidP="00DA5EFB">
      <w:pPr>
        <w:spacing w:line="360" w:lineRule="auto"/>
        <w:ind w:left="1296"/>
        <w:rPr>
          <w:sz w:val="18"/>
          <w:szCs w:val="18"/>
        </w:rPr>
      </w:pPr>
    </w:p>
    <w:p w14:paraId="2C2C05E8" w14:textId="77777777" w:rsidR="0098762D" w:rsidRDefault="0098762D" w:rsidP="00DA5EFB">
      <w:pPr>
        <w:spacing w:line="360" w:lineRule="auto"/>
        <w:ind w:left="1296"/>
        <w:rPr>
          <w:sz w:val="18"/>
          <w:szCs w:val="18"/>
        </w:rPr>
      </w:pPr>
      <w:r w:rsidRPr="0098762D">
        <w:rPr>
          <w:b/>
          <w:sz w:val="18"/>
          <w:szCs w:val="18"/>
        </w:rPr>
        <w:t>State Law</w:t>
      </w:r>
      <w:r>
        <w:rPr>
          <w:sz w:val="18"/>
          <w:szCs w:val="18"/>
        </w:rPr>
        <w:t>:  The federal pay to play rule does not pre-empt state and local laws regarding campaign contributions and pay to play activities.  The Company will also abide by state and local laws, which may not provide for de minimis contributions, and other provisions more restrictive than the federal law.</w:t>
      </w:r>
    </w:p>
    <w:p w14:paraId="2FEB60F6" w14:textId="77777777" w:rsidR="0098762D" w:rsidRDefault="0098762D" w:rsidP="00DA5EFB">
      <w:pPr>
        <w:spacing w:line="360" w:lineRule="auto"/>
        <w:ind w:left="1296"/>
        <w:rPr>
          <w:sz w:val="18"/>
          <w:szCs w:val="18"/>
        </w:rPr>
      </w:pPr>
    </w:p>
    <w:p w14:paraId="73F38260" w14:textId="77777777" w:rsidR="0098762D" w:rsidRDefault="0098762D" w:rsidP="00DA5EFB">
      <w:pPr>
        <w:spacing w:line="360" w:lineRule="auto"/>
        <w:ind w:left="1296"/>
        <w:rPr>
          <w:sz w:val="18"/>
          <w:szCs w:val="18"/>
        </w:rPr>
      </w:pPr>
      <w:r w:rsidRPr="0098762D">
        <w:rPr>
          <w:b/>
          <w:sz w:val="18"/>
          <w:szCs w:val="18"/>
        </w:rPr>
        <w:t>Recordkeeping</w:t>
      </w:r>
      <w:r>
        <w:rPr>
          <w:sz w:val="18"/>
          <w:szCs w:val="18"/>
        </w:rPr>
        <w:t>:  Records will be maintained by the Company as follows:</w:t>
      </w:r>
    </w:p>
    <w:p w14:paraId="5FDD81E0" w14:textId="77777777" w:rsidR="0098762D" w:rsidRDefault="0098762D" w:rsidP="0098762D">
      <w:pPr>
        <w:numPr>
          <w:ilvl w:val="0"/>
          <w:numId w:val="7"/>
        </w:numPr>
        <w:spacing w:line="360" w:lineRule="auto"/>
        <w:ind w:firstLine="1350"/>
        <w:rPr>
          <w:sz w:val="18"/>
          <w:szCs w:val="18"/>
        </w:rPr>
      </w:pPr>
      <w:r w:rsidRPr="0098762D">
        <w:rPr>
          <w:sz w:val="18"/>
          <w:szCs w:val="18"/>
        </w:rPr>
        <w:t>A list of current government clients (if any)</w:t>
      </w:r>
    </w:p>
    <w:p w14:paraId="4FCC68E2" w14:textId="77777777" w:rsidR="0098762D" w:rsidRDefault="0098762D" w:rsidP="0098762D">
      <w:pPr>
        <w:numPr>
          <w:ilvl w:val="0"/>
          <w:numId w:val="7"/>
        </w:numPr>
        <w:spacing w:line="360" w:lineRule="auto"/>
        <w:ind w:left="2160" w:hanging="450"/>
        <w:rPr>
          <w:sz w:val="18"/>
          <w:szCs w:val="18"/>
        </w:rPr>
      </w:pPr>
      <w:r>
        <w:rPr>
          <w:sz w:val="18"/>
          <w:szCs w:val="18"/>
        </w:rPr>
        <w:t xml:space="preserve">If the Company has any government entity clients, we will keep records for covered associates of political contributions and payments, including PAC payments.  </w:t>
      </w:r>
    </w:p>
    <w:p w14:paraId="6FE07F43" w14:textId="77777777" w:rsidR="0098762D" w:rsidRDefault="0098762D" w:rsidP="0098762D">
      <w:pPr>
        <w:numPr>
          <w:ilvl w:val="0"/>
          <w:numId w:val="7"/>
        </w:numPr>
        <w:spacing w:line="360" w:lineRule="auto"/>
        <w:ind w:left="2160" w:hanging="450"/>
        <w:rPr>
          <w:sz w:val="18"/>
          <w:szCs w:val="18"/>
        </w:rPr>
      </w:pPr>
      <w:r>
        <w:rPr>
          <w:sz w:val="18"/>
          <w:szCs w:val="18"/>
        </w:rPr>
        <w:t>The records will be listed in chronological order, identify the contributor and recipient; note the amounts and the dates of each contribution/payment and whether it was returned.</w:t>
      </w:r>
    </w:p>
    <w:p w14:paraId="127F3364" w14:textId="77777777" w:rsidR="0098762D" w:rsidRDefault="0098762D" w:rsidP="0098762D">
      <w:pPr>
        <w:numPr>
          <w:ilvl w:val="0"/>
          <w:numId w:val="7"/>
        </w:numPr>
        <w:spacing w:line="360" w:lineRule="auto"/>
        <w:ind w:left="2160" w:hanging="450"/>
        <w:rPr>
          <w:sz w:val="18"/>
          <w:szCs w:val="18"/>
        </w:rPr>
      </w:pPr>
      <w:r>
        <w:rPr>
          <w:sz w:val="18"/>
          <w:szCs w:val="18"/>
        </w:rPr>
        <w:t xml:space="preserve">Covered associates shall submit </w:t>
      </w:r>
      <w:r w:rsidR="003329B6">
        <w:rPr>
          <w:sz w:val="18"/>
          <w:szCs w:val="18"/>
        </w:rPr>
        <w:t xml:space="preserve">periodic </w:t>
      </w:r>
      <w:r>
        <w:rPr>
          <w:sz w:val="18"/>
          <w:szCs w:val="18"/>
        </w:rPr>
        <w:t>reports of political contributions and payments.</w:t>
      </w:r>
    </w:p>
    <w:p w14:paraId="34E33528" w14:textId="77777777" w:rsidR="0098762D" w:rsidRDefault="0098762D" w:rsidP="003329B6">
      <w:pPr>
        <w:spacing w:line="360" w:lineRule="auto"/>
        <w:ind w:left="1710"/>
        <w:rPr>
          <w:sz w:val="18"/>
          <w:szCs w:val="18"/>
        </w:rPr>
      </w:pPr>
    </w:p>
    <w:p w14:paraId="0B7B115B" w14:textId="77777777" w:rsidR="0098762D" w:rsidRPr="0098762D" w:rsidRDefault="0098762D" w:rsidP="0098762D">
      <w:pPr>
        <w:spacing w:line="360" w:lineRule="auto"/>
        <w:ind w:left="1296"/>
        <w:rPr>
          <w:sz w:val="18"/>
          <w:szCs w:val="18"/>
        </w:rPr>
      </w:pPr>
      <w:r>
        <w:rPr>
          <w:sz w:val="18"/>
          <w:szCs w:val="18"/>
        </w:rPr>
        <w:t xml:space="preserve">Records shall be maintained by the Company for a </w:t>
      </w:r>
      <w:r w:rsidR="00B01AFD">
        <w:rPr>
          <w:sz w:val="18"/>
          <w:szCs w:val="18"/>
        </w:rPr>
        <w:t>5-year</w:t>
      </w:r>
      <w:r>
        <w:rPr>
          <w:sz w:val="18"/>
          <w:szCs w:val="18"/>
        </w:rPr>
        <w:t xml:space="preserve"> period.</w:t>
      </w:r>
    </w:p>
    <w:p w14:paraId="0B559106" w14:textId="77777777" w:rsidR="0098762D" w:rsidRPr="0068447B" w:rsidRDefault="0098762D" w:rsidP="0068447B"/>
    <w:p w14:paraId="6CA95929" w14:textId="4EB95F0E" w:rsidR="0075479B" w:rsidRDefault="0075479B" w:rsidP="00B317FD">
      <w:pPr>
        <w:pStyle w:val="Heading1"/>
        <w:spacing w:after="0"/>
        <w:jc w:val="left"/>
        <w:rPr>
          <w:i/>
          <w:smallCaps w:val="0"/>
          <w:sz w:val="18"/>
        </w:rPr>
      </w:pPr>
      <w:r w:rsidRPr="0068447B">
        <w:rPr>
          <w:sz w:val="24"/>
        </w:rPr>
        <w:fldChar w:fldCharType="begin"/>
      </w:r>
      <w:r w:rsidRPr="0068447B">
        <w:rPr>
          <w:sz w:val="24"/>
        </w:rPr>
        <w:instrText xml:space="preserve"> SEQ SeqIII \n \*ROMAN \*MERGEFORMAT </w:instrText>
      </w:r>
      <w:r w:rsidRPr="0068447B">
        <w:rPr>
          <w:sz w:val="24"/>
        </w:rPr>
        <w:fldChar w:fldCharType="separate"/>
      </w:r>
      <w:r w:rsidR="002A078E">
        <w:rPr>
          <w:noProof/>
          <w:sz w:val="24"/>
        </w:rPr>
        <w:t>XI</w:t>
      </w:r>
      <w:r w:rsidRPr="0068447B">
        <w:rPr>
          <w:sz w:val="24"/>
        </w:rPr>
        <w:fldChar w:fldCharType="end"/>
      </w:r>
      <w:r w:rsidRPr="0068447B">
        <w:rPr>
          <w:sz w:val="24"/>
        </w:rPr>
        <w:t>.</w:t>
      </w:r>
      <w:r w:rsidRPr="0068447B">
        <w:rPr>
          <w:sz w:val="24"/>
        </w:rPr>
        <w:tab/>
        <w:t>Personal Securities Transactions</w:t>
      </w:r>
      <w:r w:rsidRPr="0068447B">
        <w:rPr>
          <w:sz w:val="24"/>
        </w:rPr>
        <w:br/>
      </w:r>
      <w:r w:rsidR="009A1659" w:rsidRPr="00603D9B">
        <w:rPr>
          <w:i/>
          <w:smallCaps w:val="0"/>
          <w:sz w:val="18"/>
        </w:rPr>
        <w:t>Advisor</w:t>
      </w:r>
      <w:r w:rsidRPr="00603D9B">
        <w:rPr>
          <w:i/>
          <w:smallCaps w:val="0"/>
          <w:sz w:val="18"/>
        </w:rPr>
        <w:t>s Act Rule 204-2</w:t>
      </w:r>
    </w:p>
    <w:p w14:paraId="37CE6CC3" w14:textId="77777777" w:rsidR="0068447B" w:rsidRPr="0068447B" w:rsidRDefault="0068447B" w:rsidP="0068447B"/>
    <w:p w14:paraId="052F39DA" w14:textId="77777777" w:rsidR="0075479B" w:rsidRDefault="0075479B" w:rsidP="0068447B">
      <w:pPr>
        <w:pStyle w:val="Heading1"/>
        <w:spacing w:after="0"/>
        <w:ind w:left="0" w:firstLine="0"/>
        <w:jc w:val="left"/>
        <w:rPr>
          <w:sz w:val="18"/>
        </w:rPr>
      </w:pPr>
      <w:r w:rsidRPr="00603D9B">
        <w:rPr>
          <w:sz w:val="18"/>
        </w:rPr>
        <w:t xml:space="preserve">The following procedures </w:t>
      </w:r>
      <w:smartTag w:uri="urn:schemas-microsoft-com:office:smarttags" w:element="stockticker">
        <w:r w:rsidRPr="00603D9B">
          <w:rPr>
            <w:sz w:val="18"/>
          </w:rPr>
          <w:t>are</w:t>
        </w:r>
      </w:smartTag>
      <w:r w:rsidRPr="00603D9B">
        <w:rPr>
          <w:sz w:val="18"/>
        </w:rPr>
        <w:t xml:space="preserve"> designed to assist the CCO in detecting </w:t>
      </w:r>
      <w:smartTag w:uri="urn:schemas-microsoft-com:office:smarttags" w:element="stockticker">
        <w:r w:rsidRPr="00603D9B">
          <w:rPr>
            <w:sz w:val="18"/>
          </w:rPr>
          <w:t>and</w:t>
        </w:r>
      </w:smartTag>
      <w:r w:rsidRPr="00603D9B">
        <w:rPr>
          <w:sz w:val="18"/>
        </w:rPr>
        <w:t xml:space="preserve"> preventing abusive sales practices such as “scalping” or “front running” </w:t>
      </w:r>
      <w:smartTag w:uri="urn:schemas-microsoft-com:office:smarttags" w:element="stockticker">
        <w:r w:rsidRPr="00603D9B">
          <w:rPr>
            <w:sz w:val="18"/>
          </w:rPr>
          <w:t>and</w:t>
        </w:r>
      </w:smartTag>
      <w:r w:rsidRPr="00603D9B">
        <w:rPr>
          <w:sz w:val="18"/>
        </w:rPr>
        <w:t xml:space="preserve"> to highlight potentially abusive “</w:t>
      </w:r>
      <w:smartTag w:uri="urn:schemas-microsoft-com:office:smarttags" w:element="stockticker">
        <w:r w:rsidRPr="00603D9B">
          <w:rPr>
            <w:sz w:val="18"/>
          </w:rPr>
          <w:t>soft</w:t>
        </w:r>
      </w:smartTag>
      <w:r w:rsidRPr="00603D9B">
        <w:rPr>
          <w:sz w:val="18"/>
        </w:rPr>
        <w:t xml:space="preserve"> dollar” or brokerage arrangements.</w:t>
      </w:r>
    </w:p>
    <w:p w14:paraId="7FCB1ED5" w14:textId="77777777" w:rsidR="0068447B" w:rsidRPr="0068447B" w:rsidRDefault="0068447B" w:rsidP="0068447B"/>
    <w:p w14:paraId="2E6ACBE3" w14:textId="77777777" w:rsidR="001E6F7B" w:rsidRDefault="0075479B" w:rsidP="0068447B">
      <w:pPr>
        <w:pStyle w:val="Heading2"/>
        <w:numPr>
          <w:ilvl w:val="0"/>
          <w:numId w:val="28"/>
        </w:numPr>
        <w:spacing w:after="0"/>
        <w:rPr>
          <w:sz w:val="18"/>
        </w:rPr>
      </w:pPr>
      <w:r w:rsidRPr="00603D9B">
        <w:rPr>
          <w:b/>
          <w:sz w:val="18"/>
        </w:rPr>
        <w:t>Responsibility</w:t>
      </w:r>
      <w:r w:rsidRPr="00603D9B">
        <w:rPr>
          <w:sz w:val="18"/>
        </w:rPr>
        <w:t>.  The CCO shall maintain current and accurate records of all personal securities transactions of its employees/independent contractors, IAR’s and associated persons.</w:t>
      </w:r>
    </w:p>
    <w:p w14:paraId="521C9CB4" w14:textId="77777777" w:rsidR="00B317FD" w:rsidRPr="00B317FD" w:rsidRDefault="0075479B" w:rsidP="0068447B">
      <w:pPr>
        <w:pStyle w:val="Heading2"/>
        <w:numPr>
          <w:ilvl w:val="0"/>
          <w:numId w:val="28"/>
        </w:numPr>
        <w:spacing w:after="0"/>
      </w:pPr>
      <w:r w:rsidRPr="0068447B">
        <w:rPr>
          <w:b/>
          <w:sz w:val="18"/>
        </w:rPr>
        <w:t>Reporting</w:t>
      </w:r>
      <w:r w:rsidRPr="0068447B">
        <w:rPr>
          <w:sz w:val="18"/>
        </w:rPr>
        <w:t>.  Information regarding personal securities transactions</w:t>
      </w:r>
      <w:r w:rsidR="00FA08E3" w:rsidRPr="0068447B">
        <w:rPr>
          <w:sz w:val="18"/>
        </w:rPr>
        <w:t xml:space="preserve"> of access persons</w:t>
      </w:r>
      <w:r w:rsidRPr="0068447B">
        <w:rPr>
          <w:sz w:val="18"/>
        </w:rPr>
        <w:t xml:space="preserve"> must be repo</w:t>
      </w:r>
      <w:r w:rsidR="0063516D" w:rsidRPr="0068447B">
        <w:rPr>
          <w:sz w:val="18"/>
        </w:rPr>
        <w:t>rted to the CCO no more than twenty</w:t>
      </w:r>
      <w:r w:rsidRPr="0068447B">
        <w:rPr>
          <w:sz w:val="18"/>
        </w:rPr>
        <w:t xml:space="preserve"> (20) days following the end of each quarter.  </w:t>
      </w:r>
    </w:p>
    <w:p w14:paraId="2EB48C0B" w14:textId="77777777" w:rsidR="001E6F7B" w:rsidRDefault="0075479B" w:rsidP="0068447B">
      <w:pPr>
        <w:pStyle w:val="Heading2"/>
        <w:numPr>
          <w:ilvl w:val="0"/>
          <w:numId w:val="28"/>
        </w:numPr>
        <w:spacing w:after="0"/>
        <w:rPr>
          <w:sz w:val="18"/>
        </w:rPr>
      </w:pPr>
      <w:r w:rsidRPr="00603D9B">
        <w:rPr>
          <w:b/>
          <w:sz w:val="18"/>
        </w:rPr>
        <w:t>Exceptions</w:t>
      </w:r>
      <w:r w:rsidRPr="00603D9B">
        <w:rPr>
          <w:sz w:val="18"/>
        </w:rPr>
        <w:t>.  Exceptions to the record-keeping requirements are as follows:</w:t>
      </w:r>
    </w:p>
    <w:p w14:paraId="5F6D55FD" w14:textId="77777777" w:rsidR="00B317FD" w:rsidRPr="00B317FD" w:rsidRDefault="00B317FD" w:rsidP="0068447B">
      <w:pPr>
        <w:spacing w:line="360" w:lineRule="auto"/>
        <w:ind w:left="1080"/>
      </w:pPr>
    </w:p>
    <w:p w14:paraId="0088BC81" w14:textId="77777777" w:rsidR="001E6F7B" w:rsidRPr="00603D9B" w:rsidRDefault="00EB1C64" w:rsidP="0068447B">
      <w:pPr>
        <w:pStyle w:val="Heading2"/>
        <w:spacing w:after="0"/>
        <w:ind w:left="1722" w:hanging="570"/>
        <w:rPr>
          <w:sz w:val="18"/>
        </w:rPr>
      </w:pPr>
      <w:r w:rsidRPr="00603D9B">
        <w:rPr>
          <w:b/>
          <w:sz w:val="18"/>
        </w:rPr>
        <w:t>1</w:t>
      </w:r>
      <w:r w:rsidRPr="00603D9B">
        <w:rPr>
          <w:sz w:val="18"/>
        </w:rPr>
        <w:t>.</w:t>
      </w:r>
      <w:r w:rsidR="0075479B" w:rsidRPr="00603D9B">
        <w:rPr>
          <w:sz w:val="18"/>
        </w:rPr>
        <w:tab/>
        <w:t xml:space="preserve">Transactions effected in any account over which neither </w:t>
      </w:r>
      <w:r w:rsidR="00D0091A">
        <w:rPr>
          <w:sz w:val="18"/>
        </w:rPr>
        <w:t>t</w:t>
      </w:r>
      <w:r w:rsidR="00485F39" w:rsidRPr="00603D9B">
        <w:rPr>
          <w:sz w:val="18"/>
        </w:rPr>
        <w:t>he Company</w:t>
      </w:r>
      <w:r w:rsidR="0075479B" w:rsidRPr="00603D9B">
        <w:rPr>
          <w:sz w:val="18"/>
        </w:rPr>
        <w:t xml:space="preserve"> nor its IAR’s have any direct or indirect influence or control; and,</w:t>
      </w:r>
    </w:p>
    <w:p w14:paraId="18B4626E" w14:textId="77777777" w:rsidR="0075479B" w:rsidRDefault="00EB1C64" w:rsidP="0068447B">
      <w:pPr>
        <w:pStyle w:val="Heading2"/>
        <w:spacing w:after="0"/>
        <w:ind w:left="1722" w:hanging="570"/>
        <w:rPr>
          <w:sz w:val="18"/>
        </w:rPr>
      </w:pPr>
      <w:r w:rsidRPr="00603D9B">
        <w:rPr>
          <w:b/>
          <w:sz w:val="18"/>
        </w:rPr>
        <w:t>2</w:t>
      </w:r>
      <w:r w:rsidR="0075479B" w:rsidRPr="00603D9B">
        <w:rPr>
          <w:sz w:val="18"/>
        </w:rPr>
        <w:t>.</w:t>
      </w:r>
      <w:r w:rsidR="0075479B" w:rsidRPr="00603D9B">
        <w:rPr>
          <w:sz w:val="18"/>
        </w:rPr>
        <w:tab/>
        <w:t>Transactions that are direct obligations of the United States government</w:t>
      </w:r>
      <w:r w:rsidR="001E6F7B" w:rsidRPr="00603D9B">
        <w:rPr>
          <w:sz w:val="18"/>
        </w:rPr>
        <w:t>, bank certificates of deposit, non-proprietary mutual funds and money market mutual funds.</w:t>
      </w:r>
    </w:p>
    <w:p w14:paraId="5B30C6F7" w14:textId="77777777" w:rsidR="0068447B" w:rsidRDefault="0068447B" w:rsidP="0068447B"/>
    <w:p w14:paraId="794DCF20" w14:textId="77777777" w:rsidR="0068447B" w:rsidRPr="00B317FD" w:rsidRDefault="0068447B" w:rsidP="0068447B"/>
    <w:p w14:paraId="390FFB9B" w14:textId="319DAABE" w:rsidR="0075479B" w:rsidRPr="0068447B" w:rsidRDefault="0075479B" w:rsidP="00B317FD">
      <w:pPr>
        <w:pStyle w:val="Heading1"/>
        <w:spacing w:after="0"/>
        <w:jc w:val="left"/>
        <w:rPr>
          <w:sz w:val="24"/>
        </w:rPr>
      </w:pPr>
      <w:r w:rsidRPr="0068447B">
        <w:rPr>
          <w:sz w:val="24"/>
        </w:rPr>
        <w:fldChar w:fldCharType="begin"/>
      </w:r>
      <w:r w:rsidRPr="0068447B">
        <w:rPr>
          <w:sz w:val="24"/>
        </w:rPr>
        <w:instrText xml:space="preserve"> SEQ SeqIII \n \*ROMAN \*MERGEFORMAT </w:instrText>
      </w:r>
      <w:r w:rsidRPr="0068447B">
        <w:rPr>
          <w:sz w:val="24"/>
        </w:rPr>
        <w:fldChar w:fldCharType="separate"/>
      </w:r>
      <w:r w:rsidR="002A078E">
        <w:rPr>
          <w:noProof/>
          <w:sz w:val="24"/>
        </w:rPr>
        <w:t>XII</w:t>
      </w:r>
      <w:r w:rsidRPr="0068447B">
        <w:rPr>
          <w:sz w:val="24"/>
        </w:rPr>
        <w:fldChar w:fldCharType="end"/>
      </w:r>
      <w:r w:rsidRPr="0068447B">
        <w:rPr>
          <w:sz w:val="24"/>
        </w:rPr>
        <w:t>.</w:t>
      </w:r>
      <w:r w:rsidRPr="0068447B">
        <w:rPr>
          <w:sz w:val="24"/>
        </w:rPr>
        <w:tab/>
        <w:t>Insider Trading</w:t>
      </w:r>
    </w:p>
    <w:p w14:paraId="35344240" w14:textId="77777777" w:rsidR="00B317FD" w:rsidRPr="00B317FD" w:rsidRDefault="00B317FD" w:rsidP="00B317FD"/>
    <w:p w14:paraId="30DE5C08" w14:textId="2A685F4F" w:rsidR="0075479B" w:rsidRDefault="0075479B" w:rsidP="0068447B">
      <w:pPr>
        <w:pStyle w:val="Heading2"/>
        <w:spacing w:after="0"/>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Supervisory Responsibility</w:t>
      </w:r>
      <w:r w:rsidRPr="00603D9B">
        <w:rPr>
          <w:sz w:val="18"/>
        </w:rPr>
        <w:t>.  The CCO shall be responsible for implemen</w:t>
      </w:r>
      <w:r w:rsidR="00DA0425" w:rsidRPr="00603D9B">
        <w:rPr>
          <w:sz w:val="18"/>
        </w:rPr>
        <w:t xml:space="preserve">ting, monitoring and enforcing </w:t>
      </w:r>
      <w:r w:rsidR="00D0091A">
        <w:rPr>
          <w:sz w:val="18"/>
        </w:rPr>
        <w:t>t</w:t>
      </w:r>
      <w:r w:rsidR="00485F39" w:rsidRPr="00603D9B">
        <w:rPr>
          <w:sz w:val="18"/>
        </w:rPr>
        <w:t>he Company</w:t>
      </w:r>
      <w:r w:rsidRPr="00603D9B">
        <w:rPr>
          <w:sz w:val="18"/>
        </w:rPr>
        <w:t>’s policies and procedures against insider trading.</w:t>
      </w:r>
    </w:p>
    <w:p w14:paraId="5D7D5D05" w14:textId="77777777" w:rsidR="0068447B" w:rsidRDefault="0068447B" w:rsidP="0068447B"/>
    <w:p w14:paraId="2D6678E9" w14:textId="7C8586EA" w:rsidR="0075479B" w:rsidRDefault="0075479B" w:rsidP="0068447B">
      <w:pPr>
        <w:pStyle w:val="Heading2"/>
        <w:keepNext/>
        <w:spacing w:after="0"/>
        <w:rPr>
          <w:b/>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Definitions</w:t>
      </w:r>
    </w:p>
    <w:p w14:paraId="4F39524B" w14:textId="77777777" w:rsidR="0068447B" w:rsidRPr="0068447B" w:rsidRDefault="0068447B" w:rsidP="0068447B"/>
    <w:p w14:paraId="6516E44E" w14:textId="28B1AA6D" w:rsidR="0075479B" w:rsidRPr="00603D9B" w:rsidRDefault="0075479B" w:rsidP="0068447B">
      <w:pPr>
        <w:pStyle w:val="Heading2"/>
        <w:keepNext/>
        <w:spacing w:after="0"/>
        <w:ind w:left="1584"/>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Insider</w:t>
      </w:r>
      <w:r w:rsidRPr="00603D9B">
        <w:rPr>
          <w:sz w:val="18"/>
        </w:rPr>
        <w:t>.  The term “insider” is broadly defined.  It includes office</w:t>
      </w:r>
      <w:r w:rsidR="00DA0425" w:rsidRPr="00603D9B">
        <w:rPr>
          <w:sz w:val="18"/>
        </w:rPr>
        <w:t xml:space="preserve">rs, directors and employees of </w:t>
      </w:r>
      <w:r w:rsidR="00D0091A">
        <w:rPr>
          <w:sz w:val="18"/>
        </w:rPr>
        <w:t>t</w:t>
      </w:r>
      <w:r w:rsidR="00485F39" w:rsidRPr="00603D9B">
        <w:rPr>
          <w:sz w:val="18"/>
        </w:rPr>
        <w:t>he Company</w:t>
      </w:r>
      <w:r w:rsidRPr="00603D9B">
        <w:rPr>
          <w:sz w:val="18"/>
        </w:rPr>
        <w:t xml:space="preserve">.  In addition, a person can be a “temporary insider” if they enter into a special confidential relationship in the conduct of a company’s affairs and, as a result, are given access to information solely for </w:t>
      </w:r>
      <w:r w:rsidR="00D0091A">
        <w:rPr>
          <w:sz w:val="18"/>
        </w:rPr>
        <w:t>t</w:t>
      </w:r>
      <w:r w:rsidR="00485F39" w:rsidRPr="00603D9B">
        <w:rPr>
          <w:sz w:val="18"/>
        </w:rPr>
        <w:t>he Company</w:t>
      </w:r>
      <w:r w:rsidRPr="00603D9B">
        <w:rPr>
          <w:sz w:val="18"/>
        </w:rPr>
        <w:t xml:space="preserve">’s purposes.  A temporary insider can include, among others, </w:t>
      </w:r>
      <w:r w:rsidR="00D0091A">
        <w:rPr>
          <w:sz w:val="18"/>
        </w:rPr>
        <w:t>t</w:t>
      </w:r>
      <w:r w:rsidR="00485F39" w:rsidRPr="00603D9B">
        <w:rPr>
          <w:sz w:val="18"/>
        </w:rPr>
        <w:t>he Company</w:t>
      </w:r>
      <w:r w:rsidRPr="00603D9B">
        <w:rPr>
          <w:sz w:val="18"/>
        </w:rPr>
        <w:t>’s attorneys, accountants, consultants, bank lending officers, and the employees of suc</w:t>
      </w:r>
      <w:r w:rsidR="00DA0425" w:rsidRPr="00603D9B">
        <w:rPr>
          <w:sz w:val="18"/>
        </w:rPr>
        <w:t xml:space="preserve">h organizations.  In addition, </w:t>
      </w:r>
      <w:r w:rsidR="00D0091A">
        <w:rPr>
          <w:sz w:val="18"/>
        </w:rPr>
        <w:t>t</w:t>
      </w:r>
      <w:r w:rsidR="00485F39" w:rsidRPr="00603D9B">
        <w:rPr>
          <w:sz w:val="18"/>
        </w:rPr>
        <w:t>he Company</w:t>
      </w:r>
      <w:r w:rsidRPr="00603D9B">
        <w:rPr>
          <w:sz w:val="18"/>
        </w:rPr>
        <w:t xml:space="preserve"> may become a temporary insider of a client it advises or for which it performs other </w:t>
      </w:r>
      <w:r w:rsidR="00DA0425" w:rsidRPr="00603D9B">
        <w:rPr>
          <w:sz w:val="18"/>
        </w:rPr>
        <w:t xml:space="preserve">services.  If a client expects </w:t>
      </w:r>
      <w:r w:rsidR="00D0091A">
        <w:rPr>
          <w:sz w:val="18"/>
        </w:rPr>
        <w:t>t</w:t>
      </w:r>
      <w:r w:rsidR="00485F39" w:rsidRPr="00603D9B">
        <w:rPr>
          <w:sz w:val="18"/>
        </w:rPr>
        <w:t>he Company</w:t>
      </w:r>
      <w:r w:rsidRPr="00603D9B">
        <w:rPr>
          <w:sz w:val="18"/>
        </w:rPr>
        <w:t xml:space="preserve"> to keep the disclosed non-public information confidential and the relation</w:t>
      </w:r>
      <w:r w:rsidR="00DA0425" w:rsidRPr="00603D9B">
        <w:rPr>
          <w:sz w:val="18"/>
        </w:rPr>
        <w:t xml:space="preserve">ship implies such a duty, then </w:t>
      </w:r>
      <w:r w:rsidR="00D0091A">
        <w:rPr>
          <w:sz w:val="18"/>
        </w:rPr>
        <w:t>t</w:t>
      </w:r>
      <w:r w:rsidR="00485F39" w:rsidRPr="00603D9B">
        <w:rPr>
          <w:sz w:val="18"/>
        </w:rPr>
        <w:t>he Company</w:t>
      </w:r>
      <w:r w:rsidRPr="00603D9B">
        <w:rPr>
          <w:sz w:val="18"/>
        </w:rPr>
        <w:t xml:space="preserve"> will be considered an insider.</w:t>
      </w:r>
    </w:p>
    <w:p w14:paraId="3A41751B" w14:textId="1B2275F6" w:rsidR="0068447B" w:rsidRDefault="0075479B" w:rsidP="0068447B">
      <w:pPr>
        <w:pStyle w:val="Heading3"/>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Insider Trading</w:t>
      </w:r>
      <w:r w:rsidRPr="00603D9B">
        <w:rPr>
          <w:sz w:val="18"/>
        </w:rPr>
        <w:t>.  The term “insider trading” is not defined in federal securities laws, but generally is used to refer to the effecting of securities transactions while in possession of material, non-public information (regardless of whether one is an “insider”) or to the communication of material, non-public information to others.  While the law concerning insider trading is not static, it is generally understood that the law prohibits:</w:t>
      </w:r>
    </w:p>
    <w:p w14:paraId="7C364E71" w14:textId="5FC5E6A9" w:rsidR="0075479B" w:rsidRPr="00603D9B" w:rsidRDefault="0075479B" w:rsidP="0068447B">
      <w:pPr>
        <w:pStyle w:val="Heading3"/>
        <w:spacing w:after="0"/>
        <w:ind w:firstLine="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r>
      <w:r w:rsidR="0068447B">
        <w:rPr>
          <w:sz w:val="18"/>
        </w:rPr>
        <w:t xml:space="preserve">      </w:t>
      </w:r>
      <w:r w:rsidRPr="00603D9B">
        <w:rPr>
          <w:sz w:val="18"/>
        </w:rPr>
        <w:t>Trading by an insider on the basis of material non-public information;</w:t>
      </w:r>
    </w:p>
    <w:p w14:paraId="4A6C49C0" w14:textId="027ABD5D" w:rsidR="0075479B" w:rsidRPr="00603D9B" w:rsidRDefault="0075479B" w:rsidP="0068447B">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Trading by a non-insider (also called a “temporary insider”) on the basis of material non-public information, where the information was either disclosed to the non-insider in violation of an insider’s duty to keep the information confidential or was misappropriated; and,</w:t>
      </w:r>
    </w:p>
    <w:p w14:paraId="3756189A" w14:textId="0A635BCA" w:rsidR="0075479B" w:rsidRDefault="0075479B" w:rsidP="0068447B">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t>Communicating material non-public information to others.</w:t>
      </w:r>
    </w:p>
    <w:p w14:paraId="7CFA9B37" w14:textId="77777777" w:rsidR="0068447B" w:rsidRPr="0068447B" w:rsidRDefault="0068447B" w:rsidP="0068447B"/>
    <w:p w14:paraId="352193ED" w14:textId="20950968" w:rsidR="0075479B" w:rsidRDefault="0075479B" w:rsidP="0068447B">
      <w:pPr>
        <w:pStyle w:val="Heading2"/>
        <w:spacing w:after="0"/>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r>
      <w:r w:rsidR="00485F39" w:rsidRPr="00603D9B">
        <w:rPr>
          <w:b/>
          <w:sz w:val="18"/>
        </w:rPr>
        <w:t>The Company</w:t>
      </w:r>
      <w:r w:rsidRPr="00603D9B">
        <w:rPr>
          <w:b/>
          <w:sz w:val="18"/>
        </w:rPr>
        <w:t>’s Policy on Insider Trading</w:t>
      </w:r>
      <w:r w:rsidRPr="00603D9B">
        <w:rPr>
          <w:sz w:val="18"/>
        </w:rPr>
        <w:t>.  All officers, directors, employees/independent contractors and IAR’s are prohibited from trading either personally or on behalf of others, on material non-public information or communicating material non-public information to others</w:t>
      </w:r>
      <w:r w:rsidR="0063516D" w:rsidRPr="00603D9B">
        <w:rPr>
          <w:sz w:val="18"/>
        </w:rPr>
        <w:t xml:space="preserve">.  </w:t>
      </w:r>
      <w:r w:rsidRPr="00603D9B">
        <w:rPr>
          <w:sz w:val="18"/>
        </w:rPr>
        <w:t xml:space="preserve">Covered persons should direct any questions regarding </w:t>
      </w:r>
      <w:r w:rsidR="004109C1">
        <w:rPr>
          <w:sz w:val="18"/>
        </w:rPr>
        <w:t>t</w:t>
      </w:r>
      <w:r w:rsidR="00485F39" w:rsidRPr="00603D9B">
        <w:rPr>
          <w:sz w:val="18"/>
        </w:rPr>
        <w:t>he Company</w:t>
      </w:r>
      <w:r w:rsidRPr="00603D9B">
        <w:rPr>
          <w:sz w:val="18"/>
        </w:rPr>
        <w:t>’s policy on insider trading to the CCO.</w:t>
      </w:r>
    </w:p>
    <w:p w14:paraId="6434CA2E" w14:textId="77777777" w:rsidR="0075479B" w:rsidRPr="00603D9B" w:rsidRDefault="0075479B">
      <w:pPr>
        <w:pStyle w:val="Heading3"/>
        <w:ind w:left="1210" w:hanging="440"/>
        <w:rPr>
          <w:sz w:val="18"/>
        </w:rPr>
      </w:pPr>
      <w:r w:rsidRPr="00603D9B">
        <w:rPr>
          <w:b/>
          <w:sz w:val="18"/>
        </w:rPr>
        <w:t>D.</w:t>
      </w:r>
      <w:r w:rsidRPr="00603D9B">
        <w:rPr>
          <w:b/>
          <w:sz w:val="18"/>
        </w:rPr>
        <w:tab/>
        <w:t>Prevention of Insider Trading</w:t>
      </w:r>
      <w:r w:rsidRPr="00603D9B">
        <w:rPr>
          <w:sz w:val="18"/>
        </w:rPr>
        <w:t>.  In an effort to prevent insider trading from occurring, the CCO shall familiarize officers, directors, employees/independ</w:t>
      </w:r>
      <w:r w:rsidR="00DA0425" w:rsidRPr="00603D9B">
        <w:rPr>
          <w:sz w:val="18"/>
        </w:rPr>
        <w:t xml:space="preserve">ent contractors and IAR’s with </w:t>
      </w:r>
      <w:r w:rsidR="004109C1">
        <w:rPr>
          <w:sz w:val="18"/>
        </w:rPr>
        <w:t>t</w:t>
      </w:r>
      <w:r w:rsidR="00485F39" w:rsidRPr="00603D9B">
        <w:rPr>
          <w:sz w:val="18"/>
        </w:rPr>
        <w:t>he Company</w:t>
      </w:r>
      <w:r w:rsidRPr="00603D9B">
        <w:rPr>
          <w:sz w:val="18"/>
        </w:rPr>
        <w:t xml:space="preserve">’s Insider Trading policy and answer any questions or inquiries.  The CCO will help resolve issues as to whether information received by an officer, director, employee/independent contractor or IAR constitutes material and non-public information.  If necessary, a “Watch List” or “Restricted List” will be created to monitor and prevent the occurrence of insider trading in certain securities that </w:t>
      </w:r>
      <w:r w:rsidR="004109C1">
        <w:rPr>
          <w:sz w:val="18"/>
        </w:rPr>
        <w:t>t</w:t>
      </w:r>
      <w:r w:rsidR="00485F39" w:rsidRPr="00603D9B">
        <w:rPr>
          <w:sz w:val="18"/>
        </w:rPr>
        <w:t>he Company</w:t>
      </w:r>
      <w:r w:rsidRPr="00603D9B">
        <w:rPr>
          <w:sz w:val="18"/>
        </w:rPr>
        <w:t xml:space="preserve"> is prohibited or restricted from trading.</w:t>
      </w:r>
    </w:p>
    <w:p w14:paraId="583D33CE" w14:textId="77777777" w:rsidR="0075479B" w:rsidRPr="00603D9B" w:rsidRDefault="0075479B">
      <w:pPr>
        <w:pStyle w:val="Heading2"/>
        <w:keepNext/>
        <w:rPr>
          <w:sz w:val="18"/>
        </w:rPr>
      </w:pPr>
      <w:r w:rsidRPr="00603D9B">
        <w:rPr>
          <w:b/>
          <w:sz w:val="18"/>
        </w:rPr>
        <w:t>E</w:t>
      </w:r>
      <w:r w:rsidRPr="00603D9B">
        <w:rPr>
          <w:sz w:val="18"/>
        </w:rPr>
        <w:t>.</w:t>
      </w:r>
      <w:r w:rsidRPr="00603D9B">
        <w:rPr>
          <w:sz w:val="18"/>
        </w:rPr>
        <w:tab/>
      </w:r>
      <w:r w:rsidRPr="00603D9B">
        <w:rPr>
          <w:b/>
          <w:sz w:val="18"/>
        </w:rPr>
        <w:t>Detection of Insider Trading.</w:t>
      </w:r>
      <w:r w:rsidRPr="00603D9B">
        <w:rPr>
          <w:sz w:val="18"/>
        </w:rPr>
        <w:t xml:space="preserve">  In order to detect insider trading, the CCO shall, on a </w:t>
      </w:r>
      <w:r w:rsidR="0063516D" w:rsidRPr="00603D9B">
        <w:rPr>
          <w:sz w:val="18"/>
        </w:rPr>
        <w:t>periodic</w:t>
      </w:r>
      <w:r w:rsidRPr="00603D9B">
        <w:rPr>
          <w:sz w:val="18"/>
        </w:rPr>
        <w:t xml:space="preserve"> basis:</w:t>
      </w:r>
    </w:p>
    <w:p w14:paraId="3EF951A8" w14:textId="2C8B2F2C"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sz w:val="18"/>
        </w:rPr>
        <w:tab/>
        <w:t>review the trading activity reports filed by each officer, director, employee/independent contractor and IAR;</w:t>
      </w:r>
    </w:p>
    <w:p w14:paraId="7DBE827A" w14:textId="77777777" w:rsidR="0075479B" w:rsidRPr="00603D9B" w:rsidRDefault="0075479B" w:rsidP="00B317FD">
      <w:pPr>
        <w:pStyle w:val="Heading3"/>
        <w:spacing w:after="0"/>
        <w:rPr>
          <w:sz w:val="18"/>
        </w:rPr>
      </w:pPr>
      <w:r w:rsidRPr="00603D9B">
        <w:rPr>
          <w:b/>
          <w:sz w:val="18"/>
        </w:rPr>
        <w:lastRenderedPageBreak/>
        <w:t>2.</w:t>
      </w:r>
      <w:r w:rsidRPr="00603D9B">
        <w:rPr>
          <w:sz w:val="18"/>
        </w:rPr>
        <w:tab/>
        <w:t xml:space="preserve">review </w:t>
      </w:r>
      <w:r w:rsidR="00A0218D" w:rsidRPr="00603D9B">
        <w:rPr>
          <w:sz w:val="18"/>
        </w:rPr>
        <w:t xml:space="preserve">a random sampling of </w:t>
      </w:r>
      <w:r w:rsidRPr="00603D9B">
        <w:rPr>
          <w:sz w:val="18"/>
        </w:rPr>
        <w:t xml:space="preserve">the trading activity of accounts managed by </w:t>
      </w:r>
      <w:r w:rsidR="004109C1">
        <w:rPr>
          <w:sz w:val="18"/>
        </w:rPr>
        <w:t>t</w:t>
      </w:r>
      <w:r w:rsidR="00485F39" w:rsidRPr="00603D9B">
        <w:rPr>
          <w:sz w:val="18"/>
        </w:rPr>
        <w:t>he Company</w:t>
      </w:r>
      <w:r w:rsidRPr="00603D9B">
        <w:rPr>
          <w:sz w:val="18"/>
        </w:rPr>
        <w:t>;</w:t>
      </w:r>
    </w:p>
    <w:p w14:paraId="10A08A78" w14:textId="77777777" w:rsidR="0075479B" w:rsidRPr="00603D9B" w:rsidRDefault="0075479B" w:rsidP="00B317FD">
      <w:pPr>
        <w:pStyle w:val="Heading3"/>
        <w:spacing w:after="0"/>
        <w:rPr>
          <w:sz w:val="18"/>
        </w:rPr>
      </w:pPr>
      <w:r w:rsidRPr="00603D9B">
        <w:rPr>
          <w:b/>
          <w:sz w:val="18"/>
        </w:rPr>
        <w:t>3.</w:t>
      </w:r>
      <w:r w:rsidRPr="00603D9B">
        <w:rPr>
          <w:sz w:val="18"/>
        </w:rPr>
        <w:tab/>
        <w:t>rev</w:t>
      </w:r>
      <w:r w:rsidR="00DA0425" w:rsidRPr="00603D9B">
        <w:rPr>
          <w:sz w:val="18"/>
        </w:rPr>
        <w:t xml:space="preserve">iew trading activity involving </w:t>
      </w:r>
      <w:r w:rsidR="004109C1">
        <w:rPr>
          <w:sz w:val="18"/>
        </w:rPr>
        <w:t>t</w:t>
      </w:r>
      <w:r w:rsidR="00485F39" w:rsidRPr="00603D9B">
        <w:rPr>
          <w:sz w:val="18"/>
        </w:rPr>
        <w:t>he Company</w:t>
      </w:r>
      <w:r w:rsidRPr="00603D9B">
        <w:rPr>
          <w:sz w:val="18"/>
        </w:rPr>
        <w:t>’s own account; and,</w:t>
      </w:r>
    </w:p>
    <w:p w14:paraId="79ECD2B7" w14:textId="77777777" w:rsidR="0075479B" w:rsidRPr="00603D9B" w:rsidRDefault="0075479B" w:rsidP="00B317FD">
      <w:pPr>
        <w:pStyle w:val="Heading3"/>
        <w:spacing w:after="0"/>
        <w:rPr>
          <w:sz w:val="18"/>
        </w:rPr>
      </w:pPr>
      <w:r w:rsidRPr="00603D9B">
        <w:rPr>
          <w:b/>
          <w:sz w:val="18"/>
        </w:rPr>
        <w:t>4.</w:t>
      </w:r>
      <w:r w:rsidRPr="00603D9B">
        <w:rPr>
          <w:sz w:val="18"/>
        </w:rPr>
        <w:tab/>
        <w:t>coordinate the review of such reports with other appropriate officers, dir</w:t>
      </w:r>
      <w:r w:rsidR="00DA0425" w:rsidRPr="00603D9B">
        <w:rPr>
          <w:sz w:val="18"/>
        </w:rPr>
        <w:t xml:space="preserve">ectors, employees and IAR’s of </w:t>
      </w:r>
      <w:r w:rsidR="004109C1">
        <w:rPr>
          <w:sz w:val="18"/>
        </w:rPr>
        <w:t>t</w:t>
      </w:r>
      <w:r w:rsidR="00485F39" w:rsidRPr="00603D9B">
        <w:rPr>
          <w:sz w:val="18"/>
        </w:rPr>
        <w:t>he Company</w:t>
      </w:r>
      <w:r w:rsidRPr="00603D9B">
        <w:rPr>
          <w:sz w:val="18"/>
        </w:rPr>
        <w:t>.</w:t>
      </w:r>
    </w:p>
    <w:p w14:paraId="0D5CAE5F" w14:textId="77777777" w:rsidR="00545206" w:rsidRPr="00603D9B" w:rsidRDefault="00545206" w:rsidP="00545206">
      <w:pPr>
        <w:rPr>
          <w:sz w:val="18"/>
        </w:rPr>
      </w:pPr>
    </w:p>
    <w:p w14:paraId="379A179A" w14:textId="3E5B0FA1" w:rsidR="00DA2EEF" w:rsidRPr="0068447B" w:rsidRDefault="0075479B" w:rsidP="00DA2EEF">
      <w:pPr>
        <w:pStyle w:val="Heading1"/>
        <w:jc w:val="left"/>
        <w:rPr>
          <w:sz w:val="24"/>
        </w:rPr>
      </w:pPr>
      <w:r w:rsidRPr="0068447B">
        <w:rPr>
          <w:sz w:val="24"/>
        </w:rPr>
        <w:fldChar w:fldCharType="begin"/>
      </w:r>
      <w:r w:rsidRPr="0068447B">
        <w:rPr>
          <w:sz w:val="24"/>
        </w:rPr>
        <w:instrText xml:space="preserve"> SEQ SeqIII \n \*ROMAN \*MERGEFORMAT </w:instrText>
      </w:r>
      <w:r w:rsidRPr="0068447B">
        <w:rPr>
          <w:sz w:val="24"/>
        </w:rPr>
        <w:fldChar w:fldCharType="separate"/>
      </w:r>
      <w:r w:rsidR="002A078E">
        <w:rPr>
          <w:noProof/>
          <w:sz w:val="24"/>
        </w:rPr>
        <w:t>XIII</w:t>
      </w:r>
      <w:r w:rsidRPr="0068447B">
        <w:rPr>
          <w:sz w:val="24"/>
        </w:rPr>
        <w:fldChar w:fldCharType="end"/>
      </w:r>
      <w:r w:rsidRPr="0068447B">
        <w:rPr>
          <w:sz w:val="24"/>
        </w:rPr>
        <w:t>.</w:t>
      </w:r>
      <w:r w:rsidRPr="0068447B">
        <w:rPr>
          <w:sz w:val="24"/>
        </w:rPr>
        <w:tab/>
        <w:t>Proxy Voting Policie</w:t>
      </w:r>
      <w:r w:rsidR="005E5FFC">
        <w:rPr>
          <w:sz w:val="24"/>
        </w:rPr>
        <w:t>s</w:t>
      </w:r>
    </w:p>
    <w:p w14:paraId="2D88456A" w14:textId="77777777" w:rsidR="0075479B" w:rsidRPr="00603D9B" w:rsidRDefault="00DA2EEF" w:rsidP="00DA2EEF">
      <w:pPr>
        <w:pStyle w:val="Heading1"/>
        <w:ind w:firstLine="0"/>
        <w:jc w:val="left"/>
        <w:rPr>
          <w:sz w:val="18"/>
        </w:rPr>
      </w:pPr>
      <w:r w:rsidRPr="00603D9B">
        <w:rPr>
          <w:sz w:val="18"/>
        </w:rPr>
        <w:t>A</w:t>
      </w:r>
      <w:r w:rsidR="0075479B" w:rsidRPr="00603D9B">
        <w:rPr>
          <w:sz w:val="18"/>
        </w:rPr>
        <w:t>.</w:t>
      </w:r>
      <w:r w:rsidR="0075479B" w:rsidRPr="00603D9B">
        <w:rPr>
          <w:sz w:val="18"/>
        </w:rPr>
        <w:tab/>
        <w:t>Proxy Voting Policies</w:t>
      </w:r>
    </w:p>
    <w:p w14:paraId="5FDBBE82" w14:textId="77777777" w:rsidR="0075479B" w:rsidRPr="00603D9B" w:rsidRDefault="00485F39">
      <w:pPr>
        <w:spacing w:after="360" w:line="360" w:lineRule="auto"/>
        <w:ind w:left="1584"/>
        <w:rPr>
          <w:sz w:val="18"/>
        </w:rPr>
      </w:pPr>
      <w:r w:rsidRPr="00603D9B">
        <w:rPr>
          <w:sz w:val="18"/>
        </w:rPr>
        <w:t>The Company</w:t>
      </w:r>
      <w:r w:rsidR="0075479B" w:rsidRPr="00603D9B">
        <w:rPr>
          <w:sz w:val="18"/>
        </w:rPr>
        <w:t xml:space="preserve"> does not vote proxies related to securities held by any client.  Where an outside manager has been hired to manage a </w:t>
      </w:r>
      <w:r w:rsidR="00B01AFD" w:rsidRPr="00603D9B">
        <w:rPr>
          <w:sz w:val="18"/>
        </w:rPr>
        <w:t>client’s</w:t>
      </w:r>
      <w:r w:rsidR="0075479B" w:rsidRPr="00603D9B">
        <w:rPr>
          <w:sz w:val="18"/>
        </w:rPr>
        <w:t xml:space="preserve"> assets, the proxy voting may or may not be performed by the manager.  Please refer to the respective manager’s disclosure brochure</w:t>
      </w:r>
      <w:r w:rsidR="00076FAC">
        <w:rPr>
          <w:sz w:val="18"/>
        </w:rPr>
        <w:t xml:space="preserve"> for details as to how they manage proxy voting on behalf of clients</w:t>
      </w:r>
      <w:r w:rsidR="0075479B" w:rsidRPr="00603D9B">
        <w:rPr>
          <w:sz w:val="18"/>
        </w:rPr>
        <w:t>.</w:t>
      </w:r>
    </w:p>
    <w:p w14:paraId="0C287A9D" w14:textId="13BB3891" w:rsidR="0075479B" w:rsidRPr="0068447B" w:rsidRDefault="0075479B">
      <w:pPr>
        <w:pStyle w:val="Heading1"/>
        <w:rPr>
          <w:sz w:val="24"/>
        </w:rPr>
      </w:pPr>
      <w:r w:rsidRPr="0068447B">
        <w:rPr>
          <w:sz w:val="24"/>
        </w:rPr>
        <w:fldChar w:fldCharType="begin"/>
      </w:r>
      <w:r w:rsidRPr="0068447B">
        <w:rPr>
          <w:sz w:val="24"/>
        </w:rPr>
        <w:instrText xml:space="preserve"> SEQ SeqIII \n \*ROMAN \*MERGEFORMAT </w:instrText>
      </w:r>
      <w:r w:rsidRPr="0068447B">
        <w:rPr>
          <w:sz w:val="24"/>
        </w:rPr>
        <w:fldChar w:fldCharType="separate"/>
      </w:r>
      <w:r w:rsidR="002A078E">
        <w:rPr>
          <w:noProof/>
          <w:sz w:val="24"/>
        </w:rPr>
        <w:t>XIV</w:t>
      </w:r>
      <w:r w:rsidRPr="0068447B">
        <w:rPr>
          <w:sz w:val="24"/>
        </w:rPr>
        <w:fldChar w:fldCharType="end"/>
      </w:r>
      <w:r w:rsidR="0068447B">
        <w:rPr>
          <w:sz w:val="24"/>
        </w:rPr>
        <w:t>.</w:t>
      </w:r>
      <w:r w:rsidRPr="0068447B">
        <w:rPr>
          <w:sz w:val="24"/>
        </w:rPr>
        <w:tab/>
        <w:t>Complaints</w:t>
      </w:r>
    </w:p>
    <w:p w14:paraId="07F49668" w14:textId="286E2774" w:rsidR="0075479B" w:rsidRPr="00603D9B" w:rsidRDefault="0075479B">
      <w:pPr>
        <w:pStyle w:val="Heading2"/>
        <w:rPr>
          <w:sz w:val="18"/>
        </w:rPr>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Supervisory Responsibility</w:t>
      </w:r>
      <w:r w:rsidRPr="00603D9B">
        <w:rPr>
          <w:sz w:val="18"/>
        </w:rPr>
        <w:t>.  The CCO shall be responsible for ensuring that all customer complaints are handled in accordance with all applicable laws, rules and regulations and in keeping with the provisions of this section.</w:t>
      </w:r>
    </w:p>
    <w:p w14:paraId="4D3ABE31" w14:textId="5C9DB79B" w:rsidR="0075479B" w:rsidRPr="00603D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Definition</w:t>
      </w:r>
      <w:r w:rsidRPr="00603D9B">
        <w:rPr>
          <w:sz w:val="18"/>
        </w:rPr>
        <w:t>.  The term “complaint” is generally defined as, “any written statement of a customer (including electronic written statements) or any person acting on behalf of a customer alleging a grievance involving the activities of thos</w:t>
      </w:r>
      <w:r w:rsidR="00DA0425" w:rsidRPr="00603D9B">
        <w:rPr>
          <w:sz w:val="18"/>
        </w:rPr>
        <w:t xml:space="preserve">e persons under the control of </w:t>
      </w:r>
      <w:r w:rsidR="004109C1">
        <w:rPr>
          <w:sz w:val="18"/>
        </w:rPr>
        <w:t>t</w:t>
      </w:r>
      <w:r w:rsidR="00485F39" w:rsidRPr="00603D9B">
        <w:rPr>
          <w:sz w:val="18"/>
        </w:rPr>
        <w:t>he Company</w:t>
      </w:r>
      <w:r w:rsidRPr="00603D9B">
        <w:rPr>
          <w:sz w:val="18"/>
        </w:rPr>
        <w:t xml:space="preserve"> in connection with the solicitation or execution of any transaction or the disposition of securities or funds of that customer”.</w:t>
      </w:r>
    </w:p>
    <w:p w14:paraId="619F304C" w14:textId="4CF3F4FC" w:rsidR="0075479B" w:rsidRPr="00603D9B" w:rsidRDefault="0075479B">
      <w:pPr>
        <w:pStyle w:val="Heading2"/>
        <w:keepNext/>
        <w:rPr>
          <w:b/>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Handling of Customer Complaints</w:t>
      </w:r>
    </w:p>
    <w:p w14:paraId="330CACED" w14:textId="7252FE25" w:rsidR="0075479B" w:rsidRDefault="0075479B" w:rsidP="0068447B">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b/>
          <w:sz w:val="18"/>
        </w:rPr>
        <w:t>.</w:t>
      </w:r>
      <w:r w:rsidRPr="00603D9B">
        <w:rPr>
          <w:b/>
          <w:sz w:val="18"/>
        </w:rPr>
        <w:tab/>
        <w:t>Representatives and Employees/Independent Contractors</w:t>
      </w:r>
      <w:r w:rsidRPr="00603D9B">
        <w:rPr>
          <w:sz w:val="18"/>
        </w:rPr>
        <w:t xml:space="preserve">.  IAR’s must notify the CCO immediately upon learning of the existence of a customer </w:t>
      </w:r>
      <w:r w:rsidR="00B01AFD" w:rsidRPr="00603D9B">
        <w:rPr>
          <w:sz w:val="18"/>
        </w:rPr>
        <w:t>complaint and</w:t>
      </w:r>
      <w:r w:rsidRPr="00603D9B">
        <w:rPr>
          <w:sz w:val="18"/>
        </w:rPr>
        <w:t xml:space="preserve"> provide the CCO with all information and documentation in their possession relating to such complaint.  IAR’s are expected to c</w:t>
      </w:r>
      <w:r w:rsidR="00DA0425" w:rsidRPr="00603D9B">
        <w:rPr>
          <w:sz w:val="18"/>
        </w:rPr>
        <w:t xml:space="preserve">ooperate fully with </w:t>
      </w:r>
      <w:r w:rsidR="004109C1">
        <w:rPr>
          <w:sz w:val="18"/>
        </w:rPr>
        <w:t>t</w:t>
      </w:r>
      <w:r w:rsidR="00485F39" w:rsidRPr="00603D9B">
        <w:rPr>
          <w:sz w:val="18"/>
        </w:rPr>
        <w:t>he Company</w:t>
      </w:r>
      <w:r w:rsidRPr="00603D9B">
        <w:rPr>
          <w:sz w:val="18"/>
        </w:rPr>
        <w:t xml:space="preserve"> and with regulatory authorities in the investigation of any customer complaint.</w:t>
      </w:r>
    </w:p>
    <w:p w14:paraId="0852C75C" w14:textId="77777777" w:rsidR="00B01AFD" w:rsidRPr="00B01AFD" w:rsidRDefault="00B01AFD" w:rsidP="00B01AFD"/>
    <w:p w14:paraId="6AB6BDEE" w14:textId="312BD00E" w:rsidR="0075479B" w:rsidRDefault="0075479B" w:rsidP="0068447B">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b/>
          <w:sz w:val="18"/>
        </w:rPr>
        <w:t>.</w:t>
      </w:r>
      <w:r w:rsidRPr="00603D9B">
        <w:rPr>
          <w:b/>
          <w:sz w:val="18"/>
        </w:rPr>
        <w:tab/>
        <w:t>Review</w:t>
      </w:r>
      <w:r w:rsidRPr="00603D9B">
        <w:rPr>
          <w:sz w:val="18"/>
        </w:rPr>
        <w:t xml:space="preserve">.  </w:t>
      </w:r>
      <w:r w:rsidR="00485F39" w:rsidRPr="00603D9B">
        <w:rPr>
          <w:sz w:val="18"/>
        </w:rPr>
        <w:t>The Company</w:t>
      </w:r>
      <w:r w:rsidRPr="00603D9B">
        <w:rPr>
          <w:sz w:val="18"/>
        </w:rPr>
        <w:t xml:space="preserve"> takes any and all customer complaints seriously and the CCO shall promptly initiate a review of the factual circumstances surrounding any written complaint that has been received.</w:t>
      </w:r>
    </w:p>
    <w:p w14:paraId="7FA1456C" w14:textId="77777777" w:rsidR="0068447B" w:rsidRPr="0068447B" w:rsidRDefault="0068447B" w:rsidP="0068447B"/>
    <w:p w14:paraId="68F14B00" w14:textId="20DFFA4E" w:rsidR="0075479B" w:rsidRDefault="0075479B" w:rsidP="0068447B">
      <w:pPr>
        <w:pStyle w:val="Heading3"/>
        <w:keepNext/>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3</w:t>
      </w:r>
      <w:r w:rsidRPr="00603D9B">
        <w:rPr>
          <w:b/>
          <w:sz w:val="18"/>
        </w:rPr>
        <w:fldChar w:fldCharType="end"/>
      </w:r>
      <w:r w:rsidRPr="00603D9B">
        <w:rPr>
          <w:b/>
          <w:sz w:val="18"/>
        </w:rPr>
        <w:t>.</w:t>
      </w:r>
      <w:r w:rsidRPr="00603D9B">
        <w:rPr>
          <w:b/>
          <w:sz w:val="18"/>
        </w:rPr>
        <w:tab/>
        <w:t>Record Keeping Requirements</w:t>
      </w:r>
      <w:r w:rsidRPr="00603D9B">
        <w:rPr>
          <w:sz w:val="18"/>
        </w:rPr>
        <w:t xml:space="preserve">.  </w:t>
      </w:r>
      <w:r w:rsidR="00485F39" w:rsidRPr="00603D9B">
        <w:rPr>
          <w:sz w:val="18"/>
        </w:rPr>
        <w:t>The Company</w:t>
      </w:r>
      <w:r w:rsidRPr="00603D9B">
        <w:rPr>
          <w:sz w:val="18"/>
        </w:rPr>
        <w:t xml:space="preserve"> shall maintain a separate file for all written and electronically transmitted customer complaints in its Main Office, to include the following information:</w:t>
      </w:r>
    </w:p>
    <w:p w14:paraId="0BD72821" w14:textId="77777777" w:rsidR="0068447B" w:rsidRPr="0068447B" w:rsidRDefault="0068447B" w:rsidP="0068447B"/>
    <w:p w14:paraId="582B2765" w14:textId="357558EC" w:rsidR="0075479B" w:rsidRPr="00603D9B" w:rsidRDefault="0075479B" w:rsidP="0068447B">
      <w:pPr>
        <w:pStyle w:val="Heading4"/>
        <w:spacing w:after="0"/>
        <w:rPr>
          <w:sz w:val="18"/>
        </w:rPr>
      </w:pPr>
      <w:r w:rsidRPr="00603D9B">
        <w:rPr>
          <w:sz w:val="18"/>
        </w:rPr>
        <w:fldChar w:fldCharType="begin"/>
      </w:r>
      <w:r w:rsidRPr="00603D9B">
        <w:rPr>
          <w:sz w:val="18"/>
        </w:rPr>
        <w:instrText xml:space="preserve"> SEQ Seqabc \r1 \*alphabetic \*MERGEFORMAT </w:instrText>
      </w:r>
      <w:r w:rsidRPr="00603D9B">
        <w:rPr>
          <w:sz w:val="18"/>
        </w:rPr>
        <w:fldChar w:fldCharType="separate"/>
      </w:r>
      <w:r w:rsidR="002A078E">
        <w:rPr>
          <w:noProof/>
          <w:sz w:val="18"/>
        </w:rPr>
        <w:t>a</w:t>
      </w:r>
      <w:r w:rsidRPr="00603D9B">
        <w:rPr>
          <w:sz w:val="18"/>
        </w:rPr>
        <w:fldChar w:fldCharType="end"/>
      </w:r>
      <w:r w:rsidRPr="00603D9B">
        <w:rPr>
          <w:sz w:val="18"/>
        </w:rPr>
        <w:t>.</w:t>
      </w:r>
      <w:r w:rsidRPr="00603D9B">
        <w:rPr>
          <w:sz w:val="18"/>
        </w:rPr>
        <w:tab/>
        <w:t>Identification of each complaint;</w:t>
      </w:r>
    </w:p>
    <w:p w14:paraId="0A932A62" w14:textId="2C1C8B2B" w:rsidR="0075479B" w:rsidRPr="00603D9B" w:rsidRDefault="0075479B" w:rsidP="00B317FD">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b</w:t>
      </w:r>
      <w:r w:rsidRPr="00603D9B">
        <w:rPr>
          <w:sz w:val="18"/>
        </w:rPr>
        <w:fldChar w:fldCharType="end"/>
      </w:r>
      <w:r w:rsidRPr="00603D9B">
        <w:rPr>
          <w:sz w:val="18"/>
        </w:rPr>
        <w:t>.</w:t>
      </w:r>
      <w:r w:rsidRPr="00603D9B">
        <w:rPr>
          <w:sz w:val="18"/>
        </w:rPr>
        <w:tab/>
        <w:t>The date each complaint was received;</w:t>
      </w:r>
    </w:p>
    <w:p w14:paraId="4ACD992A" w14:textId="4973C454" w:rsidR="0075479B" w:rsidRPr="00603D9B" w:rsidRDefault="0075479B" w:rsidP="00B317FD">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c</w:t>
      </w:r>
      <w:r w:rsidRPr="00603D9B">
        <w:rPr>
          <w:sz w:val="18"/>
        </w:rPr>
        <w:fldChar w:fldCharType="end"/>
      </w:r>
      <w:r w:rsidRPr="00603D9B">
        <w:rPr>
          <w:sz w:val="18"/>
        </w:rPr>
        <w:t>.</w:t>
      </w:r>
      <w:r w:rsidRPr="00603D9B">
        <w:rPr>
          <w:sz w:val="18"/>
        </w:rPr>
        <w:tab/>
        <w:t>Identification of each IAR servicing the account;</w:t>
      </w:r>
    </w:p>
    <w:p w14:paraId="4C79B680" w14:textId="6DBC1548" w:rsidR="0075479B" w:rsidRPr="00603D9B" w:rsidRDefault="0075479B" w:rsidP="00B317FD">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d</w:t>
      </w:r>
      <w:r w:rsidRPr="00603D9B">
        <w:rPr>
          <w:sz w:val="18"/>
        </w:rPr>
        <w:fldChar w:fldCharType="end"/>
      </w:r>
      <w:r w:rsidRPr="00603D9B">
        <w:rPr>
          <w:sz w:val="18"/>
        </w:rPr>
        <w:t>.</w:t>
      </w:r>
      <w:r w:rsidRPr="00603D9B">
        <w:rPr>
          <w:sz w:val="18"/>
        </w:rPr>
        <w:tab/>
        <w:t>A general description of the matter complained of;</w:t>
      </w:r>
    </w:p>
    <w:p w14:paraId="745B28F5" w14:textId="472034F6" w:rsidR="0075479B" w:rsidRPr="00603D9B" w:rsidRDefault="0075479B" w:rsidP="00B317FD">
      <w:pPr>
        <w:pStyle w:val="Heading4"/>
        <w:spacing w:after="0"/>
        <w:rPr>
          <w:sz w:val="18"/>
        </w:rPr>
      </w:pPr>
      <w:r w:rsidRPr="00603D9B">
        <w:rPr>
          <w:sz w:val="18"/>
        </w:rPr>
        <w:lastRenderedPageBreak/>
        <w:fldChar w:fldCharType="begin"/>
      </w:r>
      <w:r w:rsidRPr="00603D9B">
        <w:rPr>
          <w:sz w:val="18"/>
        </w:rPr>
        <w:instrText xml:space="preserve"> SEQ Seqabc \n \*alphabetic \*MERGEFORMAT </w:instrText>
      </w:r>
      <w:r w:rsidRPr="00603D9B">
        <w:rPr>
          <w:sz w:val="18"/>
        </w:rPr>
        <w:fldChar w:fldCharType="separate"/>
      </w:r>
      <w:r w:rsidR="002A078E">
        <w:rPr>
          <w:noProof/>
          <w:sz w:val="18"/>
        </w:rPr>
        <w:t>e</w:t>
      </w:r>
      <w:r w:rsidRPr="00603D9B">
        <w:rPr>
          <w:sz w:val="18"/>
        </w:rPr>
        <w:fldChar w:fldCharType="end"/>
      </w:r>
      <w:r w:rsidRPr="00603D9B">
        <w:rPr>
          <w:sz w:val="18"/>
        </w:rPr>
        <w:t>.</w:t>
      </w:r>
      <w:r w:rsidRPr="00603D9B">
        <w:rPr>
          <w:sz w:val="18"/>
        </w:rPr>
        <w:tab/>
        <w:t>Copies of all correspondence involving the complaint; and,</w:t>
      </w:r>
    </w:p>
    <w:p w14:paraId="683F44C0" w14:textId="549B0DA5" w:rsidR="0075479B" w:rsidRDefault="0075479B" w:rsidP="00B317FD">
      <w:pPr>
        <w:pStyle w:val="Heading4"/>
        <w:spacing w:after="0"/>
        <w:rPr>
          <w:sz w:val="18"/>
        </w:rPr>
      </w:pPr>
      <w:r w:rsidRPr="00603D9B">
        <w:rPr>
          <w:sz w:val="18"/>
        </w:rPr>
        <w:fldChar w:fldCharType="begin"/>
      </w:r>
      <w:r w:rsidRPr="00603D9B">
        <w:rPr>
          <w:sz w:val="18"/>
        </w:rPr>
        <w:instrText xml:space="preserve"> SEQ Seqabc \n \*alphabetic \*MERGEFORMAT </w:instrText>
      </w:r>
      <w:r w:rsidRPr="00603D9B">
        <w:rPr>
          <w:sz w:val="18"/>
        </w:rPr>
        <w:fldChar w:fldCharType="separate"/>
      </w:r>
      <w:r w:rsidR="002A078E">
        <w:rPr>
          <w:noProof/>
          <w:sz w:val="18"/>
        </w:rPr>
        <w:t>f</w:t>
      </w:r>
      <w:r w:rsidRPr="00603D9B">
        <w:rPr>
          <w:sz w:val="18"/>
        </w:rPr>
        <w:fldChar w:fldCharType="end"/>
      </w:r>
      <w:r w:rsidRPr="00603D9B">
        <w:rPr>
          <w:sz w:val="18"/>
        </w:rPr>
        <w:t>.</w:t>
      </w:r>
      <w:r w:rsidRPr="00603D9B">
        <w:rPr>
          <w:sz w:val="18"/>
        </w:rPr>
        <w:tab/>
        <w:t>The written report of the action taken with respect to the complaint.</w:t>
      </w:r>
    </w:p>
    <w:p w14:paraId="5E3D5C6E" w14:textId="77777777" w:rsidR="00545206" w:rsidRPr="00603D9B" w:rsidRDefault="00545206" w:rsidP="00545206">
      <w:pPr>
        <w:rPr>
          <w:sz w:val="18"/>
        </w:rPr>
      </w:pPr>
    </w:p>
    <w:p w14:paraId="730FCA44" w14:textId="43F4A80F" w:rsidR="0075479B" w:rsidRPr="0068447B" w:rsidRDefault="0075479B">
      <w:pPr>
        <w:pStyle w:val="Heading1"/>
        <w:rPr>
          <w:sz w:val="24"/>
        </w:rPr>
      </w:pPr>
      <w:r w:rsidRPr="0068447B">
        <w:rPr>
          <w:sz w:val="24"/>
        </w:rPr>
        <w:fldChar w:fldCharType="begin"/>
      </w:r>
      <w:r w:rsidRPr="0068447B">
        <w:rPr>
          <w:sz w:val="24"/>
        </w:rPr>
        <w:instrText xml:space="preserve"> SEQ SeqIII \n \*ROMAN \*MERGEFORMAT </w:instrText>
      </w:r>
      <w:r w:rsidRPr="0068447B">
        <w:rPr>
          <w:sz w:val="24"/>
        </w:rPr>
        <w:fldChar w:fldCharType="separate"/>
      </w:r>
      <w:r w:rsidR="002A078E">
        <w:rPr>
          <w:noProof/>
          <w:sz w:val="24"/>
        </w:rPr>
        <w:t>XV</w:t>
      </w:r>
      <w:r w:rsidRPr="0068447B">
        <w:rPr>
          <w:sz w:val="24"/>
        </w:rPr>
        <w:fldChar w:fldCharType="end"/>
      </w:r>
      <w:r w:rsidRPr="0068447B">
        <w:rPr>
          <w:sz w:val="24"/>
        </w:rPr>
        <w:t>.</w:t>
      </w:r>
      <w:r w:rsidRPr="0068447B">
        <w:rPr>
          <w:sz w:val="24"/>
        </w:rPr>
        <w:tab/>
        <w:t>Correspondence</w:t>
      </w:r>
    </w:p>
    <w:p w14:paraId="3FCF7888" w14:textId="2A10B61F" w:rsidR="00B317FD" w:rsidRPr="00B317FD" w:rsidRDefault="0075479B" w:rsidP="0068447B">
      <w:pPr>
        <w:pStyle w:val="Heading2"/>
      </w:pPr>
      <w:r w:rsidRPr="00603D9B">
        <w:rPr>
          <w:b/>
          <w:sz w:val="18"/>
        </w:rPr>
        <w:fldChar w:fldCharType="begin"/>
      </w:r>
      <w:r w:rsidRPr="00603D9B">
        <w:rPr>
          <w:b/>
          <w:sz w:val="18"/>
        </w:rPr>
        <w:instrText xml:space="preserve"> SEQ SeqA \r1 \*ALPHABETIC \*MERGEFORMAT </w:instrText>
      </w:r>
      <w:r w:rsidRPr="00603D9B">
        <w:rPr>
          <w:b/>
          <w:sz w:val="18"/>
        </w:rPr>
        <w:fldChar w:fldCharType="separate"/>
      </w:r>
      <w:r w:rsidR="002A078E">
        <w:rPr>
          <w:b/>
          <w:noProof/>
          <w:sz w:val="18"/>
        </w:rPr>
        <w:t>A</w:t>
      </w:r>
      <w:r w:rsidRPr="00603D9B">
        <w:rPr>
          <w:b/>
          <w:sz w:val="18"/>
        </w:rPr>
        <w:fldChar w:fldCharType="end"/>
      </w:r>
      <w:r w:rsidRPr="00603D9B">
        <w:rPr>
          <w:b/>
          <w:sz w:val="18"/>
        </w:rPr>
        <w:t>.</w:t>
      </w:r>
      <w:r w:rsidRPr="00603D9B">
        <w:rPr>
          <w:b/>
          <w:sz w:val="18"/>
        </w:rPr>
        <w:tab/>
        <w:t>Responsibility</w:t>
      </w:r>
      <w:r w:rsidRPr="00603D9B">
        <w:rPr>
          <w:sz w:val="18"/>
        </w:rPr>
        <w:t xml:space="preserve">.  The CCO shall be responsible for ensuring that all incoming and outgoing correspondence is in compliance with applicable laws, rules and regulations governing the activities of </w:t>
      </w:r>
      <w:r w:rsidR="004109C1">
        <w:rPr>
          <w:sz w:val="18"/>
        </w:rPr>
        <w:t>t</w:t>
      </w:r>
      <w:r w:rsidR="00485F39" w:rsidRPr="00603D9B">
        <w:rPr>
          <w:sz w:val="18"/>
        </w:rPr>
        <w:t>he Company</w:t>
      </w:r>
      <w:r w:rsidRPr="00603D9B">
        <w:rPr>
          <w:sz w:val="18"/>
        </w:rPr>
        <w:t xml:space="preserve">.  The CCO shall periodically re-evaluate the effectiveness of </w:t>
      </w:r>
      <w:r w:rsidR="004109C1">
        <w:rPr>
          <w:sz w:val="18"/>
        </w:rPr>
        <w:t>t</w:t>
      </w:r>
      <w:r w:rsidR="00485F39" w:rsidRPr="00603D9B">
        <w:rPr>
          <w:sz w:val="18"/>
        </w:rPr>
        <w:t>he Company</w:t>
      </w:r>
      <w:r w:rsidRPr="00603D9B">
        <w:rPr>
          <w:sz w:val="18"/>
        </w:rPr>
        <w:t>’s procedures regarding the review of correspondence and make revisions as are necessary.</w:t>
      </w:r>
    </w:p>
    <w:p w14:paraId="154FCD8E" w14:textId="0DEC24ED" w:rsidR="0075479B" w:rsidRDefault="0075479B">
      <w:pPr>
        <w:pStyle w:val="Heading2"/>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B</w:t>
      </w:r>
      <w:r w:rsidRPr="00603D9B">
        <w:rPr>
          <w:b/>
          <w:sz w:val="18"/>
        </w:rPr>
        <w:fldChar w:fldCharType="end"/>
      </w:r>
      <w:r w:rsidRPr="00603D9B">
        <w:rPr>
          <w:b/>
          <w:sz w:val="18"/>
        </w:rPr>
        <w:t>.</w:t>
      </w:r>
      <w:r w:rsidRPr="00603D9B">
        <w:rPr>
          <w:b/>
          <w:sz w:val="18"/>
        </w:rPr>
        <w:tab/>
        <w:t>Locations Through Which Correspondence May be Sent and Received</w:t>
      </w:r>
      <w:r w:rsidRPr="00603D9B">
        <w:rPr>
          <w:sz w:val="18"/>
        </w:rPr>
        <w:t>.  IAR’s must send and receive all correspondence at such locations and through such channels as are designa</w:t>
      </w:r>
      <w:r w:rsidR="004109C1">
        <w:rPr>
          <w:sz w:val="18"/>
        </w:rPr>
        <w:t>ted by t</w:t>
      </w:r>
      <w:r w:rsidR="00485F39" w:rsidRPr="00603D9B">
        <w:rPr>
          <w:sz w:val="18"/>
        </w:rPr>
        <w:t>he Company</w:t>
      </w:r>
      <w:r w:rsidRPr="00603D9B">
        <w:rPr>
          <w:sz w:val="18"/>
        </w:rPr>
        <w:t xml:space="preserve">.  No Company related correspondence of any kind, including electronic correspondence, may be sent or received through the </w:t>
      </w:r>
      <w:r w:rsidR="00076FAC">
        <w:rPr>
          <w:sz w:val="18"/>
        </w:rPr>
        <w:t xml:space="preserve">personal e-mail or from the home of an IAR.  If physical mail must be sent from a non-business </w:t>
      </w:r>
      <w:r w:rsidR="00B01AFD">
        <w:rPr>
          <w:sz w:val="18"/>
        </w:rPr>
        <w:t>location, a</w:t>
      </w:r>
      <w:r w:rsidR="00076FAC">
        <w:rPr>
          <w:sz w:val="18"/>
        </w:rPr>
        <w:t xml:space="preserve"> copy must be sent</w:t>
      </w:r>
      <w:r w:rsidR="004109C1">
        <w:rPr>
          <w:sz w:val="18"/>
        </w:rPr>
        <w:t xml:space="preserve"> to and approval received from t</w:t>
      </w:r>
      <w:r w:rsidR="00076FAC">
        <w:rPr>
          <w:sz w:val="18"/>
        </w:rPr>
        <w:t>he  Company prior to mailing</w:t>
      </w:r>
      <w:r w:rsidRPr="00603D9B">
        <w:rPr>
          <w:sz w:val="18"/>
        </w:rPr>
        <w:t>.</w:t>
      </w:r>
    </w:p>
    <w:p w14:paraId="318D7363" w14:textId="1BCC54CF" w:rsidR="0075479B" w:rsidRPr="00603D9B" w:rsidRDefault="0075479B">
      <w:pPr>
        <w:pStyle w:val="Heading2"/>
        <w:keepNext/>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C</w:t>
      </w:r>
      <w:r w:rsidRPr="00603D9B">
        <w:rPr>
          <w:b/>
          <w:sz w:val="18"/>
        </w:rPr>
        <w:fldChar w:fldCharType="end"/>
      </w:r>
      <w:r w:rsidRPr="00603D9B">
        <w:rPr>
          <w:b/>
          <w:sz w:val="18"/>
        </w:rPr>
        <w:t>.</w:t>
      </w:r>
      <w:r w:rsidRPr="00603D9B">
        <w:rPr>
          <w:b/>
          <w:sz w:val="18"/>
        </w:rPr>
        <w:tab/>
        <w:t>Approval</w:t>
      </w:r>
      <w:r w:rsidRPr="00603D9B">
        <w:rPr>
          <w:sz w:val="18"/>
        </w:rPr>
        <w:t>.  Review of correspondence shall be evidenced by (as applicable):</w:t>
      </w:r>
    </w:p>
    <w:p w14:paraId="1A907CA7" w14:textId="304EC88C" w:rsidR="0075479B" w:rsidRPr="00603D9B" w:rsidRDefault="0075479B" w:rsidP="00B317FD">
      <w:pPr>
        <w:pStyle w:val="Heading3"/>
        <w:spacing w:after="0"/>
        <w:rPr>
          <w:sz w:val="18"/>
        </w:rPr>
      </w:pPr>
      <w:r w:rsidRPr="00603D9B">
        <w:rPr>
          <w:b/>
          <w:sz w:val="18"/>
        </w:rPr>
        <w:fldChar w:fldCharType="begin"/>
      </w:r>
      <w:r w:rsidRPr="00603D9B">
        <w:rPr>
          <w:b/>
          <w:sz w:val="18"/>
        </w:rPr>
        <w:instrText xml:space="preserve"> SEQ Seq1 \r1 \*Arabic \* MERGEFORMAT </w:instrText>
      </w:r>
      <w:r w:rsidRPr="00603D9B">
        <w:rPr>
          <w:b/>
          <w:sz w:val="18"/>
        </w:rPr>
        <w:fldChar w:fldCharType="separate"/>
      </w:r>
      <w:r w:rsidR="002A078E">
        <w:rPr>
          <w:b/>
          <w:noProof/>
          <w:sz w:val="18"/>
        </w:rPr>
        <w:t>1</w:t>
      </w:r>
      <w:r w:rsidRPr="00603D9B">
        <w:rPr>
          <w:b/>
          <w:sz w:val="18"/>
        </w:rPr>
        <w:fldChar w:fldCharType="end"/>
      </w:r>
      <w:r w:rsidRPr="00603D9B">
        <w:rPr>
          <w:sz w:val="18"/>
        </w:rPr>
        <w:t>.</w:t>
      </w:r>
      <w:r w:rsidRPr="00603D9B">
        <w:rPr>
          <w:sz w:val="18"/>
        </w:rPr>
        <w:tab/>
        <w:t xml:space="preserve">initialing and dating </w:t>
      </w:r>
      <w:r w:rsidR="004109C1">
        <w:rPr>
          <w:sz w:val="18"/>
        </w:rPr>
        <w:t>t</w:t>
      </w:r>
      <w:r w:rsidR="00485F39" w:rsidRPr="00603D9B">
        <w:rPr>
          <w:sz w:val="18"/>
        </w:rPr>
        <w:t>he Company</w:t>
      </w:r>
      <w:r w:rsidRPr="00603D9B">
        <w:rPr>
          <w:sz w:val="18"/>
        </w:rPr>
        <w:t>’s file copy of written correspondence; or,</w:t>
      </w:r>
    </w:p>
    <w:p w14:paraId="340AC46C" w14:textId="703B9825" w:rsidR="0075479B" w:rsidRDefault="0075479B" w:rsidP="00B317FD">
      <w:pPr>
        <w:pStyle w:val="Heading3"/>
        <w:spacing w:after="0"/>
        <w:rPr>
          <w:sz w:val="18"/>
        </w:rPr>
      </w:pPr>
      <w:r w:rsidRPr="00603D9B">
        <w:rPr>
          <w:b/>
          <w:sz w:val="18"/>
        </w:rPr>
        <w:fldChar w:fldCharType="begin"/>
      </w:r>
      <w:r w:rsidRPr="00603D9B">
        <w:rPr>
          <w:b/>
          <w:sz w:val="18"/>
        </w:rPr>
        <w:instrText xml:space="preserve"> SEQ Seq1 \n \*Arabic \*MERGEFORMAT </w:instrText>
      </w:r>
      <w:r w:rsidRPr="00603D9B">
        <w:rPr>
          <w:b/>
          <w:sz w:val="18"/>
        </w:rPr>
        <w:fldChar w:fldCharType="separate"/>
      </w:r>
      <w:r w:rsidR="002A078E">
        <w:rPr>
          <w:b/>
          <w:noProof/>
          <w:sz w:val="18"/>
        </w:rPr>
        <w:t>2</w:t>
      </w:r>
      <w:r w:rsidRPr="00603D9B">
        <w:rPr>
          <w:b/>
          <w:sz w:val="18"/>
        </w:rPr>
        <w:fldChar w:fldCharType="end"/>
      </w:r>
      <w:r w:rsidRPr="00603D9B">
        <w:rPr>
          <w:sz w:val="18"/>
        </w:rPr>
        <w:t>.</w:t>
      </w:r>
      <w:r w:rsidRPr="00603D9B">
        <w:rPr>
          <w:sz w:val="18"/>
        </w:rPr>
        <w:tab/>
      </w:r>
      <w:r w:rsidR="00545206" w:rsidRPr="00603D9B">
        <w:rPr>
          <w:sz w:val="18"/>
        </w:rPr>
        <w:t xml:space="preserve">being </w:t>
      </w:r>
      <w:r w:rsidR="0063516D" w:rsidRPr="00603D9B">
        <w:rPr>
          <w:sz w:val="18"/>
        </w:rPr>
        <w:t xml:space="preserve">maintained </w:t>
      </w:r>
      <w:r w:rsidR="00B150EF">
        <w:rPr>
          <w:sz w:val="18"/>
        </w:rPr>
        <w:t xml:space="preserve">and </w:t>
      </w:r>
      <w:r w:rsidR="0063516D" w:rsidRPr="00603D9B">
        <w:rPr>
          <w:sz w:val="18"/>
        </w:rPr>
        <w:t xml:space="preserve">archived at </w:t>
      </w:r>
      <w:r w:rsidR="00B150EF">
        <w:rPr>
          <w:sz w:val="18"/>
        </w:rPr>
        <w:t>Smarsh</w:t>
      </w:r>
      <w:r w:rsidR="002D4A54" w:rsidRPr="00603D9B">
        <w:rPr>
          <w:sz w:val="18"/>
        </w:rPr>
        <w:t>, our e-mail vendor.</w:t>
      </w:r>
      <w:r w:rsidR="00545206" w:rsidRPr="00603D9B">
        <w:rPr>
          <w:sz w:val="18"/>
        </w:rPr>
        <w:t xml:space="preserve">  The reviewer’s name and date of review will also be maintained.</w:t>
      </w:r>
    </w:p>
    <w:p w14:paraId="1C1E2E17" w14:textId="77777777" w:rsidR="00B317FD" w:rsidRPr="00B317FD" w:rsidRDefault="00B317FD" w:rsidP="00B317FD"/>
    <w:p w14:paraId="4CDAED70" w14:textId="041D9523" w:rsidR="0075479B" w:rsidRDefault="0075479B" w:rsidP="00B317FD">
      <w:pPr>
        <w:pStyle w:val="Heading2"/>
        <w:spacing w:after="0"/>
        <w:rPr>
          <w:sz w:val="18"/>
        </w:rPr>
      </w:pPr>
      <w:r w:rsidRPr="00603D9B">
        <w:rPr>
          <w:b/>
          <w:sz w:val="18"/>
        </w:rPr>
        <w:fldChar w:fldCharType="begin"/>
      </w:r>
      <w:r w:rsidRPr="00603D9B">
        <w:rPr>
          <w:b/>
          <w:sz w:val="18"/>
        </w:rPr>
        <w:instrText xml:space="preserve"> SEQ SeqA \n \*ALPHABETIC \*MERGEFORMAT </w:instrText>
      </w:r>
      <w:r w:rsidRPr="00603D9B">
        <w:rPr>
          <w:b/>
          <w:sz w:val="18"/>
        </w:rPr>
        <w:fldChar w:fldCharType="separate"/>
      </w:r>
      <w:r w:rsidR="002A078E">
        <w:rPr>
          <w:b/>
          <w:noProof/>
          <w:sz w:val="18"/>
        </w:rPr>
        <w:t>D</w:t>
      </w:r>
      <w:r w:rsidRPr="00603D9B">
        <w:rPr>
          <w:b/>
          <w:sz w:val="18"/>
        </w:rPr>
        <w:fldChar w:fldCharType="end"/>
      </w:r>
      <w:r w:rsidRPr="00603D9B">
        <w:rPr>
          <w:b/>
          <w:sz w:val="18"/>
        </w:rPr>
        <w:t>.</w:t>
      </w:r>
      <w:r w:rsidRPr="00603D9B">
        <w:rPr>
          <w:b/>
          <w:sz w:val="18"/>
        </w:rPr>
        <w:tab/>
        <w:t>Records</w:t>
      </w:r>
      <w:r w:rsidRPr="00603D9B">
        <w:rPr>
          <w:sz w:val="18"/>
        </w:rPr>
        <w:t xml:space="preserve">.  Copies of all reviewed correspondence shall be maintained at the Main Office for a period of not less than </w:t>
      </w:r>
      <w:r w:rsidR="00A0218D" w:rsidRPr="00603D9B">
        <w:rPr>
          <w:sz w:val="18"/>
        </w:rPr>
        <w:t>5</w:t>
      </w:r>
      <w:r w:rsidRPr="00603D9B">
        <w:rPr>
          <w:sz w:val="18"/>
        </w:rPr>
        <w:t xml:space="preserve"> years.  </w:t>
      </w:r>
    </w:p>
    <w:p w14:paraId="05D3CDAA" w14:textId="77777777" w:rsidR="00B317FD" w:rsidRPr="00B317FD" w:rsidRDefault="00B317FD" w:rsidP="00B317FD"/>
    <w:p w14:paraId="29859C6B" w14:textId="77777777" w:rsidR="0075479B" w:rsidRPr="00603D9B" w:rsidRDefault="00D735AD" w:rsidP="0068447B">
      <w:pPr>
        <w:pStyle w:val="Heading2"/>
        <w:rPr>
          <w:sz w:val="18"/>
        </w:rPr>
      </w:pPr>
      <w:r>
        <w:rPr>
          <w:b/>
          <w:sz w:val="18"/>
        </w:rPr>
        <w:t>E</w:t>
      </w:r>
      <w:r w:rsidR="0075479B" w:rsidRPr="00603D9B">
        <w:rPr>
          <w:b/>
          <w:sz w:val="18"/>
        </w:rPr>
        <w:t>.</w:t>
      </w:r>
      <w:r w:rsidR="0075479B" w:rsidRPr="00603D9B">
        <w:rPr>
          <w:b/>
          <w:sz w:val="18"/>
        </w:rPr>
        <w:tab/>
        <w:t>Cold Calling/Telephone Solicitation</w:t>
      </w:r>
      <w:r w:rsidR="0075479B" w:rsidRPr="00603D9B">
        <w:rPr>
          <w:sz w:val="18"/>
        </w:rPr>
        <w:t xml:space="preserve">.  </w:t>
      </w:r>
      <w:r w:rsidR="00485F39" w:rsidRPr="00603D9B">
        <w:rPr>
          <w:sz w:val="18"/>
        </w:rPr>
        <w:t>The Company</w:t>
      </w:r>
      <w:r w:rsidR="0075479B" w:rsidRPr="00603D9B">
        <w:rPr>
          <w:sz w:val="18"/>
        </w:rPr>
        <w:t xml:space="preserve"> does not generally permit cold calling.  </w:t>
      </w:r>
      <w:r w:rsidR="00485F39" w:rsidRPr="00603D9B">
        <w:rPr>
          <w:sz w:val="18"/>
        </w:rPr>
        <w:t xml:space="preserve">However, IAR’s are able to hire marketing staff that include cold calling in their activities.  If such an employee is hired by an IAR, it is the IAR’s responsibility to verify that the employee is contacting only businesses in their cold calling marketing efforts.  </w:t>
      </w:r>
      <w:r w:rsidR="00E71640" w:rsidRPr="00603D9B">
        <w:rPr>
          <w:sz w:val="18"/>
        </w:rPr>
        <w:t>I</w:t>
      </w:r>
      <w:r w:rsidR="0075479B" w:rsidRPr="00603D9B">
        <w:rPr>
          <w:sz w:val="18"/>
        </w:rPr>
        <w:t xml:space="preserve">n the event </w:t>
      </w:r>
      <w:r w:rsidR="00485F39" w:rsidRPr="00603D9B">
        <w:rPr>
          <w:sz w:val="18"/>
        </w:rPr>
        <w:t>the IAR wishes to have their employee contact residential prospects</w:t>
      </w:r>
      <w:r w:rsidR="0075479B" w:rsidRPr="00603D9B">
        <w:rPr>
          <w:sz w:val="18"/>
        </w:rPr>
        <w:t xml:space="preserve">, </w:t>
      </w:r>
      <w:r w:rsidR="00485F39" w:rsidRPr="00603D9B">
        <w:rPr>
          <w:sz w:val="18"/>
        </w:rPr>
        <w:t>the IAR</w:t>
      </w:r>
      <w:r w:rsidR="004109C1">
        <w:rPr>
          <w:sz w:val="18"/>
        </w:rPr>
        <w:t xml:space="preserve"> is responsible for contacting t</w:t>
      </w:r>
      <w:r w:rsidR="00485F39" w:rsidRPr="00603D9B">
        <w:rPr>
          <w:sz w:val="18"/>
        </w:rPr>
        <w:t>he Company</w:t>
      </w:r>
      <w:r w:rsidR="0075479B" w:rsidRPr="00603D9B">
        <w:rPr>
          <w:sz w:val="18"/>
        </w:rPr>
        <w:t xml:space="preserve"> </w:t>
      </w:r>
      <w:r w:rsidR="00485F39" w:rsidRPr="00603D9B">
        <w:rPr>
          <w:sz w:val="18"/>
        </w:rPr>
        <w:t xml:space="preserve">to implement required procedures to verify such calls are made within the allowed parameters of the National Do-Not-Call Registry and that the staff person </w:t>
      </w:r>
      <w:r w:rsidR="0075479B" w:rsidRPr="00603D9B">
        <w:rPr>
          <w:sz w:val="18"/>
        </w:rPr>
        <w:t xml:space="preserve">will abide by any FCC/FTC </w:t>
      </w:r>
      <w:r w:rsidR="0018760B">
        <w:rPr>
          <w:sz w:val="18"/>
        </w:rPr>
        <w:t xml:space="preserve">or other applicable </w:t>
      </w:r>
      <w:r w:rsidR="004109C1">
        <w:rPr>
          <w:sz w:val="18"/>
        </w:rPr>
        <w:t>r</w:t>
      </w:r>
      <w:r w:rsidR="0018760B">
        <w:rPr>
          <w:sz w:val="18"/>
        </w:rPr>
        <w:t xml:space="preserve">egulatory </w:t>
      </w:r>
      <w:r w:rsidR="004109C1">
        <w:rPr>
          <w:sz w:val="18"/>
        </w:rPr>
        <w:t>r</w:t>
      </w:r>
      <w:r w:rsidR="0075479B" w:rsidRPr="00603D9B">
        <w:rPr>
          <w:sz w:val="18"/>
        </w:rPr>
        <w:t xml:space="preserve">ule as it relates to </w:t>
      </w:r>
      <w:r w:rsidR="00485F39" w:rsidRPr="00603D9B">
        <w:rPr>
          <w:sz w:val="18"/>
        </w:rPr>
        <w:t>their cold calling efforts.</w:t>
      </w:r>
      <w:r w:rsidR="0075479B" w:rsidRPr="00603D9B">
        <w:rPr>
          <w:sz w:val="18"/>
        </w:rPr>
        <w:t xml:space="preserve">  </w:t>
      </w:r>
    </w:p>
    <w:sectPr w:rsidR="0075479B" w:rsidRPr="00603D9B" w:rsidSect="00B317FD">
      <w:footerReference w:type="default" r:id="rId13"/>
      <w:footerReference w:type="first" r:id="rId14"/>
      <w:pgSz w:w="12240" w:h="15840" w:code="1"/>
      <w:pgMar w:top="1440" w:right="1440" w:bottom="1260" w:left="1440" w:header="1440" w:footer="864"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ADCF" w14:textId="77777777" w:rsidR="00D92EE3" w:rsidRDefault="00D92EE3">
      <w:r>
        <w:separator/>
      </w:r>
    </w:p>
  </w:endnote>
  <w:endnote w:type="continuationSeparator" w:id="0">
    <w:p w14:paraId="5130B745" w14:textId="77777777" w:rsidR="00D92EE3" w:rsidRDefault="00D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enst480 BT">
    <w:altName w:val="Book Antiqu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E4E7" w14:textId="77777777" w:rsidR="00D92EE3" w:rsidRDefault="00D92EE3" w:rsidP="00315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C314E" w14:textId="77777777" w:rsidR="00D92EE3" w:rsidRDefault="00D9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EC9" w14:textId="77777777" w:rsidR="00D92EE3" w:rsidRDefault="00D92EE3" w:rsidP="00AC2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14:paraId="1065AED1" w14:textId="77777777" w:rsidR="00D92EE3" w:rsidRDefault="00D92EE3">
    <w:pPr>
      <w:pStyle w:val="Foote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2D81" w14:textId="77777777" w:rsidR="00D92EE3" w:rsidRDefault="00D92EE3">
    <w:pPr>
      <w:pStyle w:val="Footer"/>
    </w:pPr>
    <w:r>
      <w:rPr>
        <w:sz w:val="16"/>
      </w:rPr>
      <w:tab/>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Pr>
        <w:rStyle w:val="PageNumber"/>
        <w:rFonts w:ascii="Times New Roman" w:hAnsi="Times New Roman"/>
        <w:noProof/>
        <w:sz w:val="20"/>
        <w:szCs w:val="20"/>
      </w:rPr>
      <w:t>- 1 -</w:t>
    </w:r>
    <w:r>
      <w:rPr>
        <w:rStyle w:val="PageNumber"/>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20AB" w14:textId="77777777" w:rsidR="00D92EE3" w:rsidRDefault="00D92EE3" w:rsidP="00DC1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14:paraId="304C122B" w14:textId="77777777" w:rsidR="00D92EE3" w:rsidRDefault="00D92EE3">
    <w:pPr>
      <w:pStyle w:val="Footer"/>
      <w:rPr>
        <w:rFonts w:ascii="Arial" w:hAnsi="Arial" w:cs="Arial"/>
      </w:rPr>
    </w:pPr>
    <w:r>
      <w:rPr>
        <w:rFonts w:ascii="Arial" w:hAnsi="Arial" w:cs="Arial"/>
        <w:sz w:val="20"/>
        <w:szCs w:val="20"/>
      </w:rPr>
      <w:tab/>
    </w:r>
    <w:r>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8865" w14:textId="77777777" w:rsidR="00D92EE3" w:rsidRDefault="00D92EE3">
    <w:pPr>
      <w:pStyle w:val="Footer"/>
      <w:rPr>
        <w:rFonts w:ascii="Arial" w:hAnsi="Arial" w:cs="Arial"/>
        <w:sz w:val="20"/>
        <w:szCs w:val="20"/>
      </w:rPr>
    </w:pPr>
    <w:r>
      <w:rPr>
        <w:rFonts w:ascii="Arial" w:hAnsi="Arial" w:cs="Arial"/>
        <w:sz w:val="20"/>
        <w:szCs w:val="20"/>
      </w:rPr>
      <w:t>Section I</w:t>
    </w:r>
    <w:r>
      <w:rPr>
        <w:rFonts w:ascii="Arial" w:hAnsi="Arial" w:cs="Arial"/>
        <w:sz w:val="20"/>
        <w:szCs w:val="20"/>
      </w:rPr>
      <w:tab/>
      <w:t>Introduction Page</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5</w:t>
    </w:r>
    <w:r>
      <w:rPr>
        <w:rStyle w:val="PageNumber"/>
        <w:rFonts w:ascii="Arial" w:hAnsi="Arial" w:cs="Arial"/>
        <w:sz w:val="20"/>
        <w:szCs w:val="20"/>
      </w:rPr>
      <w:fldChar w:fldCharType="end"/>
    </w:r>
  </w:p>
  <w:p w14:paraId="52B35864" w14:textId="77777777" w:rsidR="00D92EE3" w:rsidRDefault="00D92EE3">
    <w:pPr>
      <w:pStyle w:val="Footer"/>
      <w:rPr>
        <w:rFonts w:ascii="Arial" w:hAnsi="Arial" w:cs="Arial"/>
      </w:rPr>
    </w:pPr>
    <w:r>
      <w:rPr>
        <w:rFonts w:ascii="Arial" w:hAnsi="Arial" w:cs="Arial"/>
        <w:sz w:val="16"/>
      </w:rPr>
      <w:t>2393316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E15F" w14:textId="77777777" w:rsidR="00D92EE3" w:rsidRDefault="00D92EE3" w:rsidP="00DC1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- 34 -</w:t>
    </w:r>
    <w:r>
      <w:rPr>
        <w:rStyle w:val="PageNumber"/>
      </w:rPr>
      <w:fldChar w:fldCharType="end"/>
    </w:r>
  </w:p>
  <w:p w14:paraId="4005B169" w14:textId="77777777" w:rsidR="00D92EE3" w:rsidRDefault="00D92EE3">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012" w14:textId="77777777" w:rsidR="00D92EE3" w:rsidRDefault="00D92EE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8E6A" w14:textId="77777777" w:rsidR="00D92EE3" w:rsidRDefault="00D92EE3">
      <w:r>
        <w:separator/>
      </w:r>
    </w:p>
  </w:footnote>
  <w:footnote w:type="continuationSeparator" w:id="0">
    <w:p w14:paraId="330F5036" w14:textId="77777777" w:rsidR="00D92EE3" w:rsidRDefault="00D92EE3">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4EB"/>
    <w:multiLevelType w:val="hybridMultilevel"/>
    <w:tmpl w:val="C71C0C2E"/>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7C96"/>
    <w:multiLevelType w:val="hybridMultilevel"/>
    <w:tmpl w:val="143224BA"/>
    <w:lvl w:ilvl="0" w:tplc="6E1802E8">
      <w:start w:val="5"/>
      <w:numFmt w:val="upperLetter"/>
      <w:lvlText w:val="%1."/>
      <w:lvlJc w:val="left"/>
      <w:pPr>
        <w:tabs>
          <w:tab w:val="num" w:pos="1350"/>
        </w:tabs>
        <w:ind w:left="1350" w:hanging="450"/>
      </w:pPr>
      <w:rPr>
        <w:rFonts w:hint="default"/>
        <w:b/>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2" w15:restartNumberingAfterBreak="0">
    <w:nsid w:val="07050431"/>
    <w:multiLevelType w:val="hybridMultilevel"/>
    <w:tmpl w:val="597AF91A"/>
    <w:lvl w:ilvl="0" w:tplc="06F09C6E">
      <w:start w:val="1"/>
      <w:numFmt w:val="upperLetter"/>
      <w:lvlText w:val="%1."/>
      <w:lvlJc w:val="left"/>
      <w:pPr>
        <w:tabs>
          <w:tab w:val="num" w:pos="1155"/>
        </w:tabs>
        <w:ind w:left="1155" w:hanging="495"/>
      </w:pPr>
      <w:rPr>
        <w:rFonts w:cs="Arial" w:hint="default"/>
        <w:b/>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082F2E79"/>
    <w:multiLevelType w:val="multilevel"/>
    <w:tmpl w:val="714E3042"/>
    <w:lvl w:ilvl="0">
      <w:start w:val="1"/>
      <w:numFmt w:val="bullet"/>
      <w:lvlText w:val=""/>
      <w:lvlJc w:val="left"/>
      <w:pPr>
        <w:tabs>
          <w:tab w:val="num" w:pos="-108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66583"/>
    <w:multiLevelType w:val="hybridMultilevel"/>
    <w:tmpl w:val="593E3060"/>
    <w:lvl w:ilvl="0" w:tplc="7A709F9A">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0A37236C"/>
    <w:multiLevelType w:val="multilevel"/>
    <w:tmpl w:val="2F9A6D22"/>
    <w:lvl w:ilvl="0">
      <w:start w:val="1"/>
      <w:numFmt w:val="upperLetter"/>
      <w:lvlText w:val="%1."/>
      <w:lvlJc w:val="left"/>
      <w:pPr>
        <w:tabs>
          <w:tab w:val="num" w:pos="1155"/>
        </w:tabs>
        <w:ind w:left="1155" w:hanging="495"/>
      </w:pPr>
      <w:rPr>
        <w:rFonts w:cs="Arial"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6" w15:restartNumberingAfterBreak="0">
    <w:nsid w:val="0AE92D7C"/>
    <w:multiLevelType w:val="hybridMultilevel"/>
    <w:tmpl w:val="B76AEF38"/>
    <w:lvl w:ilvl="0" w:tplc="1C426F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473D3"/>
    <w:multiLevelType w:val="hybridMultilevel"/>
    <w:tmpl w:val="507E6EA4"/>
    <w:lvl w:ilvl="0" w:tplc="285C997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EDA"/>
    <w:multiLevelType w:val="hybridMultilevel"/>
    <w:tmpl w:val="D42C2926"/>
    <w:lvl w:ilvl="0" w:tplc="56FA2AA8">
      <w:start w:val="1"/>
      <w:numFmt w:val="upp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1A4D23F8"/>
    <w:multiLevelType w:val="hybridMultilevel"/>
    <w:tmpl w:val="9A68EE26"/>
    <w:lvl w:ilvl="0" w:tplc="4CCE03CA">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 w15:restartNumberingAfterBreak="0">
    <w:nsid w:val="1AFB3E33"/>
    <w:multiLevelType w:val="hybridMultilevel"/>
    <w:tmpl w:val="FC282132"/>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B48E5"/>
    <w:multiLevelType w:val="hybridMultilevel"/>
    <w:tmpl w:val="81C4BCB2"/>
    <w:lvl w:ilvl="0" w:tplc="CBC26C2E">
      <w:start w:val="1"/>
      <w:numFmt w:val="upp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2" w15:restartNumberingAfterBreak="0">
    <w:nsid w:val="23564699"/>
    <w:multiLevelType w:val="hybridMultilevel"/>
    <w:tmpl w:val="51BC0E30"/>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65F27"/>
    <w:multiLevelType w:val="hybridMultilevel"/>
    <w:tmpl w:val="345E719E"/>
    <w:lvl w:ilvl="0" w:tplc="8C94A29A">
      <w:start w:val="1"/>
      <w:numFmt w:val="bullet"/>
      <w:lvlText w:val=""/>
      <w:lvlJc w:val="left"/>
      <w:pPr>
        <w:tabs>
          <w:tab w:val="num" w:pos="-108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F2816"/>
    <w:multiLevelType w:val="hybridMultilevel"/>
    <w:tmpl w:val="389AE3BE"/>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440CB"/>
    <w:multiLevelType w:val="hybridMultilevel"/>
    <w:tmpl w:val="E6DACC60"/>
    <w:lvl w:ilvl="0" w:tplc="458C61DE">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6" w15:restartNumberingAfterBreak="0">
    <w:nsid w:val="2C0E5178"/>
    <w:multiLevelType w:val="hybridMultilevel"/>
    <w:tmpl w:val="CE8EAAC2"/>
    <w:lvl w:ilvl="0" w:tplc="9E84A686">
      <w:start w:val="1"/>
      <w:numFmt w:val="decimal"/>
      <w:lvlText w:val="(%1)"/>
      <w:lvlJc w:val="left"/>
      <w:pPr>
        <w:ind w:left="1650" w:hanging="360"/>
      </w:pPr>
      <w:rPr>
        <w:rFonts w:cs="Arial" w:hint="default"/>
        <w:sz w:val="18"/>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2E2C7D62"/>
    <w:multiLevelType w:val="multilevel"/>
    <w:tmpl w:val="D1F64B34"/>
    <w:lvl w:ilvl="0">
      <w:start w:val="5"/>
      <w:numFmt w:val="upperLetter"/>
      <w:lvlText w:val="%1."/>
      <w:lvlJc w:val="left"/>
      <w:pPr>
        <w:tabs>
          <w:tab w:val="num" w:pos="1220"/>
        </w:tabs>
        <w:ind w:left="1220" w:hanging="450"/>
      </w:pPr>
      <w:rPr>
        <w:rFonts w:hint="default"/>
      </w:r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8" w15:restartNumberingAfterBreak="0">
    <w:nsid w:val="33CF52C7"/>
    <w:multiLevelType w:val="multilevel"/>
    <w:tmpl w:val="FC282132"/>
    <w:lvl w:ilvl="0">
      <w:start w:val="1"/>
      <w:numFmt w:val="bullet"/>
      <w:lvlText w:val=""/>
      <w:lvlJc w:val="left"/>
      <w:pPr>
        <w:tabs>
          <w:tab w:val="num" w:pos="-108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02933"/>
    <w:multiLevelType w:val="hybridMultilevel"/>
    <w:tmpl w:val="714E3042"/>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9062C"/>
    <w:multiLevelType w:val="hybridMultilevel"/>
    <w:tmpl w:val="EEC0C6FE"/>
    <w:lvl w:ilvl="0" w:tplc="3A3A2648">
      <w:start w:val="3"/>
      <w:numFmt w:val="decimal"/>
      <w:lvlText w:val="%1."/>
      <w:lvlJc w:val="left"/>
      <w:pPr>
        <w:tabs>
          <w:tab w:val="num" w:pos="1512"/>
        </w:tabs>
        <w:ind w:left="1512" w:hanging="360"/>
      </w:pPr>
      <w:rPr>
        <w:rFonts w:hint="default"/>
        <w:b/>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15:restartNumberingAfterBreak="0">
    <w:nsid w:val="4289458F"/>
    <w:multiLevelType w:val="hybridMultilevel"/>
    <w:tmpl w:val="725A4D04"/>
    <w:lvl w:ilvl="0" w:tplc="F13C3F30">
      <w:start w:val="3"/>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2" w15:restartNumberingAfterBreak="0">
    <w:nsid w:val="43456989"/>
    <w:multiLevelType w:val="hybridMultilevel"/>
    <w:tmpl w:val="18666022"/>
    <w:lvl w:ilvl="0" w:tplc="7ABAC1EE">
      <w:start w:val="8"/>
      <w:numFmt w:val="decimal"/>
      <w:lvlText w:val="%1."/>
      <w:lvlJc w:val="left"/>
      <w:pPr>
        <w:tabs>
          <w:tab w:val="num" w:pos="1704"/>
        </w:tabs>
        <w:ind w:left="1704" w:hanging="420"/>
      </w:pPr>
      <w:rPr>
        <w:rFonts w:hint="default"/>
        <w:b/>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23" w15:restartNumberingAfterBreak="0">
    <w:nsid w:val="4B8E52CE"/>
    <w:multiLevelType w:val="hybridMultilevel"/>
    <w:tmpl w:val="6518E03C"/>
    <w:lvl w:ilvl="0" w:tplc="07B06D42">
      <w:start w:val="1"/>
      <w:numFmt w:val="upperLetter"/>
      <w:lvlText w:val="%1."/>
      <w:lvlJc w:val="left"/>
      <w:pPr>
        <w:tabs>
          <w:tab w:val="num" w:pos="1085"/>
        </w:tabs>
        <w:ind w:left="1085" w:hanging="360"/>
      </w:pPr>
      <w:rPr>
        <w:rFonts w:hint="default"/>
        <w:b/>
      </w:rPr>
    </w:lvl>
    <w:lvl w:ilvl="1" w:tplc="F828975E">
      <w:start w:val="1"/>
      <w:numFmt w:val="decimal"/>
      <w:lvlText w:val="%2."/>
      <w:lvlJc w:val="left"/>
      <w:pPr>
        <w:tabs>
          <w:tab w:val="num" w:pos="1865"/>
        </w:tabs>
        <w:ind w:left="1865" w:hanging="435"/>
      </w:pPr>
      <w:rPr>
        <w:rFonts w:ascii="Times New Roman" w:eastAsia="Times New Roman" w:hAnsi="Times New Roman" w:cs="Times New Roman"/>
        <w:b/>
      </w:r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4" w15:restartNumberingAfterBreak="0">
    <w:nsid w:val="4FB5075E"/>
    <w:multiLevelType w:val="hybridMultilevel"/>
    <w:tmpl w:val="7DEC67A8"/>
    <w:lvl w:ilvl="0" w:tplc="A50EAA3E">
      <w:start w:val="5"/>
      <w:numFmt w:val="upperLetter"/>
      <w:lvlText w:val="%1."/>
      <w:lvlJc w:val="left"/>
      <w:pPr>
        <w:tabs>
          <w:tab w:val="num" w:pos="1170"/>
        </w:tabs>
        <w:ind w:left="117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1E7E3C"/>
    <w:multiLevelType w:val="hybridMultilevel"/>
    <w:tmpl w:val="D856008A"/>
    <w:lvl w:ilvl="0" w:tplc="457C15F0">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57B9172E"/>
    <w:multiLevelType w:val="hybridMultilevel"/>
    <w:tmpl w:val="E80C91BC"/>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8200C"/>
    <w:multiLevelType w:val="hybridMultilevel"/>
    <w:tmpl w:val="BC383676"/>
    <w:lvl w:ilvl="0" w:tplc="BA04E578">
      <w:start w:val="1"/>
      <w:numFmt w:val="upperRoman"/>
      <w:lvlText w:val="%1."/>
      <w:lvlJc w:val="left"/>
      <w:pPr>
        <w:ind w:left="1526" w:hanging="72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15:restartNumberingAfterBreak="0">
    <w:nsid w:val="59055CCD"/>
    <w:multiLevelType w:val="multilevel"/>
    <w:tmpl w:val="C71C0C2E"/>
    <w:lvl w:ilvl="0">
      <w:start w:val="1"/>
      <w:numFmt w:val="bullet"/>
      <w:lvlText w:val=""/>
      <w:lvlJc w:val="left"/>
      <w:pPr>
        <w:tabs>
          <w:tab w:val="num" w:pos="-108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02941"/>
    <w:multiLevelType w:val="hybridMultilevel"/>
    <w:tmpl w:val="AA7AA104"/>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25FE8"/>
    <w:multiLevelType w:val="hybridMultilevel"/>
    <w:tmpl w:val="26B08448"/>
    <w:lvl w:ilvl="0" w:tplc="8C94A29A">
      <w:start w:val="1"/>
      <w:numFmt w:val="bullet"/>
      <w:lvlText w:val=""/>
      <w:lvlJc w:val="left"/>
      <w:pPr>
        <w:tabs>
          <w:tab w:val="num" w:pos="-108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40D66"/>
    <w:multiLevelType w:val="hybridMultilevel"/>
    <w:tmpl w:val="49F0F28E"/>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E03A1"/>
    <w:multiLevelType w:val="hybridMultilevel"/>
    <w:tmpl w:val="1BE2322E"/>
    <w:lvl w:ilvl="0" w:tplc="10CE0A30">
      <w:start w:val="3"/>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3" w15:restartNumberingAfterBreak="0">
    <w:nsid w:val="72660AD9"/>
    <w:multiLevelType w:val="hybridMultilevel"/>
    <w:tmpl w:val="DEA61F42"/>
    <w:lvl w:ilvl="0" w:tplc="BEB8410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410671A"/>
    <w:multiLevelType w:val="hybridMultilevel"/>
    <w:tmpl w:val="72164A16"/>
    <w:lvl w:ilvl="0" w:tplc="161CB56C">
      <w:start w:val="1"/>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5" w15:restartNumberingAfterBreak="0">
    <w:nsid w:val="781A596E"/>
    <w:multiLevelType w:val="hybridMultilevel"/>
    <w:tmpl w:val="A0FC6C0A"/>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E2823F7"/>
    <w:multiLevelType w:val="hybridMultilevel"/>
    <w:tmpl w:val="BD3C241E"/>
    <w:lvl w:ilvl="0" w:tplc="8C94A29A">
      <w:start w:val="1"/>
      <w:numFmt w:val="bullet"/>
      <w:lvlText w:val=""/>
      <w:lvlJc w:val="left"/>
      <w:pPr>
        <w:tabs>
          <w:tab w:val="num" w:pos="-108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36"/>
  </w:num>
  <w:num w:numId="2">
    <w:abstractNumId w:val="35"/>
  </w:num>
  <w:num w:numId="3">
    <w:abstractNumId w:val="10"/>
  </w:num>
  <w:num w:numId="4">
    <w:abstractNumId w:val="13"/>
  </w:num>
  <w:num w:numId="5">
    <w:abstractNumId w:val="0"/>
  </w:num>
  <w:num w:numId="6">
    <w:abstractNumId w:val="14"/>
  </w:num>
  <w:num w:numId="7">
    <w:abstractNumId w:val="30"/>
  </w:num>
  <w:num w:numId="8">
    <w:abstractNumId w:val="12"/>
  </w:num>
  <w:num w:numId="9">
    <w:abstractNumId w:val="26"/>
  </w:num>
  <w:num w:numId="10">
    <w:abstractNumId w:val="19"/>
  </w:num>
  <w:num w:numId="11">
    <w:abstractNumId w:val="31"/>
  </w:num>
  <w:num w:numId="12">
    <w:abstractNumId w:val="29"/>
  </w:num>
  <w:num w:numId="13">
    <w:abstractNumId w:val="7"/>
  </w:num>
  <w:num w:numId="14">
    <w:abstractNumId w:val="18"/>
  </w:num>
  <w:num w:numId="15">
    <w:abstractNumId w:val="3"/>
  </w:num>
  <w:num w:numId="16">
    <w:abstractNumId w:val="21"/>
  </w:num>
  <w:num w:numId="17">
    <w:abstractNumId w:val="32"/>
  </w:num>
  <w:num w:numId="18">
    <w:abstractNumId w:val="20"/>
  </w:num>
  <w:num w:numId="19">
    <w:abstractNumId w:val="24"/>
  </w:num>
  <w:num w:numId="20">
    <w:abstractNumId w:val="28"/>
  </w:num>
  <w:num w:numId="21">
    <w:abstractNumId w:val="2"/>
  </w:num>
  <w:num w:numId="22">
    <w:abstractNumId w:val="5"/>
  </w:num>
  <w:num w:numId="23">
    <w:abstractNumId w:val="25"/>
  </w:num>
  <w:num w:numId="24">
    <w:abstractNumId w:val="1"/>
  </w:num>
  <w:num w:numId="25">
    <w:abstractNumId w:val="23"/>
  </w:num>
  <w:num w:numId="26">
    <w:abstractNumId w:val="22"/>
  </w:num>
  <w:num w:numId="27">
    <w:abstractNumId w:val="34"/>
  </w:num>
  <w:num w:numId="28">
    <w:abstractNumId w:val="6"/>
  </w:num>
  <w:num w:numId="29">
    <w:abstractNumId w:val="11"/>
  </w:num>
  <w:num w:numId="30">
    <w:abstractNumId w:val="17"/>
  </w:num>
  <w:num w:numId="31">
    <w:abstractNumId w:val="8"/>
  </w:num>
  <w:num w:numId="32">
    <w:abstractNumId w:val="33"/>
  </w:num>
  <w:num w:numId="33">
    <w:abstractNumId w:val="27"/>
  </w:num>
  <w:num w:numId="34">
    <w:abstractNumId w:val="9"/>
  </w:num>
  <w:num w:numId="35">
    <w:abstractNumId w:val="16"/>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F3"/>
    <w:rsid w:val="00002779"/>
    <w:rsid w:val="000407E0"/>
    <w:rsid w:val="00041DEE"/>
    <w:rsid w:val="00046F90"/>
    <w:rsid w:val="0006398F"/>
    <w:rsid w:val="0006578E"/>
    <w:rsid w:val="0007221B"/>
    <w:rsid w:val="00076FAC"/>
    <w:rsid w:val="000828F7"/>
    <w:rsid w:val="00082A53"/>
    <w:rsid w:val="0009490E"/>
    <w:rsid w:val="000A6CC3"/>
    <w:rsid w:val="000B25EB"/>
    <w:rsid w:val="000B7849"/>
    <w:rsid w:val="000C74D1"/>
    <w:rsid w:val="000D1BAD"/>
    <w:rsid w:val="000D33D6"/>
    <w:rsid w:val="000D359C"/>
    <w:rsid w:val="000F34BD"/>
    <w:rsid w:val="00102345"/>
    <w:rsid w:val="0011091C"/>
    <w:rsid w:val="00120753"/>
    <w:rsid w:val="0012203C"/>
    <w:rsid w:val="0012204C"/>
    <w:rsid w:val="00125AE5"/>
    <w:rsid w:val="0014452F"/>
    <w:rsid w:val="001752C4"/>
    <w:rsid w:val="00181331"/>
    <w:rsid w:val="0018760B"/>
    <w:rsid w:val="001916C4"/>
    <w:rsid w:val="0019405E"/>
    <w:rsid w:val="00194513"/>
    <w:rsid w:val="001A7824"/>
    <w:rsid w:val="001E2BBC"/>
    <w:rsid w:val="001E5450"/>
    <w:rsid w:val="001E6F7B"/>
    <w:rsid w:val="001F0BCF"/>
    <w:rsid w:val="002424A4"/>
    <w:rsid w:val="002424CA"/>
    <w:rsid w:val="0027055D"/>
    <w:rsid w:val="002A078E"/>
    <w:rsid w:val="002A4912"/>
    <w:rsid w:val="002A5D38"/>
    <w:rsid w:val="002B02A0"/>
    <w:rsid w:val="002C6720"/>
    <w:rsid w:val="002D41D3"/>
    <w:rsid w:val="002D4A54"/>
    <w:rsid w:val="00307AA0"/>
    <w:rsid w:val="00315DF8"/>
    <w:rsid w:val="00322967"/>
    <w:rsid w:val="00325109"/>
    <w:rsid w:val="0032584C"/>
    <w:rsid w:val="003322F8"/>
    <w:rsid w:val="003329B6"/>
    <w:rsid w:val="00333358"/>
    <w:rsid w:val="0034375E"/>
    <w:rsid w:val="00367790"/>
    <w:rsid w:val="00386ACE"/>
    <w:rsid w:val="00386CEA"/>
    <w:rsid w:val="003874A6"/>
    <w:rsid w:val="003D7EF3"/>
    <w:rsid w:val="003E3ADB"/>
    <w:rsid w:val="003E3DD1"/>
    <w:rsid w:val="003F3113"/>
    <w:rsid w:val="003F3B3D"/>
    <w:rsid w:val="003F74E1"/>
    <w:rsid w:val="004109C1"/>
    <w:rsid w:val="00425CA8"/>
    <w:rsid w:val="004444E9"/>
    <w:rsid w:val="004503CF"/>
    <w:rsid w:val="00461C9F"/>
    <w:rsid w:val="00464EAD"/>
    <w:rsid w:val="00464FAE"/>
    <w:rsid w:val="00485F39"/>
    <w:rsid w:val="004C2F20"/>
    <w:rsid w:val="004C4085"/>
    <w:rsid w:val="004C57A6"/>
    <w:rsid w:val="004C7144"/>
    <w:rsid w:val="004F2CD0"/>
    <w:rsid w:val="00501C6B"/>
    <w:rsid w:val="00510657"/>
    <w:rsid w:val="0051466C"/>
    <w:rsid w:val="00523515"/>
    <w:rsid w:val="0052398E"/>
    <w:rsid w:val="005275FF"/>
    <w:rsid w:val="005309AD"/>
    <w:rsid w:val="00531413"/>
    <w:rsid w:val="00545206"/>
    <w:rsid w:val="00551956"/>
    <w:rsid w:val="00567B3E"/>
    <w:rsid w:val="005760E4"/>
    <w:rsid w:val="00592DAB"/>
    <w:rsid w:val="00596849"/>
    <w:rsid w:val="005A7130"/>
    <w:rsid w:val="005B2CC2"/>
    <w:rsid w:val="005B398B"/>
    <w:rsid w:val="005D0919"/>
    <w:rsid w:val="005D1700"/>
    <w:rsid w:val="005E1851"/>
    <w:rsid w:val="005E5FFC"/>
    <w:rsid w:val="005F0FBC"/>
    <w:rsid w:val="00603D9B"/>
    <w:rsid w:val="00607E6A"/>
    <w:rsid w:val="00616432"/>
    <w:rsid w:val="0063516D"/>
    <w:rsid w:val="0065184A"/>
    <w:rsid w:val="00654BE5"/>
    <w:rsid w:val="0068447B"/>
    <w:rsid w:val="00686D0F"/>
    <w:rsid w:val="006B3B9D"/>
    <w:rsid w:val="006D0D38"/>
    <w:rsid w:val="006D4B5A"/>
    <w:rsid w:val="006E3AFA"/>
    <w:rsid w:val="006F4BE4"/>
    <w:rsid w:val="007052F0"/>
    <w:rsid w:val="007058A1"/>
    <w:rsid w:val="00711294"/>
    <w:rsid w:val="007226D5"/>
    <w:rsid w:val="00726CF1"/>
    <w:rsid w:val="0074120D"/>
    <w:rsid w:val="0075479B"/>
    <w:rsid w:val="00764BCB"/>
    <w:rsid w:val="007732D3"/>
    <w:rsid w:val="00781EF3"/>
    <w:rsid w:val="007B166A"/>
    <w:rsid w:val="007D6233"/>
    <w:rsid w:val="007E0F10"/>
    <w:rsid w:val="007F27F9"/>
    <w:rsid w:val="007F5E5F"/>
    <w:rsid w:val="00803A14"/>
    <w:rsid w:val="00813944"/>
    <w:rsid w:val="00813F24"/>
    <w:rsid w:val="00815989"/>
    <w:rsid w:val="00854D9E"/>
    <w:rsid w:val="00856D35"/>
    <w:rsid w:val="008628A4"/>
    <w:rsid w:val="00871B91"/>
    <w:rsid w:val="00872ACB"/>
    <w:rsid w:val="00872C85"/>
    <w:rsid w:val="008A5C6B"/>
    <w:rsid w:val="008B0EAD"/>
    <w:rsid w:val="008B4478"/>
    <w:rsid w:val="008D5E8E"/>
    <w:rsid w:val="008F3115"/>
    <w:rsid w:val="008F3171"/>
    <w:rsid w:val="00906F76"/>
    <w:rsid w:val="00907E58"/>
    <w:rsid w:val="00920102"/>
    <w:rsid w:val="00924AA1"/>
    <w:rsid w:val="00925318"/>
    <w:rsid w:val="00936B29"/>
    <w:rsid w:val="00944267"/>
    <w:rsid w:val="00950E84"/>
    <w:rsid w:val="0095696B"/>
    <w:rsid w:val="0098338B"/>
    <w:rsid w:val="0098762D"/>
    <w:rsid w:val="00992E08"/>
    <w:rsid w:val="009A1659"/>
    <w:rsid w:val="009A3809"/>
    <w:rsid w:val="009B56CE"/>
    <w:rsid w:val="009D52C5"/>
    <w:rsid w:val="009E000A"/>
    <w:rsid w:val="009F3C52"/>
    <w:rsid w:val="00A0218D"/>
    <w:rsid w:val="00A037DB"/>
    <w:rsid w:val="00A1781C"/>
    <w:rsid w:val="00A57076"/>
    <w:rsid w:val="00A725B4"/>
    <w:rsid w:val="00A74AE4"/>
    <w:rsid w:val="00A76170"/>
    <w:rsid w:val="00A83D82"/>
    <w:rsid w:val="00A904BD"/>
    <w:rsid w:val="00AA21C4"/>
    <w:rsid w:val="00AA3423"/>
    <w:rsid w:val="00AA4E65"/>
    <w:rsid w:val="00AC2DCE"/>
    <w:rsid w:val="00AD086B"/>
    <w:rsid w:val="00AE5E5D"/>
    <w:rsid w:val="00B01AFD"/>
    <w:rsid w:val="00B10A19"/>
    <w:rsid w:val="00B11E98"/>
    <w:rsid w:val="00B150EF"/>
    <w:rsid w:val="00B3144D"/>
    <w:rsid w:val="00B317FD"/>
    <w:rsid w:val="00B372E6"/>
    <w:rsid w:val="00B41615"/>
    <w:rsid w:val="00B568D3"/>
    <w:rsid w:val="00B638D4"/>
    <w:rsid w:val="00B64772"/>
    <w:rsid w:val="00B65312"/>
    <w:rsid w:val="00B655EC"/>
    <w:rsid w:val="00B72734"/>
    <w:rsid w:val="00B9138C"/>
    <w:rsid w:val="00BA2880"/>
    <w:rsid w:val="00BA2962"/>
    <w:rsid w:val="00BB1493"/>
    <w:rsid w:val="00BB1D40"/>
    <w:rsid w:val="00BD239B"/>
    <w:rsid w:val="00BE1FB9"/>
    <w:rsid w:val="00BF1A58"/>
    <w:rsid w:val="00BF2AE6"/>
    <w:rsid w:val="00BF2F62"/>
    <w:rsid w:val="00BF5503"/>
    <w:rsid w:val="00C110FA"/>
    <w:rsid w:val="00C15342"/>
    <w:rsid w:val="00C16ABF"/>
    <w:rsid w:val="00C27460"/>
    <w:rsid w:val="00C36DD6"/>
    <w:rsid w:val="00C52B29"/>
    <w:rsid w:val="00C56278"/>
    <w:rsid w:val="00C67A3D"/>
    <w:rsid w:val="00C8452E"/>
    <w:rsid w:val="00C87047"/>
    <w:rsid w:val="00CC33AC"/>
    <w:rsid w:val="00CC5A81"/>
    <w:rsid w:val="00CD2284"/>
    <w:rsid w:val="00CE3098"/>
    <w:rsid w:val="00CE7AC4"/>
    <w:rsid w:val="00D0026A"/>
    <w:rsid w:val="00D0091A"/>
    <w:rsid w:val="00D1165B"/>
    <w:rsid w:val="00D22CFF"/>
    <w:rsid w:val="00D2340E"/>
    <w:rsid w:val="00D252D5"/>
    <w:rsid w:val="00D256EF"/>
    <w:rsid w:val="00D3078B"/>
    <w:rsid w:val="00D53018"/>
    <w:rsid w:val="00D56A30"/>
    <w:rsid w:val="00D735AD"/>
    <w:rsid w:val="00D740C5"/>
    <w:rsid w:val="00D92EE3"/>
    <w:rsid w:val="00DA0425"/>
    <w:rsid w:val="00DA2EEF"/>
    <w:rsid w:val="00DA5EFB"/>
    <w:rsid w:val="00DA6026"/>
    <w:rsid w:val="00DC1B5E"/>
    <w:rsid w:val="00DC1D1F"/>
    <w:rsid w:val="00DC4C74"/>
    <w:rsid w:val="00DC5697"/>
    <w:rsid w:val="00DD7CFF"/>
    <w:rsid w:val="00DE47B0"/>
    <w:rsid w:val="00DF265D"/>
    <w:rsid w:val="00DF780C"/>
    <w:rsid w:val="00E052B3"/>
    <w:rsid w:val="00E148AF"/>
    <w:rsid w:val="00E14EAF"/>
    <w:rsid w:val="00E25C09"/>
    <w:rsid w:val="00E326E6"/>
    <w:rsid w:val="00E531F0"/>
    <w:rsid w:val="00E55075"/>
    <w:rsid w:val="00E642A7"/>
    <w:rsid w:val="00E70CF2"/>
    <w:rsid w:val="00E71640"/>
    <w:rsid w:val="00E723EA"/>
    <w:rsid w:val="00E77770"/>
    <w:rsid w:val="00E831B5"/>
    <w:rsid w:val="00E85D8B"/>
    <w:rsid w:val="00E92345"/>
    <w:rsid w:val="00E942C4"/>
    <w:rsid w:val="00EB1066"/>
    <w:rsid w:val="00EB1C64"/>
    <w:rsid w:val="00ED2E93"/>
    <w:rsid w:val="00EE183C"/>
    <w:rsid w:val="00EE5518"/>
    <w:rsid w:val="00F01999"/>
    <w:rsid w:val="00F01D30"/>
    <w:rsid w:val="00F072AA"/>
    <w:rsid w:val="00F11E85"/>
    <w:rsid w:val="00F20E54"/>
    <w:rsid w:val="00F2180A"/>
    <w:rsid w:val="00F40535"/>
    <w:rsid w:val="00F5771E"/>
    <w:rsid w:val="00F63ED9"/>
    <w:rsid w:val="00F7289D"/>
    <w:rsid w:val="00F829DD"/>
    <w:rsid w:val="00F93300"/>
    <w:rsid w:val="00F97088"/>
    <w:rsid w:val="00FA08E3"/>
    <w:rsid w:val="00FA2D99"/>
    <w:rsid w:val="00FA344D"/>
    <w:rsid w:val="00FB0513"/>
    <w:rsid w:val="00FB1403"/>
    <w:rsid w:val="00FB26A2"/>
    <w:rsid w:val="00FE080C"/>
    <w:rsid w:val="00FE2308"/>
    <w:rsid w:val="00FE34BB"/>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227C610"/>
  <w15:chartTrackingRefBased/>
  <w15:docId w15:val="{ED3B0CA8-AB6B-4E39-A8B2-D72312E1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qFormat/>
    <w:pPr>
      <w:keepNext/>
      <w:spacing w:after="360" w:line="360" w:lineRule="auto"/>
      <w:ind w:left="720" w:hanging="720"/>
      <w:outlineLvl w:val="0"/>
    </w:pPr>
    <w:rPr>
      <w:rFonts w:cs="Arial"/>
      <w:b/>
      <w:bCs/>
      <w:smallCaps/>
    </w:rPr>
  </w:style>
  <w:style w:type="paragraph" w:styleId="Heading2">
    <w:name w:val="heading 2"/>
    <w:basedOn w:val="Normal"/>
    <w:next w:val="Normal"/>
    <w:qFormat/>
    <w:pPr>
      <w:spacing w:after="360" w:line="360" w:lineRule="auto"/>
      <w:ind w:left="1152" w:hanging="432"/>
      <w:outlineLvl w:val="1"/>
    </w:pPr>
    <w:rPr>
      <w:rFonts w:cs="Arial"/>
      <w:bCs/>
      <w:iCs/>
    </w:rPr>
  </w:style>
  <w:style w:type="paragraph" w:styleId="Heading3">
    <w:name w:val="heading 3"/>
    <w:basedOn w:val="Normal"/>
    <w:next w:val="Normal"/>
    <w:qFormat/>
    <w:pPr>
      <w:spacing w:after="360" w:line="360" w:lineRule="auto"/>
      <w:ind w:left="1584" w:hanging="432"/>
      <w:outlineLvl w:val="2"/>
    </w:pPr>
    <w:rPr>
      <w:rFonts w:cs="Arial"/>
      <w:bCs/>
    </w:rPr>
  </w:style>
  <w:style w:type="paragraph" w:styleId="Heading4">
    <w:name w:val="heading 4"/>
    <w:basedOn w:val="Normal"/>
    <w:next w:val="Normal"/>
    <w:qFormat/>
    <w:pPr>
      <w:spacing w:after="360" w:line="360" w:lineRule="auto"/>
      <w:ind w:left="2016" w:hanging="432"/>
      <w:outlineLvl w:val="3"/>
    </w:pPr>
    <w:rPr>
      <w:bCs/>
    </w:rPr>
  </w:style>
  <w:style w:type="paragraph" w:styleId="Heading5">
    <w:name w:val="heading 5"/>
    <w:basedOn w:val="Normal"/>
    <w:next w:val="Normal"/>
    <w:qFormat/>
    <w:pPr>
      <w:spacing w:after="360" w:line="360" w:lineRule="auto"/>
      <w:ind w:left="2448" w:hanging="432"/>
      <w:outlineLvl w:val="4"/>
    </w:pPr>
    <w:rPr>
      <w:bCs/>
      <w:iCs/>
    </w:rPr>
  </w:style>
  <w:style w:type="paragraph" w:styleId="Heading6">
    <w:name w:val="heading 6"/>
    <w:basedOn w:val="Normal"/>
    <w:next w:val="Normal"/>
    <w:qFormat/>
    <w:pPr>
      <w:spacing w:after="360" w:line="360" w:lineRule="auto"/>
      <w:ind w:left="2880" w:hanging="432"/>
      <w:outlineLvl w:val="5"/>
    </w:pPr>
    <w:rPr>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Cs/>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60"/>
    </w:pPr>
    <w:rPr>
      <w:sz w:val="20"/>
      <w:szCs w:val="20"/>
    </w:rPr>
  </w:style>
  <w:style w:type="paragraph" w:styleId="Header">
    <w:name w:val="header"/>
    <w:basedOn w:val="Normal"/>
    <w:pPr>
      <w:tabs>
        <w:tab w:val="center" w:pos="4680"/>
        <w:tab w:val="right" w:pos="9360"/>
      </w:tabs>
    </w:pPr>
  </w:style>
  <w:style w:type="character" w:styleId="PageNumber">
    <w:name w:val="page number"/>
    <w:basedOn w:val="DefaultParagraphFont"/>
    <w:rPr>
      <w:rFonts w:ascii="Kuenst480 BT" w:hAnsi="Kuenst480 BT"/>
      <w:sz w:val="22"/>
      <w:szCs w:val="2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right="720"/>
    </w:pPr>
  </w:style>
  <w:style w:type="paragraph" w:styleId="TOC2">
    <w:name w:val="toc 2"/>
    <w:basedOn w:val="Normal"/>
    <w:next w:val="Normal"/>
    <w:autoRedefine/>
    <w:semiHidden/>
    <w:pPr>
      <w:ind w:left="216" w:right="720"/>
    </w:pPr>
  </w:style>
  <w:style w:type="paragraph" w:styleId="TOC3">
    <w:name w:val="toc 3"/>
    <w:basedOn w:val="Normal"/>
    <w:next w:val="Normal"/>
    <w:autoRedefine/>
    <w:semiHidden/>
    <w:pPr>
      <w:ind w:left="446" w:right="720"/>
    </w:pPr>
  </w:style>
  <w:style w:type="paragraph" w:styleId="TOC4">
    <w:name w:val="toc 4"/>
    <w:basedOn w:val="Normal"/>
    <w:next w:val="Normal"/>
    <w:autoRedefine/>
    <w:semiHidden/>
    <w:pPr>
      <w:ind w:left="662" w:right="720"/>
    </w:pPr>
  </w:style>
  <w:style w:type="paragraph" w:styleId="TOC5">
    <w:name w:val="toc 5"/>
    <w:basedOn w:val="Normal"/>
    <w:next w:val="Normal"/>
    <w:autoRedefine/>
    <w:semiHidden/>
    <w:pPr>
      <w:ind w:left="878" w:right="720"/>
    </w:pPr>
  </w:style>
  <w:style w:type="paragraph" w:styleId="TOC6">
    <w:name w:val="toc 6"/>
    <w:basedOn w:val="Normal"/>
    <w:next w:val="Normal"/>
    <w:autoRedefine/>
    <w:semiHidden/>
    <w:pPr>
      <w:ind w:left="1094" w:right="720"/>
    </w:pPr>
  </w:style>
  <w:style w:type="paragraph" w:styleId="TOC7">
    <w:name w:val="toc 7"/>
    <w:basedOn w:val="Normal"/>
    <w:next w:val="Normal"/>
    <w:autoRedefine/>
    <w:semiHidden/>
    <w:pPr>
      <w:ind w:left="1325" w:right="720"/>
    </w:pPr>
  </w:style>
  <w:style w:type="paragraph" w:styleId="TOC8">
    <w:name w:val="toc 8"/>
    <w:basedOn w:val="Normal"/>
    <w:next w:val="Normal"/>
    <w:autoRedefine/>
    <w:semiHidden/>
    <w:pPr>
      <w:ind w:left="1541" w:right="720"/>
    </w:pPr>
  </w:style>
  <w:style w:type="paragraph" w:styleId="TOC9">
    <w:name w:val="toc 9"/>
    <w:basedOn w:val="Normal"/>
    <w:next w:val="Normal"/>
    <w:autoRedefine/>
    <w:semiHidden/>
    <w:pPr>
      <w:ind w:left="1757" w:right="720"/>
    </w:pPr>
  </w:style>
  <w:style w:type="paragraph" w:styleId="Index1">
    <w:name w:val="index 1"/>
    <w:basedOn w:val="Normal"/>
    <w:next w:val="Normal"/>
    <w:autoRedefine/>
    <w:semiHidden/>
  </w:style>
  <w:style w:type="paragraph" w:styleId="IndexHeading">
    <w:name w:val="index heading"/>
    <w:basedOn w:val="Normal"/>
    <w:next w:val="Index1"/>
    <w:semiHidden/>
    <w:rPr>
      <w:rFonts w:ascii="Arial" w:hAnsi="Arial" w:cs="Arial"/>
      <w:b/>
      <w:bCs/>
    </w:rPr>
  </w:style>
  <w:style w:type="character" w:styleId="FollowedHyperlink">
    <w:name w:val="FollowedHyperlink"/>
  </w:style>
  <w:style w:type="character" w:styleId="Hyperlink">
    <w:name w:val="Hyperlink"/>
    <w:basedOn w:val="FollowedHyperlink"/>
  </w:style>
  <w:style w:type="character" w:styleId="LineNumber">
    <w:name w:val="line number"/>
    <w:basedOn w:val="FollowedHyperlink"/>
  </w:style>
  <w:style w:type="paragraph" w:styleId="PlainText">
    <w:name w:val="Plain Text"/>
    <w:basedOn w:val="Index1"/>
  </w:style>
  <w:style w:type="paragraph" w:styleId="Subtitle">
    <w:name w:val="Subtitle"/>
    <w:basedOn w:val="PlainText"/>
    <w:qFormat/>
  </w:style>
  <w:style w:type="paragraph" w:styleId="Title">
    <w:name w:val="Title"/>
    <w:basedOn w:val="Normal"/>
    <w:qFormat/>
  </w:style>
  <w:style w:type="character" w:styleId="CommentReference">
    <w:name w:val="annotation reference"/>
    <w:basedOn w:val="DefaultParagraphFont"/>
    <w:semiHidden/>
    <w:rsid w:val="00464FAE"/>
    <w:rPr>
      <w:sz w:val="16"/>
      <w:szCs w:val="16"/>
    </w:rPr>
  </w:style>
  <w:style w:type="paragraph" w:customStyle="1" w:styleId="StyleHeading3Bold">
    <w:name w:val="Style Heading 3 + Bold"/>
    <w:basedOn w:val="Heading3"/>
    <w:pPr>
      <w:ind w:left="1800"/>
    </w:pPr>
    <w:rPr>
      <w:b/>
    </w:rPr>
  </w:style>
  <w:style w:type="paragraph" w:styleId="CommentText">
    <w:name w:val="annotation text"/>
    <w:basedOn w:val="Normal"/>
    <w:semiHidden/>
    <w:rsid w:val="00464FAE"/>
    <w:rPr>
      <w:sz w:val="20"/>
      <w:szCs w:val="20"/>
    </w:rPr>
  </w:style>
  <w:style w:type="paragraph" w:styleId="CommentSubject">
    <w:name w:val="annotation subject"/>
    <w:basedOn w:val="CommentText"/>
    <w:next w:val="CommentText"/>
    <w:semiHidden/>
    <w:rsid w:val="00464FAE"/>
    <w:rPr>
      <w:b/>
      <w:bCs/>
    </w:rPr>
  </w:style>
  <w:style w:type="paragraph" w:styleId="BalloonText">
    <w:name w:val="Balloon Text"/>
    <w:basedOn w:val="Normal"/>
    <w:semiHidden/>
    <w:rsid w:val="00464FAE"/>
    <w:rPr>
      <w:rFonts w:ascii="Tahoma" w:hAnsi="Tahoma" w:cs="Tahoma"/>
      <w:sz w:val="16"/>
      <w:szCs w:val="16"/>
    </w:rPr>
  </w:style>
  <w:style w:type="paragraph" w:styleId="NoSpacing">
    <w:name w:val="No Spacing"/>
    <w:uiPriority w:val="1"/>
    <w:qFormat/>
    <w:rsid w:val="00603D9B"/>
    <w:pPr>
      <w:jc w:val="both"/>
    </w:pPr>
    <w:rPr>
      <w:sz w:val="22"/>
      <w:szCs w:val="22"/>
    </w:rPr>
  </w:style>
  <w:style w:type="paragraph" w:styleId="ListParagraph">
    <w:name w:val="List Paragraph"/>
    <w:basedOn w:val="Normal"/>
    <w:uiPriority w:val="34"/>
    <w:qFormat/>
    <w:rsid w:val="003F74E1"/>
    <w:pPr>
      <w:ind w:left="720"/>
    </w:pPr>
  </w:style>
  <w:style w:type="paragraph" w:styleId="NormalWeb">
    <w:name w:val="Normal (Web)"/>
    <w:basedOn w:val="Normal"/>
    <w:uiPriority w:val="99"/>
    <w:semiHidden/>
    <w:unhideWhenUsed/>
    <w:rsid w:val="0051466C"/>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DD6B-F0E7-416C-B1F8-FCEA6FDE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15328</Words>
  <Characters>87376</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MODEL</vt:lpstr>
    </vt:vector>
  </TitlesOfParts>
  <Company>Thompson Coburn LLP</Company>
  <LinksUpToDate>false</LinksUpToDate>
  <CharactersWithSpaces>102500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SJOGREND</dc:creator>
  <cp:keywords/>
  <cp:lastModifiedBy>Deborah Castiglioni</cp:lastModifiedBy>
  <cp:revision>8</cp:revision>
  <cp:lastPrinted>2022-03-30T21:37:00Z</cp:lastPrinted>
  <dcterms:created xsi:type="dcterms:W3CDTF">2022-03-30T20:13:00Z</dcterms:created>
  <dcterms:modified xsi:type="dcterms:W3CDTF">2022-03-30T21:37:00Z</dcterms:modified>
</cp:coreProperties>
</file>