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B3" w:rsidRPr="00D415A8" w:rsidRDefault="00967BB3" w:rsidP="00967BB3">
      <w:pPr>
        <w:spacing w:after="12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5072380" cy="1544320"/>
            <wp:effectExtent l="0" t="0" r="0" b="0"/>
            <wp:docPr id="4" name="Picture 4" descr="C:\Users\Sue\Pictures\SafeHarb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ictures\SafeHarbo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2380" cy="1544320"/>
                    </a:xfrm>
                    <a:prstGeom prst="rect">
                      <a:avLst/>
                    </a:prstGeom>
                    <a:noFill/>
                    <a:ln>
                      <a:noFill/>
                    </a:ln>
                  </pic:spPr>
                </pic:pic>
              </a:graphicData>
            </a:graphic>
          </wp:inline>
        </w:drawing>
      </w:r>
    </w:p>
    <w:p w:rsidR="00967BB3" w:rsidRPr="00D415A8" w:rsidRDefault="00967BB3" w:rsidP="00967BB3">
      <w:pPr>
        <w:spacing w:after="120" w:line="240" w:lineRule="auto"/>
        <w:rPr>
          <w:rFonts w:ascii="Verdana" w:eastAsia="Times New Roman" w:hAnsi="Verdana" w:cs="Times New Roman"/>
          <w:sz w:val="18"/>
          <w:szCs w:val="18"/>
        </w:rPr>
      </w:pPr>
      <w:r w:rsidRPr="00D415A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14:anchorId="1CB42849" wp14:editId="467A49BE">
            <wp:extent cx="1302385" cy="1561465"/>
            <wp:effectExtent l="0" t="0" r="0" b="635"/>
            <wp:docPr id="2" name="Picture 2" descr="pat picture crop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 picture cropped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2385" cy="1561465"/>
                    </a:xfrm>
                    <a:prstGeom prst="rect">
                      <a:avLst/>
                    </a:prstGeom>
                    <a:noFill/>
                    <a:ln>
                      <a:noFill/>
                    </a:ln>
                  </pic:spPr>
                </pic:pic>
              </a:graphicData>
            </a:graphic>
          </wp:inline>
        </w:drawing>
      </w:r>
      <w:r w:rsidRPr="00D415A8">
        <w:rPr>
          <w:rFonts w:ascii="Verdana" w:eastAsia="Times New Roman" w:hAnsi="Verdana" w:cs="Times New Roman"/>
          <w:sz w:val="18"/>
          <w:szCs w:val="18"/>
        </w:rPr>
        <w:t xml:space="preserve">                              </w:t>
      </w:r>
      <w:r>
        <w:rPr>
          <w:rFonts w:ascii="Verdana" w:eastAsia="Times New Roman" w:hAnsi="Verdana" w:cs="Times New Roman"/>
          <w:sz w:val="18"/>
          <w:szCs w:val="18"/>
        </w:rPr>
        <w:t xml:space="preserve">      </w:t>
      </w:r>
      <w:r w:rsidRPr="00D415A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14:anchorId="5C6BD3F7" wp14:editId="2FAF91AF">
            <wp:extent cx="1233805" cy="1561465"/>
            <wp:effectExtent l="0" t="0" r="4445" b="635"/>
            <wp:docPr id="3" name="Picture 3" descr="Julie Photo at Metcalf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e Photo at Metcalfe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1561465"/>
                    </a:xfrm>
                    <a:prstGeom prst="rect">
                      <a:avLst/>
                    </a:prstGeom>
                    <a:noFill/>
                    <a:ln>
                      <a:noFill/>
                    </a:ln>
                  </pic:spPr>
                </pic:pic>
              </a:graphicData>
            </a:graphic>
          </wp:inline>
        </w:drawing>
      </w:r>
    </w:p>
    <w:p w:rsidR="00967BB3" w:rsidRPr="00D415A8" w:rsidRDefault="00967BB3" w:rsidP="00967BB3">
      <w:pPr>
        <w:spacing w:after="120" w:line="240" w:lineRule="auto"/>
        <w:rPr>
          <w:rFonts w:ascii="Verdana" w:eastAsia="Times New Roman" w:hAnsi="Verdana" w:cs="Times New Roman"/>
          <w:sz w:val="18"/>
          <w:szCs w:val="18"/>
        </w:rPr>
      </w:pPr>
      <w:r w:rsidRPr="00D415A8">
        <w:rPr>
          <w:rFonts w:ascii="Verdana" w:eastAsia="Times New Roman" w:hAnsi="Verdana" w:cs="Times New Roman"/>
          <w:sz w:val="18"/>
          <w:szCs w:val="18"/>
        </w:rPr>
        <w:t xml:space="preserve">                      </w:t>
      </w:r>
    </w:p>
    <w:p w:rsidR="00967BB3" w:rsidRPr="00D415A8" w:rsidRDefault="00967BB3" w:rsidP="00967BB3">
      <w:pPr>
        <w:spacing w:after="120" w:line="240" w:lineRule="auto"/>
        <w:rPr>
          <w:rFonts w:ascii="Verdana" w:eastAsia="Times New Roman" w:hAnsi="Verdana" w:cs="Times New Roman"/>
          <w:sz w:val="14"/>
          <w:szCs w:val="18"/>
        </w:rPr>
      </w:pPr>
      <w:r w:rsidRPr="00D415A8">
        <w:rPr>
          <w:rFonts w:ascii="Verdana" w:eastAsia="Times New Roman" w:hAnsi="Verdana" w:cs="Times New Roman"/>
          <w:sz w:val="18"/>
          <w:szCs w:val="18"/>
        </w:rPr>
        <w:t xml:space="preserve">                     Patrick J. Hurley, CFP</w:t>
      </w:r>
      <w:r w:rsidRPr="00D415A8">
        <w:rPr>
          <w:rFonts w:ascii="Verdana" w:eastAsia="Times New Roman" w:hAnsi="Verdana" w:cs="Times New Roman"/>
          <w:sz w:val="18"/>
          <w:szCs w:val="18"/>
          <w:vertAlign w:val="superscript"/>
        </w:rPr>
        <w:t>®</w:t>
      </w:r>
      <w:r w:rsidRPr="00D415A8">
        <w:rPr>
          <w:rFonts w:ascii="Verdana" w:eastAsia="Times New Roman" w:hAnsi="Verdana" w:cs="Times New Roman"/>
          <w:sz w:val="16"/>
          <w:szCs w:val="16"/>
          <w:vertAlign w:val="superscript"/>
        </w:rPr>
        <w:t xml:space="preserve">                                         </w:t>
      </w:r>
      <w:r w:rsidRPr="00D415A8">
        <w:rPr>
          <w:rFonts w:ascii="Verdana" w:eastAsia="Times New Roman" w:hAnsi="Verdana" w:cs="Times New Roman"/>
          <w:sz w:val="16"/>
          <w:szCs w:val="16"/>
        </w:rPr>
        <w:t xml:space="preserve"> </w:t>
      </w:r>
      <w:r>
        <w:rPr>
          <w:rFonts w:ascii="Verdana" w:eastAsia="Times New Roman" w:hAnsi="Verdana" w:cs="Times New Roman"/>
          <w:sz w:val="16"/>
          <w:szCs w:val="16"/>
        </w:rPr>
        <w:t xml:space="preserve"> </w:t>
      </w:r>
      <w:r w:rsidRPr="00D415A8">
        <w:rPr>
          <w:rFonts w:ascii="Verdana" w:eastAsia="Times New Roman" w:hAnsi="Verdana" w:cs="Times New Roman"/>
          <w:sz w:val="16"/>
          <w:szCs w:val="16"/>
        </w:rPr>
        <w:t xml:space="preserve"> </w:t>
      </w:r>
      <w:r>
        <w:rPr>
          <w:rFonts w:ascii="Verdana" w:eastAsia="Times New Roman" w:hAnsi="Verdana" w:cs="Times New Roman"/>
          <w:sz w:val="16"/>
          <w:szCs w:val="16"/>
        </w:rPr>
        <w:t xml:space="preserve">        </w:t>
      </w:r>
      <w:r w:rsidRPr="00D415A8">
        <w:rPr>
          <w:rFonts w:ascii="Verdana" w:eastAsia="Times New Roman" w:hAnsi="Verdana" w:cs="Times New Roman"/>
          <w:sz w:val="16"/>
          <w:szCs w:val="16"/>
        </w:rPr>
        <w:t xml:space="preserve">  </w:t>
      </w:r>
      <w:r w:rsidRPr="004B32B4">
        <w:rPr>
          <w:rFonts w:ascii="Verdana" w:eastAsia="Times New Roman" w:hAnsi="Verdana" w:cs="Times New Roman"/>
          <w:sz w:val="18"/>
          <w:szCs w:val="18"/>
        </w:rPr>
        <w:t xml:space="preserve">Julie Brangenberg, </w:t>
      </w:r>
      <w:r w:rsidR="00BB5BFD">
        <w:rPr>
          <w:rFonts w:ascii="Verdana" w:eastAsia="Times New Roman" w:hAnsi="Verdana" w:cs="Times New Roman"/>
          <w:sz w:val="18"/>
          <w:szCs w:val="18"/>
        </w:rPr>
        <w:t xml:space="preserve">LPL </w:t>
      </w:r>
      <w:r w:rsidRPr="004B32B4">
        <w:rPr>
          <w:rFonts w:ascii="Verdana" w:eastAsia="Times New Roman" w:hAnsi="Verdana" w:cs="Times New Roman"/>
          <w:sz w:val="18"/>
          <w:szCs w:val="18"/>
        </w:rPr>
        <w:t>Branch Manager</w:t>
      </w:r>
    </w:p>
    <w:p w:rsidR="00967BB3" w:rsidRPr="00D415A8" w:rsidRDefault="00967BB3" w:rsidP="00967BB3">
      <w:pPr>
        <w:spacing w:after="120" w:line="240" w:lineRule="auto"/>
        <w:rPr>
          <w:rFonts w:ascii="Verdana" w:eastAsia="Times New Roman" w:hAnsi="Verdana" w:cs="Times New Roman"/>
          <w:sz w:val="18"/>
          <w:szCs w:val="18"/>
        </w:rPr>
      </w:pPr>
    </w:p>
    <w:p w:rsidR="00967BB3" w:rsidRPr="00D415A8" w:rsidRDefault="00967BB3" w:rsidP="00967BB3">
      <w:pPr>
        <w:spacing w:after="0" w:line="240" w:lineRule="auto"/>
        <w:jc w:val="center"/>
        <w:rPr>
          <w:rFonts w:ascii="Verdana" w:eastAsia="Times New Roman" w:hAnsi="Verdana" w:cs="Times New Roman"/>
          <w:sz w:val="18"/>
          <w:szCs w:val="18"/>
        </w:rPr>
      </w:pPr>
      <w:r w:rsidRPr="00D415A8">
        <w:rPr>
          <w:rFonts w:ascii="Verdana" w:eastAsia="Times New Roman" w:hAnsi="Verdana" w:cs="Times New Roman"/>
          <w:sz w:val="18"/>
          <w:szCs w:val="18"/>
        </w:rPr>
        <w:t>120 W. Pearl Street</w:t>
      </w:r>
    </w:p>
    <w:p w:rsidR="00967BB3" w:rsidRPr="00D415A8" w:rsidRDefault="00967BB3" w:rsidP="00967BB3">
      <w:pPr>
        <w:spacing w:after="0" w:line="240" w:lineRule="auto"/>
        <w:jc w:val="center"/>
        <w:rPr>
          <w:rFonts w:ascii="Verdana" w:eastAsia="Times New Roman" w:hAnsi="Verdana" w:cs="Times New Roman"/>
          <w:sz w:val="18"/>
          <w:szCs w:val="18"/>
        </w:rPr>
      </w:pPr>
      <w:r w:rsidRPr="00D415A8">
        <w:rPr>
          <w:rFonts w:ascii="Verdana" w:eastAsia="Times New Roman" w:hAnsi="Verdana" w:cs="Times New Roman"/>
          <w:sz w:val="18"/>
          <w:szCs w:val="18"/>
        </w:rPr>
        <w:t>Jerseyville, IL  62052</w:t>
      </w:r>
    </w:p>
    <w:p w:rsidR="00967BB3" w:rsidRDefault="00967BB3" w:rsidP="00967BB3">
      <w:pPr>
        <w:spacing w:after="0" w:line="240" w:lineRule="auto"/>
        <w:jc w:val="center"/>
        <w:rPr>
          <w:rFonts w:ascii="Verdana" w:eastAsia="Times New Roman" w:hAnsi="Verdana" w:cs="Times New Roman"/>
          <w:sz w:val="18"/>
          <w:szCs w:val="18"/>
        </w:rPr>
      </w:pPr>
      <w:r w:rsidRPr="00D415A8">
        <w:rPr>
          <w:rFonts w:ascii="Verdana" w:eastAsia="Times New Roman" w:hAnsi="Verdana" w:cs="Times New Roman"/>
          <w:sz w:val="18"/>
          <w:szCs w:val="18"/>
        </w:rPr>
        <w:t>(618)639-9831</w:t>
      </w:r>
    </w:p>
    <w:p w:rsidR="00967BB3" w:rsidRDefault="00967BB3" w:rsidP="00967BB3">
      <w:pPr>
        <w:spacing w:after="0" w:line="240" w:lineRule="auto"/>
        <w:jc w:val="center"/>
        <w:rPr>
          <w:rFonts w:ascii="Verdana" w:eastAsia="Times New Roman" w:hAnsi="Verdana" w:cs="Times New Roman"/>
          <w:sz w:val="18"/>
          <w:szCs w:val="18"/>
        </w:rPr>
      </w:pPr>
    </w:p>
    <w:p w:rsidR="001C056C" w:rsidRPr="00322486" w:rsidRDefault="001C056C" w:rsidP="001C056C">
      <w:pPr>
        <w:jc w:val="center"/>
        <w:rPr>
          <w:b/>
          <w:bCs/>
          <w:color w:val="387C04"/>
          <w:sz w:val="32"/>
          <w:szCs w:val="32"/>
        </w:rPr>
      </w:pPr>
      <w:r w:rsidRPr="00322486">
        <w:rPr>
          <w:b/>
          <w:bCs/>
          <w:color w:val="387C04"/>
          <w:sz w:val="32"/>
          <w:szCs w:val="32"/>
        </w:rPr>
        <w:t>Weekly Market Commentary</w:t>
      </w:r>
    </w:p>
    <w:p w:rsidR="001C056C" w:rsidRPr="00322486" w:rsidRDefault="001C056C" w:rsidP="001C056C">
      <w:pPr>
        <w:jc w:val="center"/>
        <w:rPr>
          <w:b/>
          <w:bCs/>
          <w:color w:val="387C04"/>
          <w:sz w:val="32"/>
          <w:szCs w:val="32"/>
        </w:rPr>
      </w:pPr>
      <w:r w:rsidRPr="00322486">
        <w:rPr>
          <w:b/>
          <w:bCs/>
          <w:color w:val="387C04"/>
          <w:sz w:val="32"/>
          <w:szCs w:val="32"/>
        </w:rPr>
        <w:t>March 7</w:t>
      </w:r>
      <w:r>
        <w:rPr>
          <w:b/>
          <w:bCs/>
          <w:color w:val="387C04"/>
          <w:sz w:val="32"/>
          <w:szCs w:val="32"/>
        </w:rPr>
        <w:t>, 2016</w:t>
      </w:r>
    </w:p>
    <w:p w:rsidR="001C056C" w:rsidRPr="00322486" w:rsidRDefault="001C056C" w:rsidP="001C056C">
      <w:pPr>
        <w:jc w:val="center"/>
        <w:rPr>
          <w:b/>
          <w:bCs/>
          <w:color w:val="387C04"/>
          <w:sz w:val="32"/>
          <w:szCs w:val="32"/>
        </w:rPr>
      </w:pPr>
    </w:p>
    <w:p w:rsidR="001C056C" w:rsidRPr="001C056C" w:rsidRDefault="001C056C" w:rsidP="001C056C">
      <w:pPr>
        <w:rPr>
          <w:b/>
          <w:color w:val="387C04"/>
          <w:sz w:val="28"/>
          <w:szCs w:val="28"/>
        </w:rPr>
      </w:pPr>
      <w:r w:rsidRPr="00322486">
        <w:rPr>
          <w:b/>
          <w:color w:val="387C04"/>
          <w:sz w:val="28"/>
          <w:szCs w:val="28"/>
        </w:rPr>
        <w:t>The Markets</w:t>
      </w:r>
    </w:p>
    <w:p w:rsidR="001C056C" w:rsidRPr="00322486" w:rsidRDefault="001C056C" w:rsidP="001C056C">
      <w:pPr>
        <w:rPr>
          <w:sz w:val="24"/>
          <w:szCs w:val="24"/>
        </w:rPr>
      </w:pPr>
      <w:r w:rsidRPr="00322486">
        <w:rPr>
          <w:sz w:val="24"/>
          <w:szCs w:val="24"/>
        </w:rPr>
        <w:t>When Mark Twain’s death was reported in the United States, he was alive and well in London. He responded to news accounts</w:t>
      </w:r>
      <w:r>
        <w:rPr>
          <w:sz w:val="24"/>
          <w:szCs w:val="24"/>
        </w:rPr>
        <w:t xml:space="preserve"> with a note</w:t>
      </w:r>
      <w:r w:rsidRPr="00322486">
        <w:rPr>
          <w:sz w:val="24"/>
          <w:szCs w:val="24"/>
        </w:rPr>
        <w:t xml:space="preserve"> saying, “The report of my death was an exaggeration.”</w:t>
      </w:r>
    </w:p>
    <w:p w:rsidR="001C056C" w:rsidRPr="00322486" w:rsidRDefault="001C056C" w:rsidP="001C056C">
      <w:pPr>
        <w:rPr>
          <w:sz w:val="24"/>
          <w:szCs w:val="24"/>
        </w:rPr>
      </w:pPr>
      <w:r w:rsidRPr="00322486">
        <w:rPr>
          <w:sz w:val="24"/>
          <w:szCs w:val="24"/>
        </w:rPr>
        <w:t xml:space="preserve">Last week’s jobs data suggest the same is true of reports that a recession is imminent in the United States. </w:t>
      </w:r>
      <w:r w:rsidRPr="00322486">
        <w:rPr>
          <w:i/>
          <w:sz w:val="24"/>
          <w:szCs w:val="24"/>
        </w:rPr>
        <w:t>Barron’s</w:t>
      </w:r>
      <w:r>
        <w:rPr>
          <w:sz w:val="24"/>
          <w:szCs w:val="24"/>
        </w:rPr>
        <w:t xml:space="preserve"> explained:</w:t>
      </w:r>
    </w:p>
    <w:p w:rsidR="001C056C" w:rsidRPr="00322486" w:rsidRDefault="001C056C" w:rsidP="001C056C">
      <w:pPr>
        <w:ind w:left="720" w:right="684"/>
        <w:rPr>
          <w:sz w:val="24"/>
          <w:szCs w:val="24"/>
        </w:rPr>
      </w:pPr>
      <w:r w:rsidRPr="00322486">
        <w:rPr>
          <w:sz w:val="24"/>
          <w:szCs w:val="24"/>
        </w:rPr>
        <w:t>“Thank goodness the mid-February fears of recession that</w:t>
      </w:r>
      <w:r>
        <w:rPr>
          <w:sz w:val="24"/>
          <w:szCs w:val="24"/>
        </w:rPr>
        <w:t xml:space="preserve"> brought markets to their knees – </w:t>
      </w:r>
      <w:r w:rsidRPr="00322486">
        <w:rPr>
          <w:sz w:val="24"/>
          <w:szCs w:val="24"/>
        </w:rPr>
        <w:t>and the 10-year Treasury yield to a low of 1.53</w:t>
      </w:r>
      <w:r>
        <w:rPr>
          <w:sz w:val="24"/>
          <w:szCs w:val="24"/>
        </w:rPr>
        <w:t xml:space="preserve"> percent – w</w:t>
      </w:r>
      <w:r w:rsidRPr="00322486">
        <w:rPr>
          <w:sz w:val="24"/>
          <w:szCs w:val="24"/>
        </w:rPr>
        <w:t xml:space="preserve">ere overblown. Friday’s nonfarm payrolls report was the latest confirmation. It showed that 242,000 jobs were created last month, far more than expected and up from the previous month’s reading, which was </w:t>
      </w:r>
      <w:proofErr w:type="gramStart"/>
      <w:r w:rsidRPr="00322486">
        <w:rPr>
          <w:sz w:val="24"/>
          <w:szCs w:val="24"/>
        </w:rPr>
        <w:t>itself</w:t>
      </w:r>
      <w:proofErr w:type="gramEnd"/>
      <w:r w:rsidRPr="00322486">
        <w:rPr>
          <w:sz w:val="24"/>
          <w:szCs w:val="24"/>
        </w:rPr>
        <w:t xml:space="preserve"> revised higher.”</w:t>
      </w:r>
    </w:p>
    <w:p w:rsidR="001C056C" w:rsidRPr="00322486" w:rsidRDefault="001C056C" w:rsidP="001C056C">
      <w:pPr>
        <w:rPr>
          <w:sz w:val="24"/>
          <w:szCs w:val="24"/>
        </w:rPr>
      </w:pPr>
    </w:p>
    <w:p w:rsidR="001C056C" w:rsidRPr="00322486" w:rsidRDefault="001C056C" w:rsidP="001C056C">
      <w:pPr>
        <w:rPr>
          <w:sz w:val="24"/>
          <w:szCs w:val="24"/>
        </w:rPr>
      </w:pPr>
      <w:r w:rsidRPr="00322486">
        <w:rPr>
          <w:sz w:val="24"/>
          <w:szCs w:val="24"/>
        </w:rPr>
        <w:t xml:space="preserve">The employment data weren’t all positive, though. </w:t>
      </w:r>
      <w:proofErr w:type="gramStart"/>
      <w:r w:rsidRPr="00322486">
        <w:rPr>
          <w:sz w:val="24"/>
          <w:szCs w:val="24"/>
        </w:rPr>
        <w:t>Average hourly earnings declined when it was</w:t>
      </w:r>
      <w:r>
        <w:rPr>
          <w:sz w:val="24"/>
          <w:szCs w:val="24"/>
        </w:rPr>
        <w:t xml:space="preserve"> expected to increase</w:t>
      </w:r>
      <w:r w:rsidRPr="00322486">
        <w:rPr>
          <w:sz w:val="24"/>
          <w:szCs w:val="24"/>
        </w:rPr>
        <w:t xml:space="preserve"> and the number of hours worked was</w:t>
      </w:r>
      <w:proofErr w:type="gramEnd"/>
      <w:r w:rsidRPr="00322486">
        <w:rPr>
          <w:sz w:val="24"/>
          <w:szCs w:val="24"/>
        </w:rPr>
        <w:t xml:space="preserve"> lower, on average, th</w:t>
      </w:r>
      <w:r>
        <w:rPr>
          <w:sz w:val="24"/>
          <w:szCs w:val="24"/>
        </w:rPr>
        <w:t>an it has been for two years.</w:t>
      </w:r>
    </w:p>
    <w:p w:rsidR="001C056C" w:rsidRPr="00322486" w:rsidRDefault="001C056C" w:rsidP="001C056C">
      <w:pPr>
        <w:rPr>
          <w:sz w:val="24"/>
          <w:szCs w:val="24"/>
        </w:rPr>
      </w:pPr>
      <w:r w:rsidRPr="00322486">
        <w:rPr>
          <w:sz w:val="24"/>
          <w:szCs w:val="24"/>
        </w:rPr>
        <w:t xml:space="preserve">Regardless, </w:t>
      </w:r>
      <w:r w:rsidRPr="00322486">
        <w:rPr>
          <w:i/>
          <w:sz w:val="24"/>
          <w:szCs w:val="24"/>
        </w:rPr>
        <w:t>The Wall Street Journal</w:t>
      </w:r>
      <w:r w:rsidRPr="00322486">
        <w:rPr>
          <w:sz w:val="24"/>
          <w:szCs w:val="24"/>
        </w:rPr>
        <w:t xml:space="preserve"> said</w:t>
      </w:r>
      <w:r>
        <w:rPr>
          <w:sz w:val="24"/>
          <w:szCs w:val="24"/>
        </w:rPr>
        <w:t xml:space="preserve"> </w:t>
      </w:r>
      <w:r w:rsidRPr="00322486">
        <w:rPr>
          <w:sz w:val="24"/>
          <w:szCs w:val="24"/>
        </w:rPr>
        <w:t>employment, consumer, and business spending reports h</w:t>
      </w:r>
      <w:r>
        <w:rPr>
          <w:sz w:val="24"/>
          <w:szCs w:val="24"/>
        </w:rPr>
        <w:t xml:space="preserve">elped calm investors’ fear </w:t>
      </w:r>
      <w:r w:rsidRPr="00322486">
        <w:rPr>
          <w:sz w:val="24"/>
          <w:szCs w:val="24"/>
        </w:rPr>
        <w:t>the U.S. economy was losing momentum. Some investors sold bonds, which helped push the yield on 10-year Treasury notes</w:t>
      </w:r>
      <w:r>
        <w:rPr>
          <w:sz w:val="24"/>
          <w:szCs w:val="24"/>
        </w:rPr>
        <w:t xml:space="preserve"> higher.</w:t>
      </w:r>
    </w:p>
    <w:p w:rsidR="001C056C" w:rsidRPr="00322486" w:rsidRDefault="001C056C" w:rsidP="001C056C">
      <w:pPr>
        <w:rPr>
          <w:sz w:val="24"/>
          <w:szCs w:val="24"/>
        </w:rPr>
      </w:pPr>
      <w:r w:rsidRPr="00322486">
        <w:rPr>
          <w:sz w:val="24"/>
          <w:szCs w:val="24"/>
        </w:rPr>
        <w:t xml:space="preserve">Investors also were encouraged by last week’s oil price rally, according to </w:t>
      </w:r>
      <w:r w:rsidRPr="00322486">
        <w:rPr>
          <w:i/>
          <w:sz w:val="24"/>
          <w:szCs w:val="24"/>
        </w:rPr>
        <w:t>CNBC</w:t>
      </w:r>
      <w:r w:rsidRPr="00322486">
        <w:rPr>
          <w:sz w:val="24"/>
          <w:szCs w:val="24"/>
        </w:rPr>
        <w:t>. A better demand outlook, coupled with cuts in supply, boosted oil prices by 9.5 percent in one week.</w:t>
      </w:r>
    </w:p>
    <w:p w:rsidR="001C056C" w:rsidRPr="00322486" w:rsidRDefault="001C056C" w:rsidP="001C056C">
      <w:pPr>
        <w:rPr>
          <w:sz w:val="24"/>
          <w:szCs w:val="24"/>
        </w:rPr>
      </w:pPr>
      <w:r w:rsidRPr="00322486">
        <w:rPr>
          <w:sz w:val="24"/>
          <w:szCs w:val="24"/>
        </w:rPr>
        <w:t xml:space="preserve">U.S. stock market performance reflected investors’ renewed optimism. </w:t>
      </w:r>
      <w:r w:rsidRPr="00322486">
        <w:rPr>
          <w:i/>
          <w:sz w:val="24"/>
          <w:szCs w:val="24"/>
        </w:rPr>
        <w:t>USA Today</w:t>
      </w:r>
      <w:r w:rsidRPr="00322486">
        <w:rPr>
          <w:sz w:val="24"/>
          <w:szCs w:val="24"/>
        </w:rPr>
        <w:t xml:space="preserve"> said, “Stocks have rebounded from their worst start to a year ever, with the benchmark S&amp;P 500 trimming its year-to-date loss to 2.15</w:t>
      </w:r>
      <w:r>
        <w:rPr>
          <w:sz w:val="24"/>
          <w:szCs w:val="24"/>
        </w:rPr>
        <w:t xml:space="preserve"> percent</w:t>
      </w:r>
      <w:r w:rsidRPr="00322486">
        <w:rPr>
          <w:sz w:val="24"/>
          <w:szCs w:val="24"/>
        </w:rPr>
        <w:t xml:space="preserve"> a</w:t>
      </w:r>
      <w:r>
        <w:rPr>
          <w:sz w:val="24"/>
          <w:szCs w:val="24"/>
        </w:rPr>
        <w:t>fter being down by more than 10 percent</w:t>
      </w:r>
      <w:r w:rsidRPr="00322486">
        <w:rPr>
          <w:sz w:val="24"/>
          <w:szCs w:val="24"/>
        </w:rPr>
        <w:t xml:space="preserve"> on Feb</w:t>
      </w:r>
      <w:r>
        <w:rPr>
          <w:sz w:val="24"/>
          <w:szCs w:val="24"/>
        </w:rPr>
        <w:t>ruary</w:t>
      </w:r>
      <w:r w:rsidRPr="00322486">
        <w:rPr>
          <w:sz w:val="24"/>
          <w:szCs w:val="24"/>
        </w:rPr>
        <w:t xml:space="preserve"> 11.” At the end of last week, the Standard &amp; Poor’s 500 Index wa</w:t>
      </w:r>
      <w:r>
        <w:rPr>
          <w:sz w:val="24"/>
          <w:szCs w:val="24"/>
        </w:rPr>
        <w:t>s about 6 percent below its record high.</w:t>
      </w: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1C056C" w:rsidRPr="00322486" w:rsidTr="00D11FC4">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jc w:val="center"/>
              <w:rPr>
                <w:b/>
                <w:bCs/>
                <w:color w:val="008000"/>
                <w:szCs w:val="24"/>
              </w:rPr>
            </w:pPr>
            <w:r w:rsidRPr="00322486">
              <w:rPr>
                <w:color w:val="008000"/>
                <w:szCs w:val="24"/>
              </w:rPr>
              <w:br w:type="page"/>
            </w:r>
            <w:r w:rsidRPr="00322486">
              <w:rPr>
                <w:b/>
                <w:bCs/>
                <w:color w:val="008000"/>
                <w:szCs w:val="24"/>
              </w:rPr>
              <w:t>Data as of 3/4/16</w:t>
            </w:r>
          </w:p>
        </w:tc>
        <w:tc>
          <w:tcPr>
            <w:tcW w:w="1053" w:type="dxa"/>
            <w:tcBorders>
              <w:top w:val="single" w:sz="4" w:space="0" w:color="auto"/>
              <w:left w:val="nil"/>
              <w:bottom w:val="single" w:sz="4" w:space="0" w:color="auto"/>
              <w:right w:val="single" w:sz="4" w:space="0" w:color="auto"/>
            </w:tcBorders>
            <w:vAlign w:val="center"/>
          </w:tcPr>
          <w:p w:rsidR="001C056C" w:rsidRPr="00322486" w:rsidRDefault="001C056C" w:rsidP="00D11FC4">
            <w:pPr>
              <w:jc w:val="center"/>
              <w:rPr>
                <w:b/>
                <w:bCs/>
                <w:color w:val="008000"/>
                <w:szCs w:val="24"/>
              </w:rPr>
            </w:pPr>
            <w:r w:rsidRPr="00322486">
              <w:rPr>
                <w:b/>
                <w:bCs/>
                <w:color w:val="008000"/>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jc w:val="center"/>
              <w:rPr>
                <w:b/>
                <w:bCs/>
                <w:color w:val="008000"/>
                <w:szCs w:val="24"/>
              </w:rPr>
            </w:pPr>
            <w:r w:rsidRPr="00322486">
              <w:rPr>
                <w:b/>
                <w:bCs/>
                <w:color w:val="008000"/>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1C056C" w:rsidRPr="00322486" w:rsidRDefault="001C056C" w:rsidP="00D11FC4">
            <w:pPr>
              <w:jc w:val="center"/>
              <w:rPr>
                <w:b/>
                <w:bCs/>
                <w:color w:val="008000"/>
                <w:szCs w:val="24"/>
              </w:rPr>
            </w:pPr>
            <w:r w:rsidRPr="00322486">
              <w:rPr>
                <w:b/>
                <w:bCs/>
                <w:color w:val="008000"/>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rsidR="001C056C" w:rsidRPr="00322486" w:rsidRDefault="001C056C" w:rsidP="00D11FC4">
            <w:pPr>
              <w:jc w:val="center"/>
              <w:rPr>
                <w:b/>
                <w:bCs/>
                <w:color w:val="008000"/>
                <w:szCs w:val="24"/>
              </w:rPr>
            </w:pPr>
            <w:r w:rsidRPr="00322486">
              <w:rPr>
                <w:b/>
                <w:bCs/>
                <w:color w:val="008000"/>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b/>
                <w:bCs/>
                <w:color w:val="008000"/>
                <w:szCs w:val="24"/>
              </w:rPr>
            </w:pPr>
            <w:r w:rsidRPr="00322486">
              <w:rPr>
                <w:b/>
                <w:bCs/>
                <w:color w:val="008000"/>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b/>
                <w:bCs/>
                <w:color w:val="008000"/>
                <w:szCs w:val="24"/>
              </w:rPr>
            </w:pPr>
            <w:r w:rsidRPr="00322486">
              <w:rPr>
                <w:b/>
                <w:bCs/>
                <w:color w:val="008000"/>
                <w:szCs w:val="24"/>
              </w:rPr>
              <w:t>10-Year</w:t>
            </w:r>
          </w:p>
        </w:tc>
      </w:tr>
      <w:tr w:rsidR="001C056C" w:rsidRPr="00322486" w:rsidTr="00D11FC4">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rPr>
                <w:szCs w:val="24"/>
              </w:rPr>
            </w:pPr>
            <w:r w:rsidRPr="00322486">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rsidR="001C056C" w:rsidRPr="00322486" w:rsidRDefault="001C056C" w:rsidP="00D11FC4">
            <w:pPr>
              <w:jc w:val="center"/>
              <w:rPr>
                <w:szCs w:val="24"/>
              </w:rPr>
            </w:pPr>
            <w:r w:rsidRPr="00322486">
              <w:rPr>
                <w:szCs w:val="24"/>
              </w:rPr>
              <w:t>2.7%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jc w:val="center"/>
              <w:rPr>
                <w:szCs w:val="24"/>
              </w:rPr>
            </w:pPr>
            <w:r w:rsidRPr="00322486">
              <w:rPr>
                <w:szCs w:val="24"/>
              </w:rPr>
              <w:t>-2.2%</w:t>
            </w:r>
          </w:p>
        </w:tc>
        <w:tc>
          <w:tcPr>
            <w:tcW w:w="840" w:type="dxa"/>
            <w:tcBorders>
              <w:top w:val="nil"/>
              <w:left w:val="nil"/>
              <w:bottom w:val="single" w:sz="4" w:space="0" w:color="auto"/>
              <w:right w:val="single" w:sz="4" w:space="0" w:color="auto"/>
            </w:tcBorders>
            <w:shd w:val="clear" w:color="auto" w:fill="auto"/>
            <w:noWrap/>
            <w:vAlign w:val="center"/>
          </w:tcPr>
          <w:p w:rsidR="001C056C" w:rsidRPr="00322486" w:rsidRDefault="001C056C" w:rsidP="00D11FC4">
            <w:pPr>
              <w:jc w:val="center"/>
              <w:rPr>
                <w:szCs w:val="24"/>
              </w:rPr>
            </w:pPr>
            <w:r w:rsidRPr="00322486">
              <w:rPr>
                <w:szCs w:val="24"/>
              </w:rPr>
              <w:t>-5.1%</w:t>
            </w:r>
          </w:p>
        </w:tc>
        <w:tc>
          <w:tcPr>
            <w:tcW w:w="810" w:type="dxa"/>
            <w:tcBorders>
              <w:top w:val="single" w:sz="4" w:space="0" w:color="auto"/>
              <w:left w:val="nil"/>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9.5%</w:t>
            </w:r>
          </w:p>
        </w:tc>
        <w:tc>
          <w:tcPr>
            <w:tcW w:w="882" w:type="dxa"/>
            <w:tcBorders>
              <w:top w:val="nil"/>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8.7%</w:t>
            </w:r>
          </w:p>
        </w:tc>
        <w:tc>
          <w:tcPr>
            <w:tcW w:w="1012" w:type="dxa"/>
            <w:tcBorders>
              <w:top w:val="nil"/>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4.6%</w:t>
            </w:r>
          </w:p>
        </w:tc>
      </w:tr>
      <w:tr w:rsidR="001C056C" w:rsidRPr="00322486" w:rsidTr="00D11FC4">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rPr>
                <w:szCs w:val="24"/>
              </w:rPr>
            </w:pPr>
            <w:r w:rsidRPr="00322486">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rsidR="001C056C" w:rsidRPr="00322486" w:rsidRDefault="001C056C" w:rsidP="00D11FC4">
            <w:pPr>
              <w:jc w:val="center"/>
              <w:rPr>
                <w:szCs w:val="24"/>
              </w:rPr>
            </w:pPr>
            <w:r w:rsidRPr="00322486">
              <w:rPr>
                <w:szCs w:val="24"/>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jc w:val="center"/>
              <w:rPr>
                <w:szCs w:val="24"/>
              </w:rPr>
            </w:pPr>
            <w:r w:rsidRPr="00322486">
              <w:rPr>
                <w:szCs w:val="24"/>
              </w:rPr>
              <w:t>-3.6</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1C056C" w:rsidRPr="00322486" w:rsidRDefault="001C056C" w:rsidP="00D11FC4">
            <w:pPr>
              <w:jc w:val="center"/>
              <w:rPr>
                <w:szCs w:val="24"/>
              </w:rPr>
            </w:pPr>
            <w:r w:rsidRPr="00322486">
              <w:rPr>
                <w:szCs w:val="24"/>
              </w:rPr>
              <w:t>-13.2</w:t>
            </w:r>
          </w:p>
        </w:tc>
        <w:tc>
          <w:tcPr>
            <w:tcW w:w="810" w:type="dxa"/>
            <w:tcBorders>
              <w:top w:val="single" w:sz="4" w:space="0" w:color="auto"/>
              <w:left w:val="nil"/>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-2.1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-0.3</w:t>
            </w:r>
          </w:p>
        </w:tc>
      </w:tr>
      <w:tr w:rsidR="001C056C" w:rsidRPr="00322486" w:rsidTr="00D11FC4">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rPr>
                <w:szCs w:val="24"/>
              </w:rPr>
            </w:pPr>
            <w:r w:rsidRPr="00322486">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rsidR="001C056C" w:rsidRPr="00322486" w:rsidRDefault="001C056C" w:rsidP="00D11FC4">
            <w:pPr>
              <w:jc w:val="center"/>
              <w:rPr>
                <w:szCs w:val="24"/>
              </w:rPr>
            </w:pPr>
            <w:r w:rsidRPr="00322486">
              <w:rPr>
                <w:szCs w:val="24"/>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jc w:val="center"/>
              <w:rPr>
                <w:szCs w:val="24"/>
              </w:rPr>
            </w:pPr>
            <w:r w:rsidRPr="00322486">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1C056C" w:rsidRPr="00322486" w:rsidRDefault="001C056C" w:rsidP="00D11FC4">
            <w:pPr>
              <w:jc w:val="center"/>
              <w:rPr>
                <w:szCs w:val="24"/>
              </w:rPr>
            </w:pPr>
            <w:r w:rsidRPr="00322486">
              <w:rPr>
                <w:szCs w:val="24"/>
              </w:rPr>
              <w:t>2.1</w:t>
            </w:r>
          </w:p>
        </w:tc>
        <w:tc>
          <w:tcPr>
            <w:tcW w:w="810" w:type="dxa"/>
            <w:tcBorders>
              <w:top w:val="single" w:sz="4" w:space="0" w:color="auto"/>
              <w:left w:val="nil"/>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1.9</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3.5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4.7</w:t>
            </w:r>
          </w:p>
        </w:tc>
      </w:tr>
      <w:tr w:rsidR="001C056C" w:rsidRPr="00322486" w:rsidTr="00D11FC4">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rPr>
                <w:szCs w:val="24"/>
              </w:rPr>
            </w:pPr>
            <w:r w:rsidRPr="00322486">
              <w:rPr>
                <w:szCs w:val="24"/>
              </w:rPr>
              <w:t>Gold (per ounce)</w:t>
            </w:r>
          </w:p>
        </w:tc>
        <w:tc>
          <w:tcPr>
            <w:tcW w:w="1053" w:type="dxa"/>
            <w:tcBorders>
              <w:top w:val="single" w:sz="4" w:space="0" w:color="auto"/>
              <w:left w:val="nil"/>
              <w:bottom w:val="single" w:sz="4" w:space="0" w:color="auto"/>
              <w:right w:val="single" w:sz="4" w:space="0" w:color="auto"/>
            </w:tcBorders>
            <w:vAlign w:val="center"/>
          </w:tcPr>
          <w:p w:rsidR="001C056C" w:rsidRPr="00322486" w:rsidRDefault="001C056C" w:rsidP="00D11FC4">
            <w:pPr>
              <w:jc w:val="center"/>
              <w:rPr>
                <w:szCs w:val="24"/>
              </w:rPr>
            </w:pPr>
            <w:r w:rsidRPr="00322486">
              <w:rPr>
                <w:szCs w:val="24"/>
              </w:rPr>
              <w:t>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jc w:val="center"/>
              <w:rPr>
                <w:szCs w:val="24"/>
              </w:rPr>
            </w:pPr>
            <w:r w:rsidRPr="00322486">
              <w:rPr>
                <w:szCs w:val="24"/>
              </w:rPr>
              <w:t>20.3</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1C056C" w:rsidRPr="00322486" w:rsidRDefault="001C056C" w:rsidP="00D11FC4">
            <w:pPr>
              <w:jc w:val="center"/>
              <w:rPr>
                <w:szCs w:val="24"/>
              </w:rPr>
            </w:pPr>
            <w:r w:rsidRPr="00322486">
              <w:rPr>
                <w:szCs w:val="24"/>
              </w:rPr>
              <w:t>6.5</w:t>
            </w:r>
          </w:p>
        </w:tc>
        <w:tc>
          <w:tcPr>
            <w:tcW w:w="810" w:type="dxa"/>
            <w:tcBorders>
              <w:top w:val="single" w:sz="4" w:space="0" w:color="auto"/>
              <w:left w:val="nil"/>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-6.7</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rPr>
                <w:szCs w:val="24"/>
              </w:rPr>
            </w:pPr>
            <w:r w:rsidRPr="00322486">
              <w:rPr>
                <w:szCs w:val="24"/>
              </w:rPr>
              <w:t>8.5</w:t>
            </w:r>
          </w:p>
        </w:tc>
      </w:tr>
      <w:tr w:rsidR="001C056C" w:rsidRPr="00322486" w:rsidTr="00D11FC4">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r w:rsidRPr="00322486">
              <w:t>Bloomberg Commodity Index</w:t>
            </w:r>
          </w:p>
        </w:tc>
        <w:tc>
          <w:tcPr>
            <w:tcW w:w="1053" w:type="dxa"/>
            <w:tcBorders>
              <w:top w:val="single" w:sz="4" w:space="0" w:color="auto"/>
              <w:left w:val="nil"/>
              <w:bottom w:val="single" w:sz="4" w:space="0" w:color="auto"/>
              <w:right w:val="single" w:sz="4" w:space="0" w:color="auto"/>
            </w:tcBorders>
            <w:vAlign w:val="center"/>
          </w:tcPr>
          <w:p w:rsidR="001C056C" w:rsidRPr="00322486" w:rsidRDefault="001C056C" w:rsidP="00D11FC4">
            <w:pPr>
              <w:jc w:val="center"/>
            </w:pPr>
            <w:r w:rsidRPr="00322486">
              <w:t>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jc w:val="center"/>
            </w:pPr>
            <w:r w:rsidRPr="00322486">
              <w:t>-0.2</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1C056C" w:rsidRPr="00322486" w:rsidRDefault="001C056C" w:rsidP="00D11FC4">
            <w:pPr>
              <w:jc w:val="center"/>
            </w:pPr>
            <w:r w:rsidRPr="00322486">
              <w:t>-23.2</w:t>
            </w:r>
          </w:p>
        </w:tc>
        <w:tc>
          <w:tcPr>
            <w:tcW w:w="810" w:type="dxa"/>
            <w:tcBorders>
              <w:top w:val="single" w:sz="4" w:space="0" w:color="auto"/>
              <w:left w:val="nil"/>
              <w:bottom w:val="single" w:sz="4" w:space="0" w:color="auto"/>
              <w:right w:val="single" w:sz="4" w:space="0" w:color="auto"/>
            </w:tcBorders>
            <w:shd w:val="clear" w:color="auto" w:fill="auto"/>
            <w:vAlign w:val="center"/>
          </w:tcPr>
          <w:p w:rsidR="001C056C" w:rsidRPr="00322486" w:rsidRDefault="001C056C" w:rsidP="00D11FC4">
            <w:pPr>
              <w:jc w:val="center"/>
            </w:pPr>
            <w:r w:rsidRPr="00322486">
              <w:t>-16.8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pPr>
            <w:r w:rsidRPr="00322486">
              <w:t>-14.3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pPr>
            <w:r w:rsidRPr="00322486">
              <w:t>-7.0</w:t>
            </w:r>
          </w:p>
        </w:tc>
      </w:tr>
      <w:tr w:rsidR="001C056C" w:rsidRPr="00322486" w:rsidTr="00D11FC4">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r w:rsidRPr="00322486">
              <w:t>DJ Equity All REIT Total Return Index</w:t>
            </w:r>
          </w:p>
        </w:tc>
        <w:tc>
          <w:tcPr>
            <w:tcW w:w="1053" w:type="dxa"/>
            <w:tcBorders>
              <w:top w:val="single" w:sz="4" w:space="0" w:color="auto"/>
              <w:left w:val="nil"/>
              <w:bottom w:val="single" w:sz="4" w:space="0" w:color="auto"/>
              <w:right w:val="single" w:sz="4" w:space="0" w:color="auto"/>
            </w:tcBorders>
            <w:vAlign w:val="center"/>
          </w:tcPr>
          <w:p w:rsidR="001C056C" w:rsidRPr="00322486" w:rsidRDefault="001C056C" w:rsidP="00D11FC4">
            <w:pPr>
              <w:jc w:val="center"/>
            </w:pPr>
            <w:r w:rsidRPr="00322486">
              <w:t>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56C" w:rsidRPr="00322486" w:rsidRDefault="001C056C" w:rsidP="00D11FC4">
            <w:pPr>
              <w:jc w:val="center"/>
            </w:pPr>
            <w:r w:rsidRPr="00322486">
              <w:t>0.0</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1C056C" w:rsidRPr="00322486" w:rsidRDefault="001C056C" w:rsidP="00D11FC4">
            <w:pPr>
              <w:jc w:val="center"/>
            </w:pPr>
            <w:r w:rsidRPr="00322486">
              <w:t>0.6</w:t>
            </w:r>
          </w:p>
        </w:tc>
        <w:tc>
          <w:tcPr>
            <w:tcW w:w="810" w:type="dxa"/>
            <w:tcBorders>
              <w:top w:val="single" w:sz="4" w:space="0" w:color="auto"/>
              <w:left w:val="nil"/>
              <w:bottom w:val="single" w:sz="4" w:space="0" w:color="auto"/>
              <w:right w:val="single" w:sz="4" w:space="0" w:color="auto"/>
            </w:tcBorders>
            <w:shd w:val="clear" w:color="auto" w:fill="auto"/>
            <w:vAlign w:val="center"/>
          </w:tcPr>
          <w:p w:rsidR="001C056C" w:rsidRPr="00322486" w:rsidRDefault="001C056C" w:rsidP="00D11FC4">
            <w:pPr>
              <w:jc w:val="center"/>
            </w:pPr>
            <w:r w:rsidRPr="00322486">
              <w:t>8.4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pPr>
            <w:r w:rsidRPr="00322486">
              <w:t>10.7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C056C" w:rsidRPr="00322486" w:rsidRDefault="001C056C" w:rsidP="00D11FC4">
            <w:pPr>
              <w:jc w:val="center"/>
            </w:pPr>
            <w:r w:rsidRPr="00322486">
              <w:t>6.2</w:t>
            </w:r>
          </w:p>
        </w:tc>
      </w:tr>
    </w:tbl>
    <w:p w:rsidR="001C056C" w:rsidRPr="00322486" w:rsidRDefault="001C056C" w:rsidP="001C056C">
      <w:pPr>
        <w:ind w:left="270" w:right="324"/>
        <w:rPr>
          <w:sz w:val="16"/>
          <w:szCs w:val="24"/>
        </w:rPr>
      </w:pPr>
      <w:r w:rsidRPr="00322486">
        <w:rPr>
          <w:sz w:val="16"/>
          <w:szCs w:val="24"/>
        </w:rPr>
        <w:t xml:space="preserve">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 </w:t>
      </w:r>
    </w:p>
    <w:p w:rsidR="001C056C" w:rsidRPr="00322486" w:rsidRDefault="001C056C" w:rsidP="001C056C">
      <w:pPr>
        <w:ind w:left="270" w:right="324"/>
        <w:rPr>
          <w:sz w:val="16"/>
          <w:szCs w:val="24"/>
        </w:rPr>
      </w:pPr>
      <w:r w:rsidRPr="00322486">
        <w:rPr>
          <w:sz w:val="16"/>
          <w:szCs w:val="24"/>
        </w:rPr>
        <w:t>Sources: Yahoo! Finance, Barron’s, djindexes.com, London Bullion Market Association.</w:t>
      </w:r>
    </w:p>
    <w:p w:rsidR="001C056C" w:rsidRPr="00322486" w:rsidRDefault="001C056C" w:rsidP="001C056C">
      <w:pPr>
        <w:ind w:left="270" w:right="324"/>
        <w:rPr>
          <w:sz w:val="16"/>
          <w:szCs w:val="24"/>
        </w:rPr>
      </w:pPr>
      <w:r w:rsidRPr="00322486">
        <w:rPr>
          <w:sz w:val="16"/>
          <w:szCs w:val="24"/>
        </w:rPr>
        <w:t>Past performance is no guarantee of future results. Indices are unmanaged and cannot be invested into directly. N/A means not applicable.</w:t>
      </w:r>
    </w:p>
    <w:p w:rsidR="001C056C" w:rsidRDefault="001C056C" w:rsidP="001C056C">
      <w:pPr>
        <w:rPr>
          <w:b/>
          <w:bCs/>
          <w:caps/>
          <w:color w:val="008000"/>
          <w:sz w:val="24"/>
          <w:szCs w:val="24"/>
        </w:rPr>
      </w:pPr>
    </w:p>
    <w:p w:rsidR="001C056C" w:rsidRDefault="001C056C" w:rsidP="001C056C">
      <w:pPr>
        <w:rPr>
          <w:b/>
          <w:bCs/>
          <w:caps/>
          <w:color w:val="008000"/>
          <w:sz w:val="24"/>
          <w:szCs w:val="24"/>
        </w:rPr>
      </w:pPr>
    </w:p>
    <w:p w:rsidR="001C056C" w:rsidRDefault="001C056C" w:rsidP="001C056C">
      <w:pPr>
        <w:rPr>
          <w:b/>
          <w:bCs/>
          <w:caps/>
          <w:color w:val="008000"/>
          <w:sz w:val="24"/>
          <w:szCs w:val="24"/>
        </w:rPr>
      </w:pPr>
    </w:p>
    <w:p w:rsidR="001C056C" w:rsidRPr="00322486" w:rsidRDefault="001C056C" w:rsidP="001C056C">
      <w:pPr>
        <w:rPr>
          <w:b/>
          <w:bCs/>
          <w:caps/>
          <w:color w:val="008000"/>
          <w:sz w:val="24"/>
          <w:szCs w:val="24"/>
        </w:rPr>
      </w:pPr>
    </w:p>
    <w:p w:rsidR="001C056C" w:rsidRPr="00322486" w:rsidRDefault="001C056C" w:rsidP="001C056C">
      <w:pPr>
        <w:rPr>
          <w:sz w:val="24"/>
          <w:szCs w:val="24"/>
        </w:rPr>
      </w:pPr>
      <w:r w:rsidRPr="00322486">
        <w:rPr>
          <w:b/>
          <w:bCs/>
          <w:caps/>
          <w:color w:val="008000"/>
          <w:sz w:val="24"/>
          <w:szCs w:val="24"/>
        </w:rPr>
        <w:lastRenderedPageBreak/>
        <w:t>are you leaving the same amount to all of your beneficiaries?</w:t>
      </w:r>
    </w:p>
    <w:p w:rsidR="001C056C" w:rsidRPr="00322486" w:rsidRDefault="001C056C" w:rsidP="001C056C">
      <w:pPr>
        <w:rPr>
          <w:sz w:val="24"/>
          <w:szCs w:val="24"/>
        </w:rPr>
      </w:pPr>
      <w:r w:rsidRPr="00322486">
        <w:rPr>
          <w:sz w:val="24"/>
          <w:szCs w:val="24"/>
        </w:rPr>
        <w:t xml:space="preserve">One-third of all parents with wills have divided their estates unequally among their children, according to the </w:t>
      </w:r>
      <w:r w:rsidRPr="00322486">
        <w:rPr>
          <w:i/>
          <w:sz w:val="24"/>
          <w:szCs w:val="24"/>
        </w:rPr>
        <w:t>National Bureau of Economic Research</w:t>
      </w:r>
      <w:r w:rsidRPr="00322486">
        <w:rPr>
          <w:sz w:val="24"/>
          <w:szCs w:val="24"/>
        </w:rPr>
        <w:t xml:space="preserve"> (NBER). T</w:t>
      </w:r>
      <w:r>
        <w:rPr>
          <w:sz w:val="24"/>
          <w:szCs w:val="24"/>
        </w:rPr>
        <w:t xml:space="preserve">he study found bequests in complex families – </w:t>
      </w:r>
      <w:r w:rsidRPr="00322486">
        <w:rPr>
          <w:sz w:val="24"/>
          <w:szCs w:val="24"/>
        </w:rPr>
        <w:t>families with stepchildren</w:t>
      </w:r>
      <w:r>
        <w:rPr>
          <w:sz w:val="24"/>
          <w:szCs w:val="24"/>
        </w:rPr>
        <w:t xml:space="preserve"> or estranged children – </w:t>
      </w:r>
      <w:r w:rsidRPr="00322486">
        <w:rPr>
          <w:sz w:val="24"/>
          <w:szCs w:val="24"/>
        </w:rPr>
        <w:t>a</w:t>
      </w:r>
      <w:r>
        <w:rPr>
          <w:sz w:val="24"/>
          <w:szCs w:val="24"/>
        </w:rPr>
        <w:t>re more likely to be unequal.</w:t>
      </w:r>
      <w:r w:rsidRPr="00322486">
        <w:rPr>
          <w:sz w:val="24"/>
          <w:szCs w:val="24"/>
        </w:rPr>
        <w:t xml:space="preserve"> The</w:t>
      </w:r>
      <w:r w:rsidRPr="00322486">
        <w:rPr>
          <w:i/>
          <w:sz w:val="24"/>
          <w:szCs w:val="24"/>
        </w:rPr>
        <w:t xml:space="preserve"> Squared Away Blog </w:t>
      </w:r>
      <w:r>
        <w:rPr>
          <w:sz w:val="24"/>
          <w:szCs w:val="24"/>
        </w:rPr>
        <w:t>reported:</w:t>
      </w:r>
    </w:p>
    <w:p w:rsidR="001C056C" w:rsidRPr="00322486" w:rsidRDefault="001C056C" w:rsidP="001C056C">
      <w:pPr>
        <w:ind w:left="720" w:right="684"/>
        <w:rPr>
          <w:sz w:val="24"/>
          <w:szCs w:val="24"/>
        </w:rPr>
      </w:pPr>
      <w:r w:rsidRPr="00322486">
        <w:rPr>
          <w:sz w:val="24"/>
          <w:szCs w:val="24"/>
        </w:rPr>
        <w:t xml:space="preserve">“…parents with stepchildren are considerably less likely to include all of their children than are parents who have only biological offspring. This is </w:t>
      </w:r>
      <w:proofErr w:type="gramStart"/>
      <w:r w:rsidRPr="00322486">
        <w:rPr>
          <w:sz w:val="24"/>
          <w:szCs w:val="24"/>
        </w:rPr>
        <w:t>more true</w:t>
      </w:r>
      <w:proofErr w:type="gramEnd"/>
      <w:r w:rsidRPr="00322486">
        <w:rPr>
          <w:sz w:val="24"/>
          <w:szCs w:val="24"/>
        </w:rPr>
        <w:t xml:space="preserve"> for women with stepchildren than for men with stepchildren. Divorced and widowed parents are even less likely to divide their assets evenly if they have stepchildren.</w:t>
      </w:r>
      <w:r>
        <w:rPr>
          <w:sz w:val="24"/>
          <w:szCs w:val="24"/>
        </w:rPr>
        <w:t>”</w:t>
      </w:r>
    </w:p>
    <w:p w:rsidR="001C056C" w:rsidRPr="00322486" w:rsidRDefault="001C056C" w:rsidP="001C056C">
      <w:pPr>
        <w:rPr>
          <w:sz w:val="24"/>
          <w:szCs w:val="24"/>
        </w:rPr>
      </w:pPr>
      <w:r w:rsidRPr="00322486">
        <w:rPr>
          <w:sz w:val="24"/>
          <w:szCs w:val="24"/>
        </w:rPr>
        <w:t xml:space="preserve">The </w:t>
      </w:r>
      <w:r>
        <w:rPr>
          <w:sz w:val="24"/>
          <w:szCs w:val="24"/>
        </w:rPr>
        <w:t xml:space="preserve">blog reported </w:t>
      </w:r>
      <w:r w:rsidRPr="00322486">
        <w:rPr>
          <w:sz w:val="24"/>
          <w:szCs w:val="24"/>
        </w:rPr>
        <w:t>there were some mitigating factors. Wealthier parents were more likely to include stepchildren and children with whom they had little or no contact during their lifetimes than less wealthy parents. However, parents who suffered from poor health were less likely to divide their estates equally. Bequests sometimes were used as an incenti</w:t>
      </w:r>
      <w:r>
        <w:rPr>
          <w:sz w:val="24"/>
          <w:szCs w:val="24"/>
        </w:rPr>
        <w:t>ve to provide long-term care.</w:t>
      </w:r>
    </w:p>
    <w:p w:rsidR="001C056C" w:rsidRPr="00322486" w:rsidRDefault="001C056C" w:rsidP="001C056C">
      <w:pPr>
        <w:rPr>
          <w:sz w:val="24"/>
          <w:szCs w:val="24"/>
        </w:rPr>
      </w:pPr>
      <w:r w:rsidRPr="00322486">
        <w:rPr>
          <w:sz w:val="24"/>
          <w:szCs w:val="24"/>
        </w:rPr>
        <w:t>Since children may interpret unequal inheritance as an expression of unequal love, why do parents play favorites? Researchers at Ohio State University delved into the ques</w:t>
      </w:r>
      <w:r>
        <w:rPr>
          <w:sz w:val="24"/>
          <w:szCs w:val="24"/>
        </w:rPr>
        <w:t xml:space="preserve">tion in 2003 and reported </w:t>
      </w:r>
      <w:r w:rsidRPr="00322486">
        <w:rPr>
          <w:sz w:val="24"/>
          <w:szCs w:val="24"/>
        </w:rPr>
        <w:t>altruism (equalizing income differences among children), exchange (bequests in return for services), and/or evolution (bequests to biological children rather than adopted or stepchildren) played a role when distribution of assets was uneven</w:t>
      </w:r>
      <w:r>
        <w:rPr>
          <w:sz w:val="24"/>
          <w:szCs w:val="24"/>
        </w:rPr>
        <w:t>.</w:t>
      </w:r>
    </w:p>
    <w:p w:rsidR="001C056C" w:rsidRPr="00322486" w:rsidRDefault="001C056C" w:rsidP="001C056C">
      <w:pPr>
        <w:rPr>
          <w:sz w:val="24"/>
          <w:szCs w:val="24"/>
        </w:rPr>
      </w:pPr>
    </w:p>
    <w:p w:rsidR="001C056C" w:rsidRPr="001C056C" w:rsidRDefault="001C056C" w:rsidP="001C056C">
      <w:pPr>
        <w:rPr>
          <w:b/>
          <w:color w:val="387C04"/>
          <w:sz w:val="28"/>
          <w:szCs w:val="24"/>
        </w:rPr>
      </w:pPr>
      <w:r w:rsidRPr="00322486">
        <w:rPr>
          <w:b/>
          <w:color w:val="387C04"/>
          <w:sz w:val="28"/>
          <w:szCs w:val="24"/>
        </w:rPr>
        <w:t xml:space="preserve">Weekly Focus – Think </w:t>
      </w:r>
      <w:proofErr w:type="gramStart"/>
      <w:r w:rsidRPr="00322486">
        <w:rPr>
          <w:b/>
          <w:color w:val="387C04"/>
          <w:sz w:val="28"/>
          <w:szCs w:val="24"/>
        </w:rPr>
        <w:t>About</w:t>
      </w:r>
      <w:proofErr w:type="gramEnd"/>
      <w:r w:rsidRPr="00322486">
        <w:rPr>
          <w:b/>
          <w:color w:val="387C04"/>
          <w:sz w:val="28"/>
          <w:szCs w:val="24"/>
        </w:rPr>
        <w:t xml:space="preserve"> It</w:t>
      </w:r>
      <w:r w:rsidRPr="00322486">
        <w:rPr>
          <w:sz w:val="24"/>
          <w:szCs w:val="24"/>
        </w:rPr>
        <w:t xml:space="preserve"> </w:t>
      </w:r>
    </w:p>
    <w:p w:rsidR="001C056C" w:rsidRPr="00322486" w:rsidRDefault="001C056C" w:rsidP="001C056C">
      <w:pPr>
        <w:widowControl w:val="0"/>
        <w:adjustRightInd w:val="0"/>
        <w:rPr>
          <w:iCs/>
          <w:sz w:val="24"/>
          <w:szCs w:val="24"/>
        </w:rPr>
      </w:pPr>
      <w:r w:rsidRPr="00322486">
        <w:rPr>
          <w:iCs/>
          <w:sz w:val="24"/>
          <w:szCs w:val="24"/>
        </w:rPr>
        <w:t>“The philosophy of the school room in one generation will be the philosophy of government in the next.”</w:t>
      </w:r>
    </w:p>
    <w:p w:rsidR="001C056C" w:rsidRPr="001C056C" w:rsidRDefault="001C056C" w:rsidP="001C056C">
      <w:pPr>
        <w:widowControl w:val="0"/>
        <w:adjustRightInd w:val="0"/>
        <w:jc w:val="right"/>
        <w:rPr>
          <w:i/>
          <w:iCs/>
          <w:sz w:val="24"/>
          <w:szCs w:val="24"/>
        </w:rPr>
      </w:pPr>
      <w:r>
        <w:rPr>
          <w:i/>
          <w:iCs/>
          <w:sz w:val="24"/>
          <w:szCs w:val="24"/>
        </w:rPr>
        <w:t>--</w:t>
      </w:r>
      <w:r w:rsidRPr="00322486">
        <w:rPr>
          <w:i/>
          <w:iCs/>
          <w:sz w:val="24"/>
          <w:szCs w:val="24"/>
        </w:rPr>
        <w:t>Abraham Lincoln, Former U.S. President</w:t>
      </w:r>
    </w:p>
    <w:p w:rsidR="001C056C" w:rsidRPr="00322486" w:rsidRDefault="001C056C" w:rsidP="001C056C">
      <w:pPr>
        <w:widowControl w:val="0"/>
        <w:adjustRightInd w:val="0"/>
        <w:rPr>
          <w:sz w:val="24"/>
          <w:szCs w:val="24"/>
        </w:rPr>
      </w:pPr>
      <w:r w:rsidRPr="00322486">
        <w:rPr>
          <w:sz w:val="24"/>
          <w:szCs w:val="24"/>
        </w:rPr>
        <w:t>Best regards,</w:t>
      </w:r>
    </w:p>
    <w:p w:rsidR="001C056C" w:rsidRPr="003125B9" w:rsidRDefault="001C056C" w:rsidP="001C056C">
      <w:pPr>
        <w:autoSpaceDE w:val="0"/>
        <w:autoSpaceDN w:val="0"/>
        <w:rPr>
          <w:rFonts w:ascii="Lucida Handwriting" w:eastAsia="Times New Roman" w:hAnsi="Lucida Handwriting" w:cs="Times New Roman"/>
          <w:sz w:val="20"/>
          <w:szCs w:val="20"/>
          <w:vertAlign w:val="superscript"/>
        </w:rPr>
      </w:pPr>
      <w:r w:rsidRPr="003125B9">
        <w:rPr>
          <w:rFonts w:ascii="Lucida Handwriting" w:eastAsia="Times New Roman" w:hAnsi="Lucida Handwriting" w:cs="Times New Roman"/>
          <w:sz w:val="20"/>
          <w:szCs w:val="20"/>
        </w:rPr>
        <w:t>Patrick</w:t>
      </w:r>
      <w:proofErr w:type="gramStart"/>
      <w:r w:rsidRPr="003125B9">
        <w:rPr>
          <w:rFonts w:ascii="Lucida Handwriting" w:eastAsia="Times New Roman" w:hAnsi="Lucida Handwriting" w:cs="Times New Roman"/>
          <w:sz w:val="20"/>
          <w:szCs w:val="20"/>
        </w:rPr>
        <w:t>  Hurley</w:t>
      </w:r>
      <w:proofErr w:type="gramEnd"/>
      <w:r w:rsidRPr="003125B9">
        <w:rPr>
          <w:rFonts w:ascii="Lucida Handwriting" w:eastAsia="Times New Roman" w:hAnsi="Lucida Handwriting" w:cs="Times New Roman"/>
          <w:sz w:val="20"/>
          <w:szCs w:val="20"/>
        </w:rPr>
        <w:t>,</w:t>
      </w:r>
      <w:r w:rsidRPr="003125B9">
        <w:rPr>
          <w:rFonts w:ascii="Lucida Handwriting" w:eastAsia="Times New Roman" w:hAnsi="Lucida Handwriting" w:cs="Times New Roman"/>
          <w:sz w:val="18"/>
          <w:szCs w:val="18"/>
        </w:rPr>
        <w:t xml:space="preserve"> </w:t>
      </w:r>
      <w:r w:rsidRPr="003125B9">
        <w:rPr>
          <w:rFonts w:ascii="Times New Roman" w:eastAsia="Times New Roman" w:hAnsi="Times New Roman" w:cs="Times New Roman"/>
          <w:sz w:val="18"/>
          <w:szCs w:val="18"/>
        </w:rPr>
        <w:t> </w:t>
      </w:r>
      <w:r w:rsidRPr="003125B9">
        <w:rPr>
          <w:rFonts w:ascii="Times New Roman" w:eastAsia="Times New Roman" w:hAnsi="Times New Roman" w:cs="Times New Roman"/>
          <w:sz w:val="20"/>
          <w:szCs w:val="20"/>
        </w:rPr>
        <w:t>CFP</w:t>
      </w:r>
      <w:r w:rsidRPr="003125B9">
        <w:rPr>
          <w:rFonts w:ascii="Times New Roman" w:eastAsia="Times New Roman" w:hAnsi="Times New Roman" w:cs="Times New Roman"/>
          <w:sz w:val="20"/>
          <w:szCs w:val="20"/>
          <w:vertAlign w:val="superscript"/>
        </w:rPr>
        <w:t>®</w:t>
      </w:r>
      <w:r w:rsidRPr="003125B9">
        <w:rPr>
          <w:rFonts w:ascii="Lucida Handwriting" w:eastAsia="Times New Roman" w:hAnsi="Lucida Handwriting" w:cs="Times New Roman"/>
          <w:sz w:val="20"/>
          <w:szCs w:val="20"/>
          <w:vertAlign w:val="superscript"/>
        </w:rPr>
        <w:t xml:space="preserve"> </w:t>
      </w:r>
    </w:p>
    <w:p w:rsidR="001C056C" w:rsidRPr="00184B04" w:rsidRDefault="001C056C" w:rsidP="001C056C">
      <w:pPr>
        <w:autoSpaceDE w:val="0"/>
        <w:autoSpaceDN w:val="0"/>
        <w:spacing w:after="0" w:line="240" w:lineRule="auto"/>
        <w:rPr>
          <w:rFonts w:ascii="Lucida Handwriting" w:eastAsia="Times New Roman" w:hAnsi="Lucida Handwriting" w:cs="Times New Roman"/>
          <w:sz w:val="20"/>
          <w:szCs w:val="20"/>
        </w:rPr>
      </w:pPr>
      <w:r w:rsidRPr="003125B9">
        <w:rPr>
          <w:rFonts w:ascii="Lucida Handwriting" w:eastAsia="Times New Roman" w:hAnsi="Lucida Handwriting" w:cs="Times New Roman"/>
          <w:sz w:val="20"/>
          <w:szCs w:val="20"/>
        </w:rPr>
        <w:t>Julie</w:t>
      </w:r>
      <w:proofErr w:type="gramStart"/>
      <w:r w:rsidRPr="003125B9">
        <w:rPr>
          <w:rFonts w:ascii="Lucida Handwriting" w:eastAsia="Times New Roman" w:hAnsi="Lucida Handwriting" w:cs="Times New Roman"/>
          <w:sz w:val="20"/>
          <w:szCs w:val="20"/>
        </w:rPr>
        <w:t>  Brangenberg</w:t>
      </w:r>
      <w:proofErr w:type="gramEnd"/>
      <w:r>
        <w:rPr>
          <w:rFonts w:ascii="Lucida Handwriting" w:eastAsia="Times New Roman" w:hAnsi="Lucida Handwriting" w:cs="Times New Roman"/>
          <w:sz w:val="20"/>
          <w:szCs w:val="20"/>
        </w:rPr>
        <w:t xml:space="preserve">, </w:t>
      </w:r>
      <w:r w:rsidRPr="000A16D4">
        <w:rPr>
          <w:rFonts w:ascii="Times New Roman" w:eastAsia="Times New Roman" w:hAnsi="Times New Roman" w:cs="Times New Roman"/>
          <w:sz w:val="24"/>
          <w:szCs w:val="24"/>
        </w:rPr>
        <w:t>LPL</w:t>
      </w:r>
      <w:r>
        <w:rPr>
          <w:rFonts w:ascii="Times New Roman" w:eastAsia="Times New Roman" w:hAnsi="Times New Roman" w:cs="Times New Roman"/>
          <w:sz w:val="20"/>
          <w:szCs w:val="20"/>
        </w:rPr>
        <w:t xml:space="preserve"> </w:t>
      </w:r>
      <w:r w:rsidRPr="003125B9">
        <w:rPr>
          <w:rFonts w:ascii="Times New Roman" w:eastAsia="Times New Roman" w:hAnsi="Times New Roman" w:cs="Times New Roman"/>
          <w:sz w:val="24"/>
          <w:szCs w:val="24"/>
        </w:rPr>
        <w:t>Branch Manager</w:t>
      </w:r>
    </w:p>
    <w:p w:rsidR="001C056C" w:rsidRPr="00322486" w:rsidRDefault="001C056C" w:rsidP="001C056C">
      <w:pPr>
        <w:rPr>
          <w:color w:val="FF0000"/>
          <w:sz w:val="24"/>
          <w:szCs w:val="24"/>
        </w:rPr>
      </w:pPr>
    </w:p>
    <w:p w:rsidR="001C056C" w:rsidRPr="00322486" w:rsidRDefault="001C056C" w:rsidP="001C056C">
      <w:pPr>
        <w:rPr>
          <w:sz w:val="24"/>
          <w:szCs w:val="24"/>
        </w:rPr>
      </w:pPr>
      <w:r w:rsidRPr="00322486">
        <w:rPr>
          <w:sz w:val="24"/>
          <w:szCs w:val="24"/>
        </w:rPr>
        <w:t>P.S.  Please feel free to forward this commentary to family, friends, or colleagues. If you would like us to add them to the list, please reply to this e-mail with their e-mail address and we will ask for their permission to be added.</w:t>
      </w:r>
    </w:p>
    <w:p w:rsidR="001C056C" w:rsidRPr="00322486" w:rsidRDefault="001C056C" w:rsidP="001C056C">
      <w:pPr>
        <w:rPr>
          <w:sz w:val="24"/>
          <w:szCs w:val="24"/>
        </w:rPr>
      </w:pPr>
    </w:p>
    <w:p w:rsidR="001C056C" w:rsidRPr="00322486" w:rsidRDefault="001C056C" w:rsidP="001C056C">
      <w:pPr>
        <w:rPr>
          <w:sz w:val="24"/>
          <w:szCs w:val="24"/>
        </w:rPr>
      </w:pPr>
      <w:r w:rsidRPr="00322486">
        <w:rPr>
          <w:sz w:val="24"/>
          <w:szCs w:val="24"/>
        </w:rPr>
        <w:lastRenderedPageBreak/>
        <w:t xml:space="preserve">Securities offered through </w:t>
      </w:r>
      <w:r>
        <w:rPr>
          <w:sz w:val="24"/>
          <w:szCs w:val="24"/>
        </w:rPr>
        <w:t xml:space="preserve">LPL Financial, </w:t>
      </w:r>
      <w:r w:rsidRPr="00322486">
        <w:rPr>
          <w:sz w:val="24"/>
          <w:szCs w:val="24"/>
        </w:rPr>
        <w:t>Member FINRA/SIPC.</w:t>
      </w:r>
    </w:p>
    <w:p w:rsidR="001C056C" w:rsidRPr="00322486" w:rsidRDefault="001C056C" w:rsidP="001C056C">
      <w:pPr>
        <w:rPr>
          <w:sz w:val="24"/>
          <w:szCs w:val="24"/>
        </w:rPr>
      </w:pPr>
    </w:p>
    <w:p w:rsidR="001C056C" w:rsidRPr="00322486" w:rsidRDefault="001C056C" w:rsidP="001C056C">
      <w:r w:rsidRPr="00322486">
        <w:t>* These views are those of Peak Advisor Alliance, and not the presenting Representative or the Representative’s Broker/Dealer, and should not be construed as investment advice.</w:t>
      </w:r>
    </w:p>
    <w:p w:rsidR="001C056C" w:rsidRPr="00322486" w:rsidRDefault="001C056C" w:rsidP="001C056C">
      <w:r w:rsidRPr="00322486">
        <w:t>* This newsletter was prepared by Peak Advisor Alliance. Peak Advisor Alliance is not affiliated with the named broker/dealer.</w:t>
      </w:r>
    </w:p>
    <w:p w:rsidR="001C056C" w:rsidRPr="00322486" w:rsidRDefault="001C056C" w:rsidP="001C056C">
      <w:r w:rsidRPr="00322486">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rsidR="001C056C" w:rsidRPr="00322486" w:rsidRDefault="001C056C" w:rsidP="001C056C">
      <w:r w:rsidRPr="00322486">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rsidR="001C056C" w:rsidRPr="00322486" w:rsidRDefault="001C056C" w:rsidP="001C056C">
      <w:r w:rsidRPr="00322486">
        <w:t>* The Standard &amp; Poor's 500 (S&amp;P 500) is an unmanaged group of securities considered to be representative of the stock market in general. You cannot invest directly in this index.</w:t>
      </w:r>
    </w:p>
    <w:p w:rsidR="001C056C" w:rsidRPr="00322486" w:rsidRDefault="001C056C" w:rsidP="001C056C">
      <w:r w:rsidRPr="00322486">
        <w:t>* The Standard &amp; Poor’s 500 (S&amp;P 500) is an unmanaged index. Unmanaged index returns do not reflect fees, expenses, or sales charges. Index performance is not indicative of the performance of any investment.</w:t>
      </w:r>
    </w:p>
    <w:p w:rsidR="001C056C" w:rsidRPr="00322486" w:rsidRDefault="001C056C" w:rsidP="001C056C">
      <w:r w:rsidRPr="00322486">
        <w:t>* The Dow Jones Global ex-U.S. Index covers approximately 95% of the market capitalization of the 45 developed and emerging countries included in the Index.</w:t>
      </w:r>
    </w:p>
    <w:p w:rsidR="001C056C" w:rsidRPr="00322486" w:rsidRDefault="001C056C" w:rsidP="001C056C">
      <w:r w:rsidRPr="00322486">
        <w:t xml:space="preserve">* The 10-year Treasury </w:t>
      </w:r>
      <w:proofErr w:type="gramStart"/>
      <w:r w:rsidRPr="00322486">
        <w:t>Note</w:t>
      </w:r>
      <w:proofErr w:type="gramEnd"/>
      <w:r w:rsidRPr="00322486">
        <w:t xml:space="preserve"> represents debt owed by the United States Treasury to the public. Since the U.S. Government is seen as a risk-free borrower, investors use the 10-year Treasury </w:t>
      </w:r>
      <w:proofErr w:type="gramStart"/>
      <w:r w:rsidRPr="00322486">
        <w:t>Note</w:t>
      </w:r>
      <w:proofErr w:type="gramEnd"/>
      <w:r w:rsidRPr="00322486">
        <w:t xml:space="preserve"> as a benchmark for the long-term bond market.</w:t>
      </w:r>
    </w:p>
    <w:p w:rsidR="001C056C" w:rsidRPr="00322486" w:rsidRDefault="001C056C" w:rsidP="001C056C">
      <w:r w:rsidRPr="00322486">
        <w:t>* Gold represents the afternoon gold price as reported by the London Bullion Market Association. The gold price is set twice daily by the London Gold Fixing Company at 10:30 and 15:00 and is expressed in U.S. dollars per fine troy ounce.</w:t>
      </w:r>
    </w:p>
    <w:p w:rsidR="001C056C" w:rsidRPr="00322486" w:rsidRDefault="001C056C" w:rsidP="001C056C">
      <w:r w:rsidRPr="00322486">
        <w:t>* The Bloomberg Commodity Index is designed to be a highly liquid and diversified benchmark for the commodity futures market. The Index is composed of futures contracts on 19 physical commodities and was launched on July 14, 1998.</w:t>
      </w:r>
    </w:p>
    <w:p w:rsidR="001C056C" w:rsidRPr="00322486" w:rsidRDefault="001C056C" w:rsidP="001C056C">
      <w:r w:rsidRPr="00322486">
        <w:t>* The DJ Equity All REIT Total Return Index measures the total return performance of the equity subcategory of the Real Estate Investment Trust (REIT) industry as calculated by Dow Jones.</w:t>
      </w:r>
    </w:p>
    <w:p w:rsidR="001C056C" w:rsidRPr="00322486" w:rsidRDefault="001C056C" w:rsidP="001C056C">
      <w:r w:rsidRPr="00322486">
        <w:t>* Yahoo! Finance is the source for any reference to the performance of an index between two specific periods.</w:t>
      </w:r>
    </w:p>
    <w:p w:rsidR="001C056C" w:rsidRPr="00322486" w:rsidRDefault="001C056C" w:rsidP="001C056C">
      <w:r w:rsidRPr="00322486">
        <w:t>* Opinions expressed are subject to change without notice and are not intended as investment advice or to predict future performance.</w:t>
      </w:r>
    </w:p>
    <w:p w:rsidR="001C056C" w:rsidRPr="00322486" w:rsidRDefault="001C056C" w:rsidP="001C056C">
      <w:r w:rsidRPr="00322486">
        <w:lastRenderedPageBreak/>
        <w:t>* Economic forecasts set forth may not develop as predicted and there can be no guarantee that strategies promoted will be successful.</w:t>
      </w:r>
    </w:p>
    <w:p w:rsidR="001C056C" w:rsidRPr="00322486" w:rsidRDefault="001C056C" w:rsidP="001C056C">
      <w:pPr>
        <w:rPr>
          <w:color w:val="FFFFFF"/>
        </w:rPr>
      </w:pPr>
      <w:r w:rsidRPr="00322486">
        <w:t>* Past performance does not guarantee future results. Investing involves risk, including loss of principal.</w:t>
      </w:r>
    </w:p>
    <w:p w:rsidR="001C056C" w:rsidRPr="00322486" w:rsidRDefault="001C056C" w:rsidP="001C056C">
      <w:r w:rsidRPr="00322486">
        <w:t>* You cannot invest directly in an index.</w:t>
      </w:r>
    </w:p>
    <w:p w:rsidR="001C056C" w:rsidRPr="00322486" w:rsidRDefault="001C056C" w:rsidP="001C056C">
      <w:r w:rsidRPr="00322486">
        <w:t>* Consult your financial professional before making any investment decision.</w:t>
      </w:r>
    </w:p>
    <w:p w:rsidR="001C056C" w:rsidRPr="00322486" w:rsidRDefault="001C056C" w:rsidP="001C056C">
      <w:r w:rsidRPr="00322486">
        <w:t>* Stock investing involves risk including loss of principal.</w:t>
      </w:r>
    </w:p>
    <w:p w:rsidR="001C056C" w:rsidRPr="00322486" w:rsidRDefault="001C056C" w:rsidP="001C056C">
      <w:r w:rsidRPr="00322486">
        <w:t xml:space="preserve">* To unsubscribe from the </w:t>
      </w:r>
      <w:r>
        <w:t>Weekly Market Commentary,</w:t>
      </w:r>
      <w:r w:rsidRPr="001C056C">
        <w:t xml:space="preserve"> </w:t>
      </w:r>
      <w:r w:rsidRPr="00322486">
        <w:t xml:space="preserve">please reply to this e-mail with “Unsubscribe” in the subject line, or write us at </w:t>
      </w:r>
      <w:r>
        <w:t>120 W. Pearl, Jerseyville, IL  62052.</w:t>
      </w:r>
      <w:bookmarkStart w:id="0" w:name="_GoBack"/>
      <w:bookmarkEnd w:id="0"/>
    </w:p>
    <w:p w:rsidR="001C056C" w:rsidRPr="00322486" w:rsidRDefault="001C056C" w:rsidP="001C056C"/>
    <w:p w:rsidR="001C056C" w:rsidRPr="00C61DD1" w:rsidRDefault="001C056C" w:rsidP="001C056C">
      <w:r w:rsidRPr="00C61DD1">
        <w:t>Sources:</w:t>
      </w:r>
    </w:p>
    <w:p w:rsidR="001C056C" w:rsidRPr="00C61DD1" w:rsidRDefault="001C056C" w:rsidP="001C056C">
      <w:hyperlink r:id="rId8" w:history="1">
        <w:r w:rsidRPr="00C61DD1">
          <w:rPr>
            <w:rStyle w:val="Hyperlink"/>
          </w:rPr>
          <w:t>http://www.thisdayinquotes.com/2010/06/reports-of-my-death-are-greatly.html</w:t>
        </w:r>
      </w:hyperlink>
    </w:p>
    <w:p w:rsidR="001C056C" w:rsidRPr="00C61DD1" w:rsidRDefault="001C056C" w:rsidP="001C056C">
      <w:pPr>
        <w:rPr>
          <w:color w:val="05387E"/>
        </w:rPr>
      </w:pPr>
      <w:hyperlink r:id="rId9" w:history="1">
        <w:r w:rsidRPr="00C61DD1">
          <w:rPr>
            <w:rStyle w:val="Hyperlink"/>
          </w:rPr>
          <w:t>http://www.barrons.com/articles/3-strategies-for-coping-with-volatile-rates-1457157564?mod=BOL_hp_we_columns</w:t>
        </w:r>
      </w:hyperlink>
      <w:r w:rsidRPr="00C61DD1">
        <w:rPr>
          <w:rStyle w:val="Hyperlink"/>
        </w:rPr>
        <w:t xml:space="preserve"> (</w:t>
      </w:r>
      <w:r w:rsidRPr="00C61DD1">
        <w:rPr>
          <w:rStyle w:val="Hyperlink"/>
          <w:i/>
        </w:rPr>
        <w:t xml:space="preserve">or go to </w:t>
      </w:r>
      <w:hyperlink r:id="rId10" w:history="1">
        <w:r w:rsidRPr="00C61DD1">
          <w:rPr>
            <w:rStyle w:val="Hyperlink"/>
          </w:rPr>
          <w:t>https://s3-us-west-2.amazonaws.com/peakcontent/+Peak+Commentary/03-07-16_Barrons-3_Strategies_for_Coping_with_Volatile_Rates-Footnote_2.pdf</w:t>
        </w:r>
      </w:hyperlink>
      <w:r w:rsidRPr="00C61DD1">
        <w:rPr>
          <w:color w:val="05387E"/>
        </w:rPr>
        <w:t>)</w:t>
      </w:r>
    </w:p>
    <w:p w:rsidR="001C056C" w:rsidRPr="00C61DD1" w:rsidRDefault="001C056C" w:rsidP="001C056C">
      <w:pPr>
        <w:rPr>
          <w:color w:val="05387E"/>
        </w:rPr>
      </w:pPr>
      <w:hyperlink r:id="rId11" w:history="1">
        <w:r w:rsidRPr="00C61DD1">
          <w:rPr>
            <w:rStyle w:val="Hyperlink"/>
          </w:rPr>
          <w:t>http://blogs.barrons.com/incomeinvesting/2016/03/04/payroll-growth-jumps-in-february-unemployment-flat-as-wages-slip/</w:t>
        </w:r>
      </w:hyperlink>
      <w:r w:rsidRPr="00C61DD1">
        <w:rPr>
          <w:rStyle w:val="Hyperlink"/>
        </w:rPr>
        <w:t xml:space="preserve"> (</w:t>
      </w:r>
      <w:r w:rsidRPr="00C61DD1">
        <w:rPr>
          <w:rStyle w:val="Hyperlink"/>
          <w:i/>
        </w:rPr>
        <w:t xml:space="preserve">or go to </w:t>
      </w:r>
      <w:hyperlink r:id="rId12" w:history="1">
        <w:r w:rsidRPr="00C61DD1">
          <w:rPr>
            <w:rStyle w:val="Hyperlink"/>
          </w:rPr>
          <w:t>https://s3-us-west-2.amazonaws.com/peakcontent/+Peak+Commentary/03-07-16_Barrons-Payroll_Growth_Jumps_in_February-Footnote_3.pdf</w:t>
        </w:r>
      </w:hyperlink>
      <w:r w:rsidRPr="00C61DD1">
        <w:rPr>
          <w:color w:val="05387E"/>
        </w:rPr>
        <w:t>)</w:t>
      </w:r>
    </w:p>
    <w:p w:rsidR="001C056C" w:rsidRPr="00C61DD1" w:rsidRDefault="001C056C" w:rsidP="001C056C">
      <w:pPr>
        <w:rPr>
          <w:color w:val="05387E"/>
        </w:rPr>
      </w:pPr>
      <w:hyperlink r:id="rId13" w:history="1">
        <w:r w:rsidRPr="00C61DD1">
          <w:rPr>
            <w:rStyle w:val="Hyperlink"/>
          </w:rPr>
          <w:t>http://www.wsj.com/articles/u-s-government-bonds-sell-off-after-jobs-data-1457099834</w:t>
        </w:r>
      </w:hyperlink>
      <w:r w:rsidRPr="00C61DD1">
        <w:rPr>
          <w:rStyle w:val="Hyperlink"/>
        </w:rPr>
        <w:t xml:space="preserve"> (</w:t>
      </w:r>
      <w:r w:rsidRPr="00C61DD1">
        <w:rPr>
          <w:rStyle w:val="Hyperlink"/>
          <w:i/>
        </w:rPr>
        <w:t xml:space="preserve">or go to </w:t>
      </w:r>
      <w:hyperlink r:id="rId14" w:history="1">
        <w:r w:rsidRPr="00C61DD1">
          <w:rPr>
            <w:rStyle w:val="Hyperlink"/>
          </w:rPr>
          <w:t>https://s3-us-west-2.amazonaws.com/peakcontent/+Peak+Commentary/03-07-16_WSJ-US_Government_Bonds_Post_Biggest_Weekly_Selloff_Since_November-Footnote_4.pdf</w:t>
        </w:r>
      </w:hyperlink>
      <w:r w:rsidRPr="00C61DD1">
        <w:rPr>
          <w:color w:val="05387E"/>
        </w:rPr>
        <w:t>)</w:t>
      </w:r>
    </w:p>
    <w:p w:rsidR="001C056C" w:rsidRPr="00C61DD1" w:rsidRDefault="001C056C" w:rsidP="001C056C">
      <w:hyperlink r:id="rId15" w:history="1">
        <w:r w:rsidRPr="00C61DD1">
          <w:rPr>
            <w:rStyle w:val="Hyperlink"/>
          </w:rPr>
          <w:t>http://www.cnbc.com/2016/03/03/oil-prices-climb-after-us-oil-output-falls-for-sixth-week.html</w:t>
        </w:r>
      </w:hyperlink>
    </w:p>
    <w:p w:rsidR="001C056C" w:rsidRPr="00C61DD1" w:rsidRDefault="001C056C" w:rsidP="001C056C">
      <w:hyperlink r:id="rId16" w:history="1">
        <w:r w:rsidRPr="00C61DD1">
          <w:rPr>
            <w:rStyle w:val="Hyperlink"/>
          </w:rPr>
          <w:t>http://www.usatoday.com/story/money/markets/2016/03/04/stocks-dow-friday/81308978/</w:t>
        </w:r>
      </w:hyperlink>
    </w:p>
    <w:p w:rsidR="001C056C" w:rsidRPr="00C61DD1" w:rsidRDefault="001C056C" w:rsidP="001C056C">
      <w:hyperlink r:id="rId17" w:history="1">
        <w:r w:rsidRPr="00C61DD1">
          <w:rPr>
            <w:rStyle w:val="Hyperlink"/>
          </w:rPr>
          <w:t>http://www.nber.org/papers/w21692</w:t>
        </w:r>
      </w:hyperlink>
    </w:p>
    <w:p w:rsidR="001C056C" w:rsidRPr="00C61DD1" w:rsidRDefault="001C056C" w:rsidP="001C056C">
      <w:hyperlink r:id="rId18" w:history="1">
        <w:r w:rsidRPr="00C61DD1">
          <w:rPr>
            <w:rStyle w:val="Hyperlink"/>
          </w:rPr>
          <w:t>http://squaredawayblog.bc.edu/squared-away/more-parents-split-bequests-unequally/</w:t>
        </w:r>
      </w:hyperlink>
    </w:p>
    <w:p w:rsidR="001C056C" w:rsidRPr="00B87394" w:rsidRDefault="001C056C" w:rsidP="001C056C">
      <w:hyperlink r:id="rId19" w:history="1">
        <w:r w:rsidRPr="00C61DD1">
          <w:rPr>
            <w:rStyle w:val="Hyperlink"/>
          </w:rPr>
          <w:t>http://economics.sbs.ohio-state.edu/pdf/alight/wp03-01.pdf</w:t>
        </w:r>
      </w:hyperlink>
      <w:r>
        <w:rPr>
          <w:rStyle w:val="Hyperlink"/>
        </w:rPr>
        <w:t xml:space="preserve"> </w:t>
      </w:r>
      <w:r w:rsidRPr="00B87394">
        <w:rPr>
          <w:rStyle w:val="Hyperlink"/>
        </w:rPr>
        <w:t>(</w:t>
      </w:r>
      <w:r w:rsidRPr="00B87394">
        <w:rPr>
          <w:rStyle w:val="Hyperlink"/>
          <w:i/>
        </w:rPr>
        <w:t>Pages 2 and 19-20</w:t>
      </w:r>
      <w:r w:rsidRPr="00B87394">
        <w:rPr>
          <w:rStyle w:val="Hyperlink"/>
        </w:rPr>
        <w:t>)</w:t>
      </w:r>
    </w:p>
    <w:p w:rsidR="001C056C" w:rsidRPr="00C61DD1" w:rsidRDefault="001C056C" w:rsidP="001C056C">
      <w:pPr>
        <w:rPr>
          <w:iCs/>
        </w:rPr>
      </w:pPr>
      <w:hyperlink r:id="rId20" w:history="1">
        <w:r w:rsidRPr="00C61DD1">
          <w:rPr>
            <w:rStyle w:val="Hyperlink"/>
            <w:iCs/>
          </w:rPr>
          <w:t>http://www.brainyquote.com/quotes/quotes/a/abrahamlin133687.html?src=t_education</w:t>
        </w:r>
      </w:hyperlink>
    </w:p>
    <w:p w:rsidR="001C056C" w:rsidRPr="00C61DD1" w:rsidRDefault="001C056C" w:rsidP="001C056C">
      <w:pPr>
        <w:rPr>
          <w:iCs/>
        </w:rPr>
      </w:pPr>
    </w:p>
    <w:p w:rsidR="001C056C" w:rsidRDefault="001C056C" w:rsidP="00967BB3">
      <w:pPr>
        <w:spacing w:after="0" w:line="240" w:lineRule="auto"/>
        <w:jc w:val="center"/>
        <w:rPr>
          <w:rFonts w:ascii="Verdana" w:eastAsia="Times New Roman" w:hAnsi="Verdana" w:cs="Times New Roman"/>
          <w:sz w:val="18"/>
          <w:szCs w:val="18"/>
        </w:rPr>
      </w:pPr>
    </w:p>
    <w:sectPr w:rsidR="001C056C" w:rsidSect="00804000">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B3"/>
    <w:rsid w:val="001C056C"/>
    <w:rsid w:val="004F52D3"/>
    <w:rsid w:val="00524286"/>
    <w:rsid w:val="005653B8"/>
    <w:rsid w:val="00627D45"/>
    <w:rsid w:val="00675510"/>
    <w:rsid w:val="008073D6"/>
    <w:rsid w:val="00967BB3"/>
    <w:rsid w:val="00BB5BFD"/>
    <w:rsid w:val="00EB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B3"/>
    <w:rPr>
      <w:rFonts w:ascii="Tahoma" w:hAnsi="Tahoma" w:cs="Tahoma"/>
      <w:sz w:val="16"/>
      <w:szCs w:val="16"/>
    </w:rPr>
  </w:style>
  <w:style w:type="character" w:styleId="Hyperlink">
    <w:name w:val="Hyperlink"/>
    <w:uiPriority w:val="99"/>
    <w:unhideWhenUsed/>
    <w:rsid w:val="001C05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B3"/>
    <w:rPr>
      <w:rFonts w:ascii="Tahoma" w:hAnsi="Tahoma" w:cs="Tahoma"/>
      <w:sz w:val="16"/>
      <w:szCs w:val="16"/>
    </w:rPr>
  </w:style>
  <w:style w:type="character" w:styleId="Hyperlink">
    <w:name w:val="Hyperlink"/>
    <w:uiPriority w:val="99"/>
    <w:unhideWhenUsed/>
    <w:rsid w:val="001C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dayinquotes.com/2010/06/reports-of-my-death-are-greatly.html" TargetMode="External"/><Relationship Id="rId13" Type="http://schemas.openxmlformats.org/officeDocument/2006/relationships/hyperlink" Target="http://www.wsj.com/articles/u-s-government-bonds-sell-off-after-jobs-data-1457099834" TargetMode="External"/><Relationship Id="rId18" Type="http://schemas.openxmlformats.org/officeDocument/2006/relationships/hyperlink" Target="http://squaredawayblog.bc.edu/squared-away/more-parents-split-bequests-unequall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s3-us-west-2.amazonaws.com/peakcontent/+Peak+Commentary/03-07-16_Barrons-Payroll_Growth_Jumps_in_February-Footnote_3.pdf" TargetMode="External"/><Relationship Id="rId17" Type="http://schemas.openxmlformats.org/officeDocument/2006/relationships/hyperlink" Target="http://www.nber.org/papers/w21692" TargetMode="External"/><Relationship Id="rId2" Type="http://schemas.microsoft.com/office/2007/relationships/stylesWithEffects" Target="stylesWithEffects.xml"/><Relationship Id="rId16" Type="http://schemas.openxmlformats.org/officeDocument/2006/relationships/hyperlink" Target="http://www.usatoday.com/story/money/markets/2016/03/04/stocks-dow-friday/81308978/" TargetMode="External"/><Relationship Id="rId20" Type="http://schemas.openxmlformats.org/officeDocument/2006/relationships/hyperlink" Target="http://www.brainyquote.com/quotes/quotes/a/abrahamlin133687.html?src=t_education"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blogs.barrons.com/incomeinvesting/2016/03/04/payroll-growth-jumps-in-february-unemployment-flat-as-wages-slip/" TargetMode="External"/><Relationship Id="rId5" Type="http://schemas.openxmlformats.org/officeDocument/2006/relationships/image" Target="media/image1.png"/><Relationship Id="rId15" Type="http://schemas.openxmlformats.org/officeDocument/2006/relationships/hyperlink" Target="http://www.cnbc.com/2016/03/03/oil-prices-climb-after-us-oil-output-falls-for-sixth-week.html" TargetMode="External"/><Relationship Id="rId10" Type="http://schemas.openxmlformats.org/officeDocument/2006/relationships/hyperlink" Target="https://s3-us-west-2.amazonaws.com/peakcontent/+Peak+Commentary/03-07-16_Barrons-3_Strategies_for_Coping_with_Volatile_Rates-Footnote_2.pdf" TargetMode="External"/><Relationship Id="rId19" Type="http://schemas.openxmlformats.org/officeDocument/2006/relationships/hyperlink" Target="http://economics.sbs.ohio-state.edu/pdf/alight/wp03-01.pdf" TargetMode="External"/><Relationship Id="rId4" Type="http://schemas.openxmlformats.org/officeDocument/2006/relationships/webSettings" Target="webSettings.xml"/><Relationship Id="rId9" Type="http://schemas.openxmlformats.org/officeDocument/2006/relationships/hyperlink" Target="http://www.barrons.com/articles/3-strategies-for-coping-with-volatile-rates-1457157564?mod=BOL_hp_we_columns" TargetMode="External"/><Relationship Id="rId14" Type="http://schemas.openxmlformats.org/officeDocument/2006/relationships/hyperlink" Target="https://s3-us-west-2.amazonaws.com/peakcontent/+Peak+Commentary/03-07-16_WSJ-US_Government_Bonds_Post_Biggest_Weekly_Selloff_Since_November-Footnote_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Nikki</cp:lastModifiedBy>
  <cp:revision>3</cp:revision>
  <cp:lastPrinted>2016-03-08T14:55:00Z</cp:lastPrinted>
  <dcterms:created xsi:type="dcterms:W3CDTF">2016-03-08T14:38:00Z</dcterms:created>
  <dcterms:modified xsi:type="dcterms:W3CDTF">2016-03-08T14:59:00Z</dcterms:modified>
</cp:coreProperties>
</file>