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67C32" w14:textId="11681327" w:rsidR="00C31BF5" w:rsidRPr="0036086B" w:rsidRDefault="00C31BF5" w:rsidP="00E66057">
      <w:pPr>
        <w:tabs>
          <w:tab w:val="left" w:pos="8550"/>
        </w:tabs>
        <w:jc w:val="center"/>
        <w:rPr>
          <w:rFonts w:ascii="Arial" w:hAnsi="Arial" w:cs="Arial"/>
          <w:b/>
          <w:bCs/>
          <w:color w:val="0D304A"/>
          <w:sz w:val="32"/>
          <w:szCs w:val="32"/>
        </w:rPr>
      </w:pPr>
      <w:r w:rsidRPr="0036086B">
        <w:rPr>
          <w:rFonts w:ascii="Arial" w:hAnsi="Arial" w:cs="Arial"/>
          <w:b/>
          <w:bCs/>
          <w:color w:val="0D304A"/>
          <w:sz w:val="32"/>
          <w:szCs w:val="32"/>
        </w:rPr>
        <w:t>Weekly Market Commentary</w:t>
      </w:r>
    </w:p>
    <w:p w14:paraId="17D75FE3" w14:textId="77777777" w:rsidR="00C31BF5" w:rsidRPr="0036086B" w:rsidRDefault="00C31BF5" w:rsidP="00C31BF5">
      <w:pPr>
        <w:tabs>
          <w:tab w:val="left" w:pos="8550"/>
        </w:tabs>
        <w:jc w:val="center"/>
        <w:rPr>
          <w:rFonts w:ascii="Arial" w:hAnsi="Arial" w:cs="Arial"/>
          <w:b/>
          <w:bCs/>
          <w:color w:val="0D304A"/>
          <w:sz w:val="32"/>
          <w:szCs w:val="32"/>
        </w:rPr>
      </w:pPr>
      <w:r>
        <w:rPr>
          <w:rFonts w:ascii="Arial" w:hAnsi="Arial" w:cs="Arial"/>
          <w:b/>
          <w:bCs/>
          <w:color w:val="0D304A"/>
          <w:sz w:val="32"/>
          <w:szCs w:val="32"/>
        </w:rPr>
        <w:t>November 22</w:t>
      </w:r>
      <w:r w:rsidRPr="0036086B">
        <w:rPr>
          <w:rFonts w:ascii="Arial" w:hAnsi="Arial" w:cs="Arial"/>
          <w:b/>
          <w:bCs/>
          <w:color w:val="0D304A"/>
          <w:sz w:val="32"/>
          <w:szCs w:val="32"/>
        </w:rPr>
        <w:t>, 2021</w:t>
      </w:r>
    </w:p>
    <w:p w14:paraId="3C863326" w14:textId="77777777" w:rsidR="00C31BF5" w:rsidRPr="0036086B" w:rsidRDefault="00C31BF5" w:rsidP="00C31BF5">
      <w:pPr>
        <w:tabs>
          <w:tab w:val="left" w:pos="8550"/>
        </w:tabs>
        <w:jc w:val="center"/>
        <w:rPr>
          <w:rFonts w:ascii="Arial" w:hAnsi="Arial" w:cs="Arial"/>
          <w:b/>
          <w:bCs/>
          <w:color w:val="639D3F"/>
          <w:sz w:val="32"/>
          <w:szCs w:val="32"/>
        </w:rPr>
      </w:pPr>
    </w:p>
    <w:p w14:paraId="03650EAD" w14:textId="77777777" w:rsidR="00C31BF5" w:rsidRPr="0036086B" w:rsidRDefault="00C31BF5" w:rsidP="00C31BF5">
      <w:pPr>
        <w:tabs>
          <w:tab w:val="left" w:pos="8550"/>
        </w:tabs>
        <w:rPr>
          <w:rFonts w:ascii="Arial" w:hAnsi="Arial" w:cs="Arial"/>
          <w:bCs/>
          <w:color w:val="35DB3F"/>
        </w:rPr>
      </w:pPr>
      <w:r w:rsidRPr="0036086B">
        <w:rPr>
          <w:rFonts w:ascii="Arial" w:hAnsi="Arial" w:cs="Arial"/>
          <w:b/>
          <w:bCs/>
          <w:color w:val="0D304A"/>
          <w:sz w:val="28"/>
          <w:szCs w:val="28"/>
        </w:rPr>
        <w:t>The Markets</w:t>
      </w:r>
      <w:r w:rsidRPr="0036086B">
        <w:rPr>
          <w:rFonts w:ascii="Arial" w:hAnsi="Arial" w:cs="Arial"/>
          <w:bCs/>
          <w:color w:val="35DB3F"/>
        </w:rPr>
        <w:t xml:space="preserve"> </w:t>
      </w:r>
    </w:p>
    <w:p w14:paraId="56F0BC77" w14:textId="77777777" w:rsidR="00C31BF5" w:rsidRDefault="00C31BF5" w:rsidP="00C31BF5">
      <w:pPr>
        <w:tabs>
          <w:tab w:val="left" w:pos="8550"/>
        </w:tabs>
        <w:rPr>
          <w:rFonts w:ascii="Arial" w:hAnsi="Arial" w:cs="Arial"/>
          <w:bCs/>
          <w:color w:val="000000" w:themeColor="text1"/>
        </w:rPr>
      </w:pPr>
    </w:p>
    <w:p w14:paraId="6C7B1538" w14:textId="77777777" w:rsidR="00C31BF5" w:rsidRDefault="00C31BF5" w:rsidP="00C31BF5">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Thinking about the possibilities</w:t>
      </w:r>
      <w:r w:rsidRPr="008B6ABB">
        <w:rPr>
          <w:rFonts w:ascii="Arial" w:hAnsi="Arial" w:cs="Arial"/>
          <w:bCs/>
          <w:color w:val="000000" w:themeColor="text1"/>
          <w:sz w:val="22"/>
          <w:szCs w:val="22"/>
        </w:rPr>
        <w:t>.</w:t>
      </w:r>
    </w:p>
    <w:p w14:paraId="48E9E613" w14:textId="77777777" w:rsidR="00C31BF5" w:rsidRDefault="00C31BF5" w:rsidP="00C31BF5">
      <w:pPr>
        <w:tabs>
          <w:tab w:val="left" w:pos="8550"/>
        </w:tabs>
        <w:rPr>
          <w:rFonts w:ascii="Arial" w:hAnsi="Arial" w:cs="Arial"/>
          <w:bCs/>
          <w:color w:val="000000" w:themeColor="text1"/>
          <w:sz w:val="22"/>
          <w:szCs w:val="22"/>
        </w:rPr>
      </w:pPr>
    </w:p>
    <w:p w14:paraId="502C53EC" w14:textId="1D16F872" w:rsidR="00C31BF5" w:rsidRDefault="00C31BF5" w:rsidP="00C31BF5">
      <w:pPr>
        <w:rPr>
          <w:rFonts w:ascii="Arial" w:hAnsi="Arial" w:cs="Arial"/>
          <w:bCs/>
          <w:color w:val="000000" w:themeColor="text1"/>
          <w:sz w:val="22"/>
          <w:szCs w:val="22"/>
        </w:rPr>
      </w:pPr>
      <w:r>
        <w:rPr>
          <w:rFonts w:ascii="Arial" w:hAnsi="Arial" w:cs="Arial"/>
          <w:bCs/>
          <w:color w:val="000000" w:themeColor="text1"/>
          <w:sz w:val="22"/>
          <w:szCs w:val="22"/>
        </w:rPr>
        <w:t>The Standard &amp; Poor’s (S&amp;P) 500 Index finished last week slightly higher and has gained about 6 percent during the past 25 days; however, investors have curbed their enthusiasm. The S&amp;P 500 hasn’t experienced a move</w:t>
      </w:r>
      <w:r w:rsidRPr="00FC6815">
        <w:rPr>
          <w:rFonts w:ascii="Arial" w:hAnsi="Arial" w:cs="Arial"/>
          <w:bCs/>
          <w:color w:val="000000" w:themeColor="text1"/>
          <w:sz w:val="22"/>
          <w:szCs w:val="22"/>
        </w:rPr>
        <w:t xml:space="preserve"> </w:t>
      </w:r>
      <w:r>
        <w:rPr>
          <w:rFonts w:ascii="Arial" w:hAnsi="Arial" w:cs="Arial"/>
          <w:bCs/>
          <w:color w:val="000000" w:themeColor="text1"/>
          <w:sz w:val="22"/>
          <w:szCs w:val="22"/>
        </w:rPr>
        <w:t xml:space="preserve">of one percent or more in </w:t>
      </w:r>
      <w:r w:rsidRPr="00FC6815">
        <w:rPr>
          <w:rFonts w:ascii="Arial" w:hAnsi="Arial" w:cs="Arial"/>
          <w:bCs/>
          <w:color w:val="000000" w:themeColor="text1"/>
          <w:sz w:val="22"/>
          <w:szCs w:val="22"/>
        </w:rPr>
        <w:t>25 trading days</w:t>
      </w:r>
      <w:r>
        <w:rPr>
          <w:rFonts w:ascii="Arial" w:hAnsi="Arial" w:cs="Arial"/>
          <w:bCs/>
          <w:color w:val="000000" w:themeColor="text1"/>
          <w:sz w:val="22"/>
          <w:szCs w:val="22"/>
        </w:rPr>
        <w:t xml:space="preserve">. That’s </w:t>
      </w:r>
      <w:r w:rsidRPr="00FC6815">
        <w:rPr>
          <w:rFonts w:ascii="Arial" w:hAnsi="Arial" w:cs="Arial"/>
          <w:bCs/>
          <w:color w:val="000000" w:themeColor="text1"/>
          <w:sz w:val="22"/>
          <w:szCs w:val="22"/>
        </w:rPr>
        <w:t xml:space="preserve">the longest </w:t>
      </w:r>
      <w:r>
        <w:rPr>
          <w:rFonts w:ascii="Arial" w:hAnsi="Arial" w:cs="Arial"/>
          <w:bCs/>
          <w:color w:val="000000" w:themeColor="text1"/>
          <w:sz w:val="22"/>
          <w:szCs w:val="22"/>
        </w:rPr>
        <w:t>period without a move of that size in about</w:t>
      </w:r>
      <w:r w:rsidRPr="00FC6815">
        <w:rPr>
          <w:rFonts w:ascii="Arial" w:hAnsi="Arial" w:cs="Arial"/>
          <w:bCs/>
          <w:color w:val="000000" w:themeColor="text1"/>
          <w:sz w:val="22"/>
          <w:szCs w:val="22"/>
        </w:rPr>
        <w:t xml:space="preserve"> two years</w:t>
      </w:r>
      <w:r>
        <w:rPr>
          <w:rFonts w:ascii="Arial" w:hAnsi="Arial" w:cs="Arial"/>
          <w:bCs/>
          <w:color w:val="000000" w:themeColor="text1"/>
          <w:sz w:val="22"/>
          <w:szCs w:val="22"/>
        </w:rPr>
        <w:t xml:space="preserve">, according to a source cited by </w:t>
      </w:r>
      <w:proofErr w:type="spellStart"/>
      <w:r>
        <w:rPr>
          <w:rFonts w:ascii="Arial" w:hAnsi="Arial" w:cs="Arial"/>
          <w:bCs/>
          <w:color w:val="000000" w:themeColor="text1"/>
          <w:sz w:val="22"/>
          <w:szCs w:val="22"/>
        </w:rPr>
        <w:t>Avi</w:t>
      </w:r>
      <w:proofErr w:type="spellEnd"/>
      <w:r>
        <w:rPr>
          <w:rFonts w:ascii="Arial" w:hAnsi="Arial" w:cs="Arial"/>
          <w:bCs/>
          <w:color w:val="000000" w:themeColor="text1"/>
          <w:sz w:val="22"/>
          <w:szCs w:val="22"/>
        </w:rPr>
        <w:t xml:space="preserve"> Salzman of </w:t>
      </w:r>
      <w:r w:rsidRPr="00DF334B">
        <w:rPr>
          <w:rFonts w:ascii="Arial" w:hAnsi="Arial" w:cs="Arial"/>
          <w:bCs/>
          <w:i/>
          <w:iCs/>
          <w:color w:val="000000" w:themeColor="text1"/>
          <w:sz w:val="22"/>
          <w:szCs w:val="22"/>
        </w:rPr>
        <w:t>Barron’s</w:t>
      </w:r>
      <w:r>
        <w:rPr>
          <w:rFonts w:ascii="Arial" w:hAnsi="Arial" w:cs="Arial"/>
          <w:bCs/>
          <w:color w:val="000000" w:themeColor="text1"/>
          <w:sz w:val="22"/>
          <w:szCs w:val="22"/>
        </w:rPr>
        <w:t>.</w:t>
      </w:r>
    </w:p>
    <w:p w14:paraId="4F9C6996" w14:textId="77777777" w:rsidR="00C31BF5" w:rsidRDefault="00C31BF5" w:rsidP="00C31BF5">
      <w:pPr>
        <w:rPr>
          <w:rFonts w:ascii="Arial" w:hAnsi="Arial" w:cs="Arial"/>
          <w:bCs/>
          <w:color w:val="000000" w:themeColor="text1"/>
          <w:sz w:val="22"/>
          <w:szCs w:val="22"/>
        </w:rPr>
      </w:pPr>
    </w:p>
    <w:p w14:paraId="3E8B8C10" w14:textId="77777777" w:rsidR="00C31BF5" w:rsidRDefault="00C31BF5" w:rsidP="00C31BF5">
      <w:pPr>
        <w:rPr>
          <w:rFonts w:ascii="Arial" w:hAnsi="Arial" w:cs="Arial"/>
          <w:bCs/>
          <w:color w:val="000000" w:themeColor="text1"/>
          <w:sz w:val="22"/>
          <w:szCs w:val="22"/>
        </w:rPr>
      </w:pPr>
      <w:proofErr w:type="gramStart"/>
      <w:r>
        <w:rPr>
          <w:rFonts w:ascii="Arial" w:hAnsi="Arial" w:cs="Arial"/>
          <w:bCs/>
          <w:color w:val="000000" w:themeColor="text1"/>
          <w:sz w:val="22"/>
          <w:szCs w:val="22"/>
        </w:rPr>
        <w:t>It’s</w:t>
      </w:r>
      <w:proofErr w:type="gramEnd"/>
      <w:r>
        <w:rPr>
          <w:rFonts w:ascii="Arial" w:hAnsi="Arial" w:cs="Arial"/>
          <w:bCs/>
          <w:color w:val="000000" w:themeColor="text1"/>
          <w:sz w:val="22"/>
          <w:szCs w:val="22"/>
        </w:rPr>
        <w:t xml:space="preserve"> possible investors are taking time to think about the current mix of conditions and how the economy and financial markets may be affected. For example:</w:t>
      </w:r>
    </w:p>
    <w:p w14:paraId="0A892339" w14:textId="77777777" w:rsidR="00C31BF5" w:rsidRDefault="00C31BF5" w:rsidP="00C31BF5">
      <w:pPr>
        <w:rPr>
          <w:rFonts w:ascii="Arial" w:hAnsi="Arial" w:cs="Arial"/>
          <w:bCs/>
          <w:color w:val="000000" w:themeColor="text1"/>
          <w:sz w:val="22"/>
          <w:szCs w:val="22"/>
        </w:rPr>
      </w:pPr>
    </w:p>
    <w:p w14:paraId="4A18FA47" w14:textId="1DD8B14F" w:rsidR="00C31BF5" w:rsidRPr="00A71196" w:rsidRDefault="00C31BF5" w:rsidP="00C31BF5">
      <w:pPr>
        <w:pStyle w:val="ListParagraph"/>
        <w:numPr>
          <w:ilvl w:val="0"/>
          <w:numId w:val="40"/>
        </w:numPr>
        <w:rPr>
          <w:rFonts w:ascii="Arial" w:hAnsi="Arial" w:cs="Arial"/>
          <w:bCs/>
          <w:color w:val="000000" w:themeColor="text1"/>
          <w:sz w:val="22"/>
          <w:szCs w:val="22"/>
        </w:rPr>
      </w:pPr>
      <w:r>
        <w:rPr>
          <w:rFonts w:ascii="Arial" w:hAnsi="Arial" w:cs="Arial"/>
          <w:b/>
          <w:color w:val="000000" w:themeColor="text1"/>
          <w:sz w:val="22"/>
          <w:szCs w:val="22"/>
        </w:rPr>
        <w:t>Consumers have said they’re concerned about inflation</w:t>
      </w:r>
      <w:r>
        <w:rPr>
          <w:rFonts w:ascii="Arial" w:hAnsi="Arial" w:cs="Arial"/>
          <w:bCs/>
          <w:color w:val="000000" w:themeColor="text1"/>
          <w:sz w:val="22"/>
          <w:szCs w:val="22"/>
        </w:rPr>
        <w:t xml:space="preserve">. </w:t>
      </w:r>
      <w:r w:rsidRPr="00C918A4">
        <w:rPr>
          <w:rFonts w:ascii="Arial" w:hAnsi="Arial" w:cs="Arial"/>
          <w:bCs/>
          <w:color w:val="000000" w:themeColor="text1"/>
          <w:sz w:val="22"/>
          <w:szCs w:val="22"/>
        </w:rPr>
        <w:t>The University of Michigan’s Consumer Sentiment Index d</w:t>
      </w:r>
      <w:r>
        <w:rPr>
          <w:rFonts w:ascii="Arial" w:hAnsi="Arial" w:cs="Arial"/>
          <w:bCs/>
          <w:color w:val="000000" w:themeColor="text1"/>
          <w:sz w:val="22"/>
          <w:szCs w:val="22"/>
        </w:rPr>
        <w:t xml:space="preserve">eclined in early November on a year-to-year and a month-to-month basis. Survey participants indicated their outlook was negatively affected by inflation concerns, reported </w:t>
      </w:r>
      <w:r w:rsidRPr="00C918A4">
        <w:rPr>
          <w:rFonts w:ascii="Arial" w:hAnsi="Arial" w:cs="Arial"/>
          <w:bCs/>
          <w:color w:val="000000" w:themeColor="text1"/>
          <w:sz w:val="22"/>
          <w:szCs w:val="22"/>
        </w:rPr>
        <w:t>Surveys of Consumers</w:t>
      </w:r>
      <w:r w:rsidRPr="001D3FD8">
        <w:rPr>
          <w:rFonts w:ascii="Arial" w:hAnsi="Arial" w:cs="Arial"/>
          <w:bCs/>
          <w:color w:val="000000" w:themeColor="text1"/>
          <w:sz w:val="22"/>
          <w:szCs w:val="22"/>
        </w:rPr>
        <w:t xml:space="preserve"> </w:t>
      </w:r>
      <w:r>
        <w:rPr>
          <w:rFonts w:ascii="Arial" w:hAnsi="Arial" w:cs="Arial"/>
          <w:bCs/>
          <w:color w:val="000000" w:themeColor="text1"/>
          <w:sz w:val="22"/>
          <w:szCs w:val="22"/>
        </w:rPr>
        <w:t>C</w:t>
      </w:r>
      <w:r w:rsidRPr="001D3FD8">
        <w:rPr>
          <w:rFonts w:ascii="Arial" w:hAnsi="Arial" w:cs="Arial"/>
          <w:bCs/>
          <w:color w:val="000000" w:themeColor="text1"/>
          <w:sz w:val="22"/>
          <w:szCs w:val="22"/>
        </w:rPr>
        <w:t xml:space="preserve">hief </w:t>
      </w:r>
      <w:r>
        <w:rPr>
          <w:rFonts w:ascii="Arial" w:hAnsi="Arial" w:cs="Arial"/>
          <w:bCs/>
          <w:color w:val="000000" w:themeColor="text1"/>
          <w:sz w:val="22"/>
          <w:szCs w:val="22"/>
        </w:rPr>
        <w:t>E</w:t>
      </w:r>
      <w:r w:rsidRPr="001D3FD8">
        <w:rPr>
          <w:rFonts w:ascii="Arial" w:hAnsi="Arial" w:cs="Arial"/>
          <w:bCs/>
          <w:color w:val="000000" w:themeColor="text1"/>
          <w:sz w:val="22"/>
          <w:szCs w:val="22"/>
        </w:rPr>
        <w:t>conomist</w:t>
      </w:r>
      <w:r>
        <w:rPr>
          <w:rFonts w:ascii="Arial" w:hAnsi="Arial" w:cs="Arial"/>
          <w:bCs/>
          <w:color w:val="000000" w:themeColor="text1"/>
          <w:sz w:val="22"/>
          <w:szCs w:val="22"/>
        </w:rPr>
        <w:t xml:space="preserve"> Richard Curtin</w:t>
      </w:r>
      <w:r w:rsidRPr="00A71196">
        <w:rPr>
          <w:rFonts w:ascii="Arial" w:hAnsi="Arial" w:cs="Arial"/>
          <w:bCs/>
          <w:color w:val="000000" w:themeColor="text1"/>
          <w:sz w:val="22"/>
          <w:szCs w:val="22"/>
        </w:rPr>
        <w:t>.</w:t>
      </w:r>
    </w:p>
    <w:p w14:paraId="3B4654F4" w14:textId="77777777" w:rsidR="00C31BF5" w:rsidRDefault="00C31BF5" w:rsidP="00C31BF5">
      <w:pPr>
        <w:pStyle w:val="ListParagraph"/>
        <w:rPr>
          <w:rFonts w:ascii="Arial" w:hAnsi="Arial" w:cs="Arial"/>
          <w:bCs/>
          <w:color w:val="000000" w:themeColor="text1"/>
          <w:sz w:val="22"/>
          <w:szCs w:val="22"/>
        </w:rPr>
      </w:pPr>
    </w:p>
    <w:p w14:paraId="1435E258" w14:textId="1047641F" w:rsidR="00C31BF5" w:rsidRDefault="00C31BF5" w:rsidP="00C31BF5">
      <w:pPr>
        <w:pStyle w:val="ListParagraph"/>
        <w:numPr>
          <w:ilvl w:val="0"/>
          <w:numId w:val="40"/>
        </w:numPr>
        <w:rPr>
          <w:rFonts w:ascii="Arial" w:hAnsi="Arial" w:cs="Arial"/>
          <w:bCs/>
          <w:color w:val="000000" w:themeColor="text1"/>
          <w:sz w:val="22"/>
          <w:szCs w:val="22"/>
        </w:rPr>
      </w:pPr>
      <w:r>
        <w:rPr>
          <w:rFonts w:ascii="Arial" w:hAnsi="Arial" w:cs="Arial"/>
          <w:b/>
          <w:color w:val="000000" w:themeColor="text1"/>
          <w:sz w:val="22"/>
          <w:szCs w:val="22"/>
        </w:rPr>
        <w:t xml:space="preserve">Retail sales were higher than expected. </w:t>
      </w:r>
      <w:r w:rsidRPr="00583C2C">
        <w:rPr>
          <w:rFonts w:ascii="Arial" w:hAnsi="Arial" w:cs="Arial"/>
          <w:bCs/>
          <w:color w:val="000000" w:themeColor="text1"/>
          <w:sz w:val="22"/>
          <w:szCs w:val="22"/>
        </w:rPr>
        <w:t>There</w:t>
      </w:r>
      <w:r>
        <w:rPr>
          <w:rFonts w:ascii="Arial" w:hAnsi="Arial" w:cs="Arial"/>
          <w:bCs/>
          <w:color w:val="000000" w:themeColor="text1"/>
          <w:sz w:val="22"/>
          <w:szCs w:val="22"/>
        </w:rPr>
        <w:t xml:space="preserve"> was</w:t>
      </w:r>
      <w:r w:rsidRPr="00583C2C">
        <w:rPr>
          <w:rFonts w:ascii="Arial" w:hAnsi="Arial" w:cs="Arial"/>
          <w:bCs/>
          <w:color w:val="000000" w:themeColor="text1"/>
          <w:sz w:val="22"/>
          <w:szCs w:val="22"/>
        </w:rPr>
        <w:t xml:space="preserve"> a difference between what </w:t>
      </w:r>
      <w:r>
        <w:rPr>
          <w:rFonts w:ascii="Arial" w:hAnsi="Arial" w:cs="Arial"/>
          <w:bCs/>
          <w:color w:val="000000" w:themeColor="text1"/>
          <w:sz w:val="22"/>
          <w:szCs w:val="22"/>
        </w:rPr>
        <w:t xml:space="preserve">consumers </w:t>
      </w:r>
      <w:r w:rsidRPr="00583C2C">
        <w:rPr>
          <w:rFonts w:ascii="Arial" w:hAnsi="Arial" w:cs="Arial"/>
          <w:bCs/>
          <w:color w:val="000000" w:themeColor="text1"/>
          <w:sz w:val="22"/>
          <w:szCs w:val="22"/>
        </w:rPr>
        <w:t xml:space="preserve">said and what they </w:t>
      </w:r>
      <w:r>
        <w:rPr>
          <w:rFonts w:ascii="Arial" w:hAnsi="Arial" w:cs="Arial"/>
          <w:bCs/>
          <w:color w:val="000000" w:themeColor="text1"/>
          <w:sz w:val="22"/>
          <w:szCs w:val="22"/>
        </w:rPr>
        <w:t>did</w:t>
      </w:r>
      <w:r w:rsidRPr="00583C2C">
        <w:rPr>
          <w:rFonts w:ascii="Arial" w:hAnsi="Arial" w:cs="Arial"/>
          <w:bCs/>
          <w:color w:val="000000" w:themeColor="text1"/>
          <w:sz w:val="22"/>
          <w:szCs w:val="22"/>
        </w:rPr>
        <w:t>.</w:t>
      </w:r>
      <w:r w:rsidRPr="00103BFE">
        <w:rPr>
          <w:rFonts w:ascii="Arial" w:hAnsi="Arial" w:cs="Arial"/>
          <w:b/>
          <w:color w:val="000000" w:themeColor="text1"/>
          <w:sz w:val="22"/>
          <w:szCs w:val="22"/>
        </w:rPr>
        <w:t xml:space="preserve"> </w:t>
      </w:r>
      <w:r w:rsidRPr="00103BFE">
        <w:rPr>
          <w:rFonts w:ascii="Arial" w:hAnsi="Arial" w:cs="Arial"/>
          <w:bCs/>
          <w:color w:val="000000" w:themeColor="text1"/>
          <w:sz w:val="22"/>
          <w:szCs w:val="22"/>
        </w:rPr>
        <w:t xml:space="preserve">Despite </w:t>
      </w:r>
      <w:r>
        <w:rPr>
          <w:rFonts w:ascii="Arial" w:hAnsi="Arial" w:cs="Arial"/>
          <w:bCs/>
          <w:color w:val="000000" w:themeColor="text1"/>
          <w:sz w:val="22"/>
          <w:szCs w:val="22"/>
        </w:rPr>
        <w:t>inflation concerns</w:t>
      </w:r>
      <w:r w:rsidRPr="00103BFE">
        <w:rPr>
          <w:rFonts w:ascii="Arial" w:hAnsi="Arial" w:cs="Arial"/>
          <w:bCs/>
          <w:color w:val="000000" w:themeColor="text1"/>
          <w:sz w:val="22"/>
          <w:szCs w:val="22"/>
        </w:rPr>
        <w:t>,</w:t>
      </w:r>
      <w:r w:rsidRPr="00103BFE">
        <w:rPr>
          <w:rFonts w:ascii="Arial" w:hAnsi="Arial" w:cs="Arial"/>
          <w:b/>
          <w:color w:val="000000" w:themeColor="text1"/>
          <w:sz w:val="22"/>
          <w:szCs w:val="22"/>
        </w:rPr>
        <w:t xml:space="preserve"> </w:t>
      </w:r>
      <w:r w:rsidRPr="00103BFE">
        <w:rPr>
          <w:rFonts w:ascii="Arial" w:hAnsi="Arial" w:cs="Arial"/>
          <w:bCs/>
          <w:color w:val="000000" w:themeColor="text1"/>
          <w:sz w:val="22"/>
          <w:szCs w:val="22"/>
        </w:rPr>
        <w:t>retail sales were</w:t>
      </w:r>
      <w:r>
        <w:rPr>
          <w:rFonts w:ascii="Arial" w:hAnsi="Arial" w:cs="Arial"/>
          <w:bCs/>
          <w:color w:val="000000" w:themeColor="text1"/>
          <w:sz w:val="22"/>
          <w:szCs w:val="22"/>
        </w:rPr>
        <w:t xml:space="preserve"> up 1.7 percent from October to November and 16.3 percent year-over-year, </w:t>
      </w:r>
      <w:r w:rsidRPr="00103BFE">
        <w:rPr>
          <w:rFonts w:ascii="Arial" w:hAnsi="Arial" w:cs="Arial"/>
          <w:bCs/>
          <w:color w:val="000000" w:themeColor="text1"/>
          <w:sz w:val="22"/>
          <w:szCs w:val="22"/>
        </w:rPr>
        <w:t xml:space="preserve">reported Jeff Cox of </w:t>
      </w:r>
      <w:r w:rsidRPr="00C918A4">
        <w:rPr>
          <w:rFonts w:ascii="Arial" w:hAnsi="Arial" w:cs="Arial"/>
          <w:bCs/>
          <w:color w:val="000000" w:themeColor="text1"/>
          <w:sz w:val="22"/>
          <w:szCs w:val="22"/>
        </w:rPr>
        <w:t>CNBC</w:t>
      </w:r>
      <w:r w:rsidRPr="002B3126">
        <w:rPr>
          <w:rFonts w:ascii="Arial" w:hAnsi="Arial" w:cs="Arial"/>
          <w:bCs/>
          <w:color w:val="000000" w:themeColor="text1"/>
          <w:sz w:val="22"/>
          <w:szCs w:val="22"/>
        </w:rPr>
        <w:t>.</w:t>
      </w:r>
    </w:p>
    <w:p w14:paraId="72390B4E" w14:textId="77777777" w:rsidR="00C31BF5" w:rsidRPr="00103BFE" w:rsidRDefault="00C31BF5" w:rsidP="00C31BF5">
      <w:pPr>
        <w:rPr>
          <w:rFonts w:ascii="Arial" w:hAnsi="Arial" w:cs="Arial"/>
          <w:bCs/>
          <w:color w:val="000000" w:themeColor="text1"/>
          <w:sz w:val="22"/>
          <w:szCs w:val="22"/>
        </w:rPr>
      </w:pPr>
    </w:p>
    <w:p w14:paraId="1173982A" w14:textId="21A69FA6" w:rsidR="00C31BF5" w:rsidRDefault="00C31BF5" w:rsidP="00C31BF5">
      <w:pPr>
        <w:pStyle w:val="ListParagraph"/>
        <w:numPr>
          <w:ilvl w:val="0"/>
          <w:numId w:val="40"/>
        </w:numPr>
        <w:rPr>
          <w:rFonts w:ascii="Arial" w:hAnsi="Arial" w:cs="Arial"/>
          <w:bCs/>
          <w:color w:val="000000" w:themeColor="text1"/>
          <w:sz w:val="22"/>
          <w:szCs w:val="22"/>
        </w:rPr>
      </w:pPr>
      <w:r w:rsidRPr="00053226">
        <w:rPr>
          <w:rFonts w:ascii="Arial" w:hAnsi="Arial" w:cs="Arial"/>
          <w:b/>
          <w:color w:val="000000" w:themeColor="text1"/>
          <w:sz w:val="22"/>
          <w:szCs w:val="22"/>
        </w:rPr>
        <w:t xml:space="preserve">Companies were </w:t>
      </w:r>
      <w:r>
        <w:rPr>
          <w:rFonts w:ascii="Arial" w:hAnsi="Arial" w:cs="Arial"/>
          <w:b/>
          <w:color w:val="000000" w:themeColor="text1"/>
          <w:sz w:val="22"/>
          <w:szCs w:val="22"/>
        </w:rPr>
        <w:t xml:space="preserve">very </w:t>
      </w:r>
      <w:r w:rsidRPr="00053226">
        <w:rPr>
          <w:rFonts w:ascii="Arial" w:hAnsi="Arial" w:cs="Arial"/>
          <w:b/>
          <w:color w:val="000000" w:themeColor="text1"/>
          <w:sz w:val="22"/>
          <w:szCs w:val="22"/>
        </w:rPr>
        <w:t>profitable during the third quarter</w:t>
      </w:r>
      <w:r w:rsidRPr="00053226">
        <w:rPr>
          <w:rFonts w:ascii="Arial" w:hAnsi="Arial" w:cs="Arial"/>
          <w:bCs/>
          <w:color w:val="000000" w:themeColor="text1"/>
          <w:sz w:val="22"/>
          <w:szCs w:val="22"/>
        </w:rPr>
        <w:t xml:space="preserve">. Supply chain issues and inflation were frequently mentioned by companies during earnings calls, but </w:t>
      </w:r>
      <w:r>
        <w:rPr>
          <w:rFonts w:ascii="Arial" w:hAnsi="Arial" w:cs="Arial"/>
          <w:bCs/>
          <w:color w:val="000000" w:themeColor="text1"/>
          <w:sz w:val="22"/>
          <w:szCs w:val="22"/>
        </w:rPr>
        <w:t xml:space="preserve">they didn’t affect corporate profits. The majority (82 percent) of companies reported higher than expected earnings per share. On average, company profits were up 39 percent year-over-year, which was the strongest growth since 2010, reported John Butters of </w:t>
      </w:r>
      <w:r w:rsidRPr="00C918A4">
        <w:rPr>
          <w:rFonts w:ascii="Arial" w:hAnsi="Arial" w:cs="Arial"/>
          <w:bCs/>
          <w:color w:val="000000" w:themeColor="text1"/>
          <w:sz w:val="22"/>
          <w:szCs w:val="22"/>
        </w:rPr>
        <w:t>FactSet.</w:t>
      </w:r>
      <w:r>
        <w:rPr>
          <w:rFonts w:ascii="Arial" w:hAnsi="Arial" w:cs="Arial"/>
          <w:bCs/>
          <w:color w:val="000000" w:themeColor="text1"/>
          <w:sz w:val="22"/>
          <w:szCs w:val="22"/>
        </w:rPr>
        <w:t xml:space="preserve"> </w:t>
      </w:r>
    </w:p>
    <w:p w14:paraId="1AA13B3B" w14:textId="77777777" w:rsidR="00C31BF5" w:rsidRPr="00C1026B" w:rsidRDefault="00C31BF5" w:rsidP="00C31BF5">
      <w:pPr>
        <w:pStyle w:val="ListParagraph"/>
        <w:rPr>
          <w:rFonts w:ascii="Arial" w:hAnsi="Arial" w:cs="Arial"/>
          <w:bCs/>
          <w:color w:val="000000" w:themeColor="text1"/>
          <w:sz w:val="22"/>
          <w:szCs w:val="22"/>
        </w:rPr>
      </w:pPr>
    </w:p>
    <w:p w14:paraId="366A1436" w14:textId="5EDA43AD" w:rsidR="00C31BF5" w:rsidRDefault="00C31BF5" w:rsidP="00C31BF5">
      <w:pPr>
        <w:pStyle w:val="ListParagraph"/>
        <w:numPr>
          <w:ilvl w:val="0"/>
          <w:numId w:val="40"/>
        </w:numPr>
        <w:rPr>
          <w:rFonts w:ascii="Arial" w:hAnsi="Arial" w:cs="Arial"/>
          <w:bCs/>
          <w:color w:val="000000" w:themeColor="text1"/>
          <w:sz w:val="22"/>
          <w:szCs w:val="22"/>
        </w:rPr>
      </w:pPr>
      <w:r w:rsidRPr="00C1026B">
        <w:rPr>
          <w:rFonts w:ascii="Arial" w:hAnsi="Arial" w:cs="Arial"/>
          <w:b/>
          <w:color w:val="000000" w:themeColor="text1"/>
          <w:sz w:val="22"/>
          <w:szCs w:val="22"/>
        </w:rPr>
        <w:t xml:space="preserve">The oil shortage </w:t>
      </w:r>
      <w:r>
        <w:rPr>
          <w:rFonts w:ascii="Arial" w:hAnsi="Arial" w:cs="Arial"/>
          <w:b/>
          <w:color w:val="000000" w:themeColor="text1"/>
          <w:sz w:val="22"/>
          <w:szCs w:val="22"/>
        </w:rPr>
        <w:t>may already be over</w:t>
      </w:r>
      <w:r>
        <w:rPr>
          <w:rFonts w:ascii="Arial" w:hAnsi="Arial" w:cs="Arial"/>
          <w:bCs/>
          <w:color w:val="000000" w:themeColor="text1"/>
          <w:sz w:val="22"/>
          <w:szCs w:val="22"/>
        </w:rPr>
        <w:t xml:space="preserve">. Oil prices dropped last week. A surge of COVID-19 cases in Europe is expected to slow demand just as supplies may increase as some countries begin to release oil from strategic petroleum reserves, reported </w:t>
      </w:r>
      <w:proofErr w:type="spellStart"/>
      <w:r>
        <w:rPr>
          <w:rFonts w:ascii="Arial" w:hAnsi="Arial" w:cs="Arial"/>
          <w:bCs/>
          <w:color w:val="000000" w:themeColor="text1"/>
          <w:sz w:val="22"/>
          <w:szCs w:val="22"/>
        </w:rPr>
        <w:t>Avi</w:t>
      </w:r>
      <w:proofErr w:type="spellEnd"/>
      <w:r>
        <w:rPr>
          <w:rFonts w:ascii="Arial" w:hAnsi="Arial" w:cs="Arial"/>
          <w:bCs/>
          <w:color w:val="000000" w:themeColor="text1"/>
          <w:sz w:val="22"/>
          <w:szCs w:val="22"/>
        </w:rPr>
        <w:t xml:space="preserve"> Salzman of </w:t>
      </w:r>
      <w:r w:rsidRPr="00C1026B">
        <w:rPr>
          <w:rFonts w:ascii="Arial" w:hAnsi="Arial" w:cs="Arial"/>
          <w:bCs/>
          <w:i/>
          <w:iCs/>
          <w:color w:val="000000" w:themeColor="text1"/>
          <w:sz w:val="22"/>
          <w:szCs w:val="22"/>
        </w:rPr>
        <w:t>Barron’s</w:t>
      </w:r>
      <w:r w:rsidRPr="002B3126">
        <w:rPr>
          <w:rFonts w:ascii="Arial" w:hAnsi="Arial" w:cs="Arial"/>
          <w:bCs/>
          <w:color w:val="000000" w:themeColor="text1"/>
          <w:sz w:val="22"/>
          <w:szCs w:val="22"/>
        </w:rPr>
        <w:t>.</w:t>
      </w:r>
      <w:r w:rsidR="001B3553">
        <w:rPr>
          <w:rFonts w:ascii="Arial" w:hAnsi="Arial" w:cs="Arial"/>
          <w:sz w:val="22"/>
          <w:szCs w:val="22"/>
          <w:vertAlign w:val="superscript"/>
        </w:rPr>
        <w:t xml:space="preserve"> </w:t>
      </w:r>
      <w:r>
        <w:rPr>
          <w:rFonts w:ascii="Arial" w:hAnsi="Arial" w:cs="Arial"/>
          <w:bCs/>
          <w:color w:val="000000" w:themeColor="text1"/>
          <w:sz w:val="22"/>
          <w:szCs w:val="22"/>
        </w:rPr>
        <w:t xml:space="preserve">During the past decade, oil prices have accounted for about 56 percent of the price of a gallon of gasoline, according to the </w:t>
      </w:r>
      <w:r w:rsidRPr="00C918A4">
        <w:rPr>
          <w:rFonts w:ascii="Arial" w:hAnsi="Arial" w:cs="Arial"/>
          <w:bCs/>
          <w:color w:val="000000" w:themeColor="text1"/>
          <w:sz w:val="22"/>
          <w:szCs w:val="22"/>
        </w:rPr>
        <w:t>U.S. Energy Information Administration</w:t>
      </w:r>
      <w:r>
        <w:rPr>
          <w:rFonts w:ascii="Arial" w:hAnsi="Arial" w:cs="Arial"/>
          <w:bCs/>
          <w:color w:val="000000" w:themeColor="text1"/>
          <w:sz w:val="22"/>
          <w:szCs w:val="22"/>
        </w:rPr>
        <w:t>. As oil prices fall, gasoline prices also may move lower.</w:t>
      </w:r>
    </w:p>
    <w:p w14:paraId="1E9623ED" w14:textId="77777777" w:rsidR="00C31BF5" w:rsidRPr="00167179" w:rsidRDefault="00C31BF5" w:rsidP="00C31BF5">
      <w:pPr>
        <w:rPr>
          <w:rFonts w:ascii="Arial" w:hAnsi="Arial" w:cs="Arial"/>
          <w:bCs/>
          <w:color w:val="000000" w:themeColor="text1"/>
          <w:sz w:val="22"/>
          <w:szCs w:val="22"/>
        </w:rPr>
      </w:pPr>
    </w:p>
    <w:p w14:paraId="00ECF971" w14:textId="3FD5A3D9" w:rsidR="00C31BF5" w:rsidRDefault="00C31BF5" w:rsidP="00C31BF5">
      <w:pPr>
        <w:rPr>
          <w:rFonts w:ascii="Arial" w:hAnsi="Arial" w:cs="Arial"/>
          <w:bCs/>
          <w:color w:val="000000" w:themeColor="text1"/>
          <w:sz w:val="22"/>
          <w:szCs w:val="22"/>
        </w:rPr>
      </w:pPr>
      <w:r>
        <w:rPr>
          <w:rFonts w:ascii="Arial" w:hAnsi="Arial" w:cs="Arial"/>
          <w:bCs/>
          <w:color w:val="000000" w:themeColor="text1"/>
          <w:sz w:val="22"/>
          <w:szCs w:val="22"/>
        </w:rPr>
        <w:t>The performance of m</w:t>
      </w:r>
      <w:r w:rsidRPr="00E85267">
        <w:rPr>
          <w:rFonts w:ascii="Arial" w:hAnsi="Arial" w:cs="Arial"/>
          <w:bCs/>
          <w:color w:val="000000" w:themeColor="text1"/>
          <w:sz w:val="22"/>
          <w:szCs w:val="22"/>
        </w:rPr>
        <w:t>ajor U.S. stock indices</w:t>
      </w:r>
      <w:r>
        <w:rPr>
          <w:rFonts w:ascii="Arial" w:hAnsi="Arial" w:cs="Arial"/>
          <w:bCs/>
          <w:color w:val="000000" w:themeColor="text1"/>
          <w:sz w:val="22"/>
          <w:szCs w:val="22"/>
        </w:rPr>
        <w:t xml:space="preserve"> was mixed last</w:t>
      </w:r>
      <w:r w:rsidRPr="00E85267">
        <w:rPr>
          <w:rFonts w:ascii="Arial" w:hAnsi="Arial" w:cs="Arial"/>
          <w:bCs/>
          <w:color w:val="000000" w:themeColor="text1"/>
          <w:sz w:val="22"/>
          <w:szCs w:val="22"/>
        </w:rPr>
        <w:t xml:space="preserve"> week</w:t>
      </w:r>
      <w:r>
        <w:rPr>
          <w:rFonts w:ascii="Arial" w:hAnsi="Arial" w:cs="Arial"/>
          <w:bCs/>
          <w:color w:val="000000" w:themeColor="text1"/>
          <w:sz w:val="22"/>
          <w:szCs w:val="22"/>
        </w:rPr>
        <w:t xml:space="preserve">, </w:t>
      </w:r>
      <w:r w:rsidRPr="00E85267">
        <w:rPr>
          <w:rFonts w:ascii="Arial" w:hAnsi="Arial" w:cs="Arial"/>
          <w:bCs/>
          <w:color w:val="000000" w:themeColor="text1"/>
          <w:sz w:val="22"/>
          <w:szCs w:val="22"/>
        </w:rPr>
        <w:t xml:space="preserve">according to </w:t>
      </w:r>
      <w:proofErr w:type="spellStart"/>
      <w:r>
        <w:rPr>
          <w:rFonts w:ascii="Arial" w:hAnsi="Arial" w:cs="Arial"/>
          <w:bCs/>
          <w:color w:val="000000" w:themeColor="text1"/>
          <w:sz w:val="22"/>
          <w:szCs w:val="22"/>
        </w:rPr>
        <w:t>Avi</w:t>
      </w:r>
      <w:proofErr w:type="spellEnd"/>
      <w:r>
        <w:rPr>
          <w:rFonts w:ascii="Arial" w:hAnsi="Arial" w:cs="Arial"/>
          <w:bCs/>
          <w:color w:val="000000" w:themeColor="text1"/>
          <w:sz w:val="22"/>
          <w:szCs w:val="22"/>
        </w:rPr>
        <w:t xml:space="preserve"> Salzman</w:t>
      </w:r>
      <w:r w:rsidRPr="00E85267">
        <w:rPr>
          <w:rFonts w:ascii="Arial" w:hAnsi="Arial" w:cs="Arial"/>
          <w:bCs/>
          <w:color w:val="000000" w:themeColor="text1"/>
          <w:sz w:val="22"/>
          <w:szCs w:val="22"/>
        </w:rPr>
        <w:t xml:space="preserve"> of </w:t>
      </w:r>
      <w:r w:rsidRPr="00E85267">
        <w:rPr>
          <w:rFonts w:ascii="Arial" w:hAnsi="Arial" w:cs="Arial"/>
          <w:bCs/>
          <w:i/>
          <w:iCs/>
          <w:color w:val="000000" w:themeColor="text1"/>
          <w:sz w:val="22"/>
          <w:szCs w:val="22"/>
        </w:rPr>
        <w:t>Barron’s</w:t>
      </w:r>
      <w:r>
        <w:rPr>
          <w:rFonts w:ascii="Arial" w:hAnsi="Arial" w:cs="Arial"/>
          <w:bCs/>
          <w:color w:val="000000" w:themeColor="text1"/>
          <w:sz w:val="22"/>
          <w:szCs w:val="22"/>
        </w:rPr>
        <w:t xml:space="preserve">. The yield on 10-year U.S. </w:t>
      </w:r>
      <w:r w:rsidRPr="00E85267">
        <w:rPr>
          <w:rFonts w:ascii="Arial" w:hAnsi="Arial" w:cs="Arial"/>
          <w:bCs/>
          <w:color w:val="000000" w:themeColor="text1"/>
          <w:sz w:val="22"/>
          <w:szCs w:val="22"/>
        </w:rPr>
        <w:t>Treasur</w:t>
      </w:r>
      <w:r>
        <w:rPr>
          <w:rFonts w:ascii="Arial" w:hAnsi="Arial" w:cs="Arial"/>
          <w:bCs/>
          <w:color w:val="000000" w:themeColor="text1"/>
          <w:sz w:val="22"/>
          <w:szCs w:val="22"/>
        </w:rPr>
        <w:t>ies dropped last week</w:t>
      </w:r>
      <w:r w:rsidRPr="00E85267">
        <w:rPr>
          <w:rFonts w:ascii="Arial" w:hAnsi="Arial" w:cs="Arial"/>
          <w:bCs/>
          <w:color w:val="000000" w:themeColor="text1"/>
          <w:sz w:val="22"/>
          <w:szCs w:val="22"/>
        </w:rPr>
        <w:t>.</w:t>
      </w:r>
    </w:p>
    <w:p w14:paraId="1E2A1C53" w14:textId="77777777" w:rsidR="00C31BF5" w:rsidRDefault="00C31BF5" w:rsidP="00C31BF5">
      <w:pPr>
        <w:rPr>
          <w:rFonts w:ascii="Arial" w:hAnsi="Arial" w:cs="Arial"/>
          <w:bCs/>
          <w:color w:val="000000" w:themeColor="text1"/>
          <w:sz w:val="22"/>
          <w:szCs w:val="22"/>
        </w:rPr>
      </w:pPr>
    </w:p>
    <w:p w14:paraId="508D5F70" w14:textId="77777777" w:rsidR="00C31BF5" w:rsidRPr="00E85267" w:rsidRDefault="00C31BF5" w:rsidP="00C31BF5">
      <w:pPr>
        <w:rPr>
          <w:rFonts w:ascii="Arial" w:hAnsi="Arial" w:cs="Arial"/>
          <w:bCs/>
          <w:color w:val="000000" w:themeColor="text1"/>
          <w:sz w:val="22"/>
          <w:szCs w:val="22"/>
          <w:vertAlign w:val="superscript"/>
        </w:rPr>
      </w:pPr>
      <w:r>
        <w:rPr>
          <w:rFonts w:ascii="Arial" w:hAnsi="Arial" w:cs="Arial"/>
          <w:bCs/>
          <w:color w:val="000000" w:themeColor="text1"/>
          <w:sz w:val="22"/>
          <w:szCs w:val="22"/>
        </w:rPr>
        <w:t>We hope you have a wonderful Thanksgiving.</w:t>
      </w:r>
    </w:p>
    <w:p w14:paraId="5A93355F" w14:textId="77777777" w:rsidR="00C31BF5" w:rsidRPr="00EF78F4" w:rsidRDefault="00C31BF5" w:rsidP="00C31BF5">
      <w:pPr>
        <w:tabs>
          <w:tab w:val="left" w:pos="8550"/>
        </w:tabs>
        <w:rPr>
          <w:rFonts w:ascii="Arial" w:hAnsi="Arial" w:cs="Arial"/>
          <w:b/>
          <w:color w:val="000000" w:themeColor="text1"/>
          <w:sz w:val="22"/>
          <w:szCs w:val="22"/>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C31BF5" w:rsidRPr="00EF78F4" w14:paraId="35E6F38A" w14:textId="77777777" w:rsidTr="0078132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737266" w14:textId="77777777" w:rsidR="00C31BF5" w:rsidRPr="00EF78F4" w:rsidRDefault="00C31BF5" w:rsidP="00781320">
            <w:pPr>
              <w:tabs>
                <w:tab w:val="left" w:pos="8550"/>
              </w:tabs>
              <w:jc w:val="center"/>
              <w:rPr>
                <w:rFonts w:ascii="Arial" w:hAnsi="Arial" w:cs="Arial"/>
                <w:b/>
                <w:bCs/>
                <w:color w:val="000000" w:themeColor="text1"/>
                <w:sz w:val="22"/>
                <w:szCs w:val="22"/>
              </w:rPr>
            </w:pPr>
            <w:r w:rsidRPr="00EF78F4">
              <w:rPr>
                <w:rFonts w:ascii="Arial" w:hAnsi="Arial" w:cs="Arial"/>
                <w:color w:val="000000" w:themeColor="text1"/>
                <w:sz w:val="22"/>
                <w:szCs w:val="22"/>
              </w:rPr>
              <w:br w:type="page"/>
            </w:r>
            <w:r w:rsidRPr="00EF78F4">
              <w:rPr>
                <w:rFonts w:ascii="Arial" w:hAnsi="Arial" w:cs="Arial"/>
                <w:b/>
                <w:bCs/>
                <w:color w:val="000000" w:themeColor="text1"/>
                <w:sz w:val="22"/>
                <w:szCs w:val="22"/>
              </w:rPr>
              <w:t xml:space="preserve">Data as of </w:t>
            </w:r>
            <w:r>
              <w:rPr>
                <w:rFonts w:ascii="Arial" w:hAnsi="Arial" w:cs="Arial"/>
                <w:b/>
                <w:bCs/>
                <w:color w:val="000000" w:themeColor="text1"/>
                <w:sz w:val="22"/>
                <w:szCs w:val="22"/>
              </w:rPr>
              <w:t>11/19</w:t>
            </w:r>
            <w:r w:rsidRPr="00EF78F4">
              <w:rPr>
                <w:rFonts w:ascii="Arial" w:hAnsi="Arial" w:cs="Arial"/>
                <w:b/>
                <w:bCs/>
                <w:color w:val="000000" w:themeColor="text1"/>
                <w:sz w:val="22"/>
                <w:szCs w:val="22"/>
              </w:rPr>
              <w:t>/21</w:t>
            </w:r>
          </w:p>
        </w:tc>
        <w:tc>
          <w:tcPr>
            <w:tcW w:w="990" w:type="dxa"/>
            <w:tcBorders>
              <w:top w:val="single" w:sz="4" w:space="0" w:color="auto"/>
              <w:left w:val="nil"/>
              <w:bottom w:val="single" w:sz="4" w:space="0" w:color="auto"/>
              <w:right w:val="single" w:sz="4" w:space="0" w:color="auto"/>
            </w:tcBorders>
            <w:vAlign w:val="center"/>
          </w:tcPr>
          <w:p w14:paraId="53F89AAE" w14:textId="77777777" w:rsidR="00C31BF5" w:rsidRPr="00EF78F4" w:rsidRDefault="00C31BF5" w:rsidP="00781320">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52E712" w14:textId="77777777" w:rsidR="00C31BF5" w:rsidRPr="00EF78F4" w:rsidRDefault="00C31BF5" w:rsidP="00781320">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E77598F" w14:textId="77777777" w:rsidR="00C31BF5" w:rsidRPr="00EF78F4" w:rsidRDefault="00C31BF5" w:rsidP="00781320">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63B38962" w14:textId="77777777" w:rsidR="00C31BF5" w:rsidRPr="00EF78F4" w:rsidRDefault="00C31BF5" w:rsidP="00781320">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9AA5B8D" w14:textId="77777777" w:rsidR="00C31BF5" w:rsidRPr="00EF78F4" w:rsidRDefault="00C31BF5" w:rsidP="00781320">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7872018" w14:textId="77777777" w:rsidR="00C31BF5" w:rsidRPr="00EF78F4" w:rsidRDefault="00C31BF5" w:rsidP="00781320">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10-Year</w:t>
            </w:r>
          </w:p>
        </w:tc>
      </w:tr>
      <w:tr w:rsidR="00C31BF5" w:rsidRPr="00EF78F4" w14:paraId="72E7BAF6" w14:textId="77777777" w:rsidTr="00781320">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7819BF29" w14:textId="77777777" w:rsidR="00C31BF5" w:rsidRPr="00EF78F4" w:rsidRDefault="00C31BF5" w:rsidP="00781320">
            <w:pPr>
              <w:tabs>
                <w:tab w:val="left" w:pos="8550"/>
              </w:tabs>
              <w:rPr>
                <w:rFonts w:ascii="Arial" w:hAnsi="Arial" w:cs="Arial"/>
                <w:sz w:val="22"/>
                <w:szCs w:val="22"/>
              </w:rPr>
            </w:pPr>
            <w:r w:rsidRPr="00EF78F4">
              <w:rPr>
                <w:rFonts w:ascii="Arial" w:hAnsi="Arial" w:cs="Arial"/>
                <w:sz w:val="22"/>
                <w:szCs w:val="22"/>
              </w:rPr>
              <w:t xml:space="preserve">Standard &amp; Poor's 500 </w:t>
            </w:r>
            <w:r>
              <w:rPr>
                <w:rFonts w:ascii="Arial" w:hAnsi="Arial" w:cs="Arial"/>
                <w:sz w:val="22"/>
                <w:szCs w:val="22"/>
              </w:rPr>
              <w:t>Index</w:t>
            </w:r>
          </w:p>
        </w:tc>
        <w:tc>
          <w:tcPr>
            <w:tcW w:w="990" w:type="dxa"/>
            <w:tcBorders>
              <w:top w:val="single" w:sz="4" w:space="0" w:color="auto"/>
              <w:left w:val="nil"/>
              <w:bottom w:val="single" w:sz="4" w:space="0" w:color="auto"/>
              <w:right w:val="single" w:sz="4" w:space="0" w:color="auto"/>
            </w:tcBorders>
            <w:vAlign w:val="center"/>
          </w:tcPr>
          <w:p w14:paraId="0EC7736C" w14:textId="77777777" w:rsidR="00C31BF5" w:rsidRPr="006B387B" w:rsidRDefault="00C31BF5" w:rsidP="00781320">
            <w:pPr>
              <w:tabs>
                <w:tab w:val="left" w:pos="8550"/>
              </w:tabs>
              <w:jc w:val="center"/>
              <w:rPr>
                <w:rFonts w:ascii="Arial" w:hAnsi="Arial" w:cs="Arial"/>
                <w:sz w:val="22"/>
                <w:szCs w:val="22"/>
              </w:rPr>
            </w:pPr>
            <w:r>
              <w:rPr>
                <w:rFonts w:ascii="Arial" w:hAnsi="Arial" w:cs="Arial"/>
                <w:sz w:val="22"/>
                <w:szCs w:val="22"/>
              </w:rPr>
              <w:t>0.3</w:t>
            </w:r>
            <w:r w:rsidRPr="006B387B">
              <w:rPr>
                <w:rFonts w:ascii="Arial" w:hAnsi="Arial" w:cs="Arial"/>
                <w:sz w:val="22"/>
                <w:szCs w:val="22"/>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14A39C87" w14:textId="77777777" w:rsidR="00C31BF5" w:rsidRPr="006B387B" w:rsidRDefault="00C31BF5" w:rsidP="00781320">
            <w:pPr>
              <w:tabs>
                <w:tab w:val="left" w:pos="8550"/>
              </w:tabs>
              <w:jc w:val="center"/>
              <w:rPr>
                <w:rFonts w:ascii="Arial" w:hAnsi="Arial" w:cs="Arial"/>
                <w:sz w:val="22"/>
                <w:szCs w:val="22"/>
              </w:rPr>
            </w:pPr>
            <w:r>
              <w:rPr>
                <w:rFonts w:ascii="Arial" w:hAnsi="Arial" w:cs="Arial"/>
                <w:sz w:val="22"/>
                <w:szCs w:val="22"/>
              </w:rPr>
              <w:t>25.1</w:t>
            </w:r>
            <w:r w:rsidRPr="006B387B">
              <w:rPr>
                <w:rFonts w:ascii="Arial" w:hAnsi="Arial" w:cs="Arial"/>
                <w:sz w:val="22"/>
                <w:szCs w:val="22"/>
              </w:rPr>
              <w:t>%</w:t>
            </w:r>
          </w:p>
        </w:tc>
        <w:tc>
          <w:tcPr>
            <w:tcW w:w="990" w:type="dxa"/>
            <w:tcBorders>
              <w:top w:val="nil"/>
              <w:left w:val="nil"/>
              <w:bottom w:val="single" w:sz="4" w:space="0" w:color="auto"/>
              <w:right w:val="single" w:sz="4" w:space="0" w:color="auto"/>
            </w:tcBorders>
            <w:shd w:val="clear" w:color="auto" w:fill="auto"/>
            <w:noWrap/>
            <w:vAlign w:val="center"/>
          </w:tcPr>
          <w:p w14:paraId="63B8938C" w14:textId="77777777" w:rsidR="00C31BF5" w:rsidRPr="006B387B" w:rsidRDefault="00C31BF5" w:rsidP="00781320">
            <w:pPr>
              <w:tabs>
                <w:tab w:val="left" w:pos="8550"/>
              </w:tabs>
              <w:jc w:val="center"/>
              <w:rPr>
                <w:rFonts w:ascii="Arial" w:hAnsi="Arial" w:cs="Arial"/>
                <w:sz w:val="22"/>
                <w:szCs w:val="22"/>
              </w:rPr>
            </w:pPr>
            <w:r>
              <w:rPr>
                <w:rFonts w:ascii="Arial" w:hAnsi="Arial" w:cs="Arial"/>
                <w:sz w:val="22"/>
                <w:szCs w:val="22"/>
              </w:rPr>
              <w:t>31.2</w:t>
            </w:r>
            <w:r w:rsidRPr="006B387B">
              <w:rPr>
                <w:rFonts w:ascii="Arial" w:hAnsi="Arial" w:cs="Arial"/>
                <w:sz w:val="22"/>
                <w:szCs w:val="22"/>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3B015E04" w14:textId="77777777" w:rsidR="00C31BF5" w:rsidRPr="006B387B" w:rsidRDefault="00C31BF5" w:rsidP="00781320">
            <w:pPr>
              <w:tabs>
                <w:tab w:val="left" w:pos="8550"/>
              </w:tabs>
              <w:jc w:val="center"/>
              <w:rPr>
                <w:rFonts w:ascii="Arial" w:hAnsi="Arial" w:cs="Arial"/>
                <w:sz w:val="22"/>
                <w:szCs w:val="22"/>
              </w:rPr>
            </w:pPr>
            <w:r>
              <w:rPr>
                <w:rFonts w:ascii="Arial" w:hAnsi="Arial" w:cs="Arial"/>
                <w:sz w:val="22"/>
                <w:szCs w:val="22"/>
              </w:rPr>
              <w:t>20.4</w:t>
            </w:r>
            <w:r w:rsidRPr="006B387B">
              <w:rPr>
                <w:rFonts w:ascii="Arial" w:hAnsi="Arial" w:cs="Arial"/>
                <w:sz w:val="22"/>
                <w:szCs w:val="22"/>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3E809878" w14:textId="77777777" w:rsidR="00C31BF5" w:rsidRPr="006B387B" w:rsidRDefault="00C31BF5" w:rsidP="00781320">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6.4</w:t>
            </w:r>
            <w:r w:rsidRPr="006B387B">
              <w:rPr>
                <w:rFonts w:ascii="Arial" w:hAnsi="Arial" w:cs="Arial"/>
                <w:sz w:val="22"/>
                <w:szCs w:val="22"/>
              </w:rPr>
              <w:t>%</w:t>
            </w:r>
          </w:p>
        </w:tc>
        <w:tc>
          <w:tcPr>
            <w:tcW w:w="1080" w:type="dxa"/>
            <w:tcBorders>
              <w:top w:val="nil"/>
              <w:left w:val="single" w:sz="4" w:space="0" w:color="auto"/>
              <w:bottom w:val="single" w:sz="4" w:space="0" w:color="auto"/>
              <w:right w:val="single" w:sz="4" w:space="0" w:color="auto"/>
            </w:tcBorders>
            <w:shd w:val="clear" w:color="auto" w:fill="auto"/>
            <w:vAlign w:val="center"/>
          </w:tcPr>
          <w:p w14:paraId="66660557" w14:textId="77777777" w:rsidR="00C31BF5" w:rsidRPr="006B387B" w:rsidRDefault="00C31BF5" w:rsidP="00781320">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4.7</w:t>
            </w:r>
            <w:r w:rsidRPr="006B387B">
              <w:rPr>
                <w:rFonts w:ascii="Arial" w:hAnsi="Arial" w:cs="Arial"/>
                <w:sz w:val="22"/>
                <w:szCs w:val="22"/>
              </w:rPr>
              <w:t>%</w:t>
            </w:r>
          </w:p>
        </w:tc>
      </w:tr>
      <w:tr w:rsidR="00C31BF5" w:rsidRPr="00EF78F4" w14:paraId="7E4C48AF" w14:textId="77777777" w:rsidTr="0078132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FC5FD6" w14:textId="77777777" w:rsidR="00C31BF5" w:rsidRPr="00EF78F4" w:rsidRDefault="00C31BF5" w:rsidP="00781320">
            <w:pPr>
              <w:tabs>
                <w:tab w:val="left" w:pos="8550"/>
              </w:tabs>
              <w:rPr>
                <w:rFonts w:ascii="Arial" w:hAnsi="Arial" w:cs="Arial"/>
                <w:sz w:val="22"/>
                <w:szCs w:val="22"/>
              </w:rPr>
            </w:pPr>
            <w:r w:rsidRPr="00EF78F4">
              <w:rPr>
                <w:rFonts w:ascii="Arial" w:hAnsi="Arial" w:cs="Arial"/>
                <w:sz w:val="22"/>
                <w:szCs w:val="22"/>
              </w:rPr>
              <w:t>Dow Jones Global ex-U.S.</w:t>
            </w:r>
            <w:r>
              <w:rPr>
                <w:rFonts w:ascii="Arial" w:hAnsi="Arial" w:cs="Arial"/>
                <w:sz w:val="22"/>
                <w:szCs w:val="22"/>
              </w:rPr>
              <w:t xml:space="preserve"> Index</w:t>
            </w:r>
          </w:p>
        </w:tc>
        <w:tc>
          <w:tcPr>
            <w:tcW w:w="990" w:type="dxa"/>
            <w:tcBorders>
              <w:top w:val="single" w:sz="4" w:space="0" w:color="auto"/>
              <w:left w:val="nil"/>
              <w:bottom w:val="single" w:sz="4" w:space="0" w:color="auto"/>
              <w:right w:val="single" w:sz="4" w:space="0" w:color="auto"/>
            </w:tcBorders>
            <w:vAlign w:val="center"/>
          </w:tcPr>
          <w:p w14:paraId="72F560F1" w14:textId="77777777" w:rsidR="00C31BF5" w:rsidRPr="006B387B" w:rsidRDefault="00C31BF5" w:rsidP="00781320">
            <w:pPr>
              <w:tabs>
                <w:tab w:val="left" w:pos="8550"/>
              </w:tabs>
              <w:jc w:val="center"/>
              <w:rPr>
                <w:rFonts w:ascii="Arial" w:hAnsi="Arial" w:cs="Arial"/>
                <w:sz w:val="22"/>
                <w:szCs w:val="22"/>
              </w:rPr>
            </w:pPr>
            <w:r>
              <w:rPr>
                <w:rFonts w:ascii="Arial" w:hAnsi="Arial" w:cs="Arial"/>
                <w:sz w:val="22"/>
                <w:szCs w:val="22"/>
              </w:rPr>
              <w:t>-1.0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94F356" w14:textId="77777777" w:rsidR="00C31BF5" w:rsidRPr="006B387B" w:rsidRDefault="00C31BF5" w:rsidP="00781320">
            <w:pPr>
              <w:tabs>
                <w:tab w:val="left" w:pos="263"/>
                <w:tab w:val="center" w:pos="372"/>
                <w:tab w:val="left" w:pos="8550"/>
              </w:tabs>
              <w:jc w:val="center"/>
              <w:rPr>
                <w:rFonts w:ascii="Arial" w:hAnsi="Arial" w:cs="Arial"/>
                <w:sz w:val="22"/>
                <w:szCs w:val="22"/>
              </w:rPr>
            </w:pPr>
            <w:r>
              <w:rPr>
                <w:rFonts w:ascii="Arial" w:hAnsi="Arial" w:cs="Arial"/>
                <w:sz w:val="22"/>
                <w:szCs w:val="22"/>
              </w:rPr>
              <w:t>7.1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F4818C3" w14:textId="77777777" w:rsidR="00C31BF5" w:rsidRPr="006B387B" w:rsidRDefault="00C31BF5" w:rsidP="00781320">
            <w:pPr>
              <w:tabs>
                <w:tab w:val="left" w:pos="8550"/>
              </w:tabs>
              <w:jc w:val="center"/>
              <w:rPr>
                <w:rFonts w:ascii="Arial" w:hAnsi="Arial" w:cs="Arial"/>
                <w:sz w:val="22"/>
                <w:szCs w:val="22"/>
              </w:rPr>
            </w:pPr>
            <w:r>
              <w:rPr>
                <w:rFonts w:ascii="Arial" w:hAnsi="Arial" w:cs="Arial"/>
                <w:sz w:val="22"/>
                <w:szCs w:val="22"/>
              </w:rPr>
              <w:t>14.4</w:t>
            </w:r>
          </w:p>
        </w:tc>
        <w:tc>
          <w:tcPr>
            <w:tcW w:w="900" w:type="dxa"/>
            <w:tcBorders>
              <w:top w:val="single" w:sz="4" w:space="0" w:color="auto"/>
              <w:left w:val="nil"/>
              <w:bottom w:val="single" w:sz="4" w:space="0" w:color="auto"/>
              <w:right w:val="single" w:sz="4" w:space="0" w:color="auto"/>
            </w:tcBorders>
            <w:shd w:val="clear" w:color="auto" w:fill="auto"/>
            <w:vAlign w:val="center"/>
          </w:tcPr>
          <w:p w14:paraId="1BEAC79C" w14:textId="77777777" w:rsidR="00C31BF5" w:rsidRPr="006B387B" w:rsidRDefault="00C31BF5" w:rsidP="00781320">
            <w:pPr>
              <w:tabs>
                <w:tab w:val="left" w:pos="8550"/>
              </w:tabs>
              <w:jc w:val="center"/>
              <w:rPr>
                <w:rFonts w:ascii="Arial" w:hAnsi="Arial" w:cs="Arial"/>
                <w:sz w:val="22"/>
                <w:szCs w:val="22"/>
              </w:rPr>
            </w:pPr>
            <w:r>
              <w:rPr>
                <w:rFonts w:ascii="Arial" w:hAnsi="Arial" w:cs="Arial"/>
                <w:sz w:val="22"/>
                <w:szCs w:val="22"/>
              </w:rPr>
              <w:t>9.7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8F86C30" w14:textId="77777777" w:rsidR="00C31BF5" w:rsidRPr="006B387B" w:rsidRDefault="00C31BF5" w:rsidP="00781320">
            <w:pPr>
              <w:tabs>
                <w:tab w:val="left" w:pos="8550"/>
              </w:tabs>
              <w:jc w:val="center"/>
              <w:rPr>
                <w:rFonts w:ascii="Arial" w:hAnsi="Arial" w:cs="Arial"/>
                <w:sz w:val="22"/>
                <w:szCs w:val="22"/>
              </w:rPr>
            </w:pPr>
            <w:r>
              <w:rPr>
                <w:rFonts w:ascii="Arial" w:hAnsi="Arial" w:cs="Arial"/>
                <w:sz w:val="22"/>
                <w:szCs w:val="22"/>
              </w:rPr>
              <w:t>8.2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D5B2FFA" w14:textId="77777777" w:rsidR="00C31BF5" w:rsidRPr="006B387B" w:rsidRDefault="00C31BF5" w:rsidP="00781320">
            <w:pPr>
              <w:tabs>
                <w:tab w:val="left" w:pos="8550"/>
              </w:tabs>
              <w:jc w:val="center"/>
              <w:rPr>
                <w:rFonts w:ascii="Arial" w:hAnsi="Arial" w:cs="Arial"/>
                <w:sz w:val="22"/>
                <w:szCs w:val="22"/>
              </w:rPr>
            </w:pPr>
            <w:r>
              <w:rPr>
                <w:rFonts w:ascii="Arial" w:hAnsi="Arial" w:cs="Arial"/>
                <w:sz w:val="22"/>
                <w:szCs w:val="22"/>
              </w:rPr>
              <w:t>5.5</w:t>
            </w:r>
          </w:p>
        </w:tc>
      </w:tr>
      <w:tr w:rsidR="00C31BF5" w:rsidRPr="00EF78F4" w14:paraId="2DB5118A" w14:textId="77777777" w:rsidTr="0078132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8D4AA0" w14:textId="77777777" w:rsidR="00C31BF5" w:rsidRPr="00EF78F4" w:rsidRDefault="00C31BF5" w:rsidP="00781320">
            <w:pPr>
              <w:tabs>
                <w:tab w:val="left" w:pos="8550"/>
              </w:tabs>
              <w:rPr>
                <w:rFonts w:ascii="Arial" w:hAnsi="Arial" w:cs="Arial"/>
                <w:sz w:val="22"/>
                <w:szCs w:val="22"/>
              </w:rPr>
            </w:pPr>
            <w:r w:rsidRPr="00EF78F4">
              <w:rPr>
                <w:rFonts w:ascii="Arial" w:hAnsi="Arial" w:cs="Arial"/>
                <w:sz w:val="22"/>
                <w:szCs w:val="22"/>
              </w:rPr>
              <w:t>10-year Treasury Note (</w:t>
            </w:r>
            <w:r>
              <w:rPr>
                <w:rFonts w:ascii="Arial" w:hAnsi="Arial" w:cs="Arial"/>
                <w:sz w:val="22"/>
                <w:szCs w:val="22"/>
              </w:rPr>
              <w:t>y</w:t>
            </w:r>
            <w:r w:rsidRPr="00EF78F4">
              <w:rPr>
                <w:rFonts w:ascii="Arial" w:hAnsi="Arial" w:cs="Arial"/>
                <w:sz w:val="22"/>
                <w:szCs w:val="22"/>
              </w:rPr>
              <w:t xml:space="preserve">ield </w:t>
            </w:r>
            <w:r>
              <w:rPr>
                <w:rFonts w:ascii="Arial" w:hAnsi="Arial" w:cs="Arial"/>
                <w:sz w:val="22"/>
                <w:szCs w:val="22"/>
              </w:rPr>
              <w:t>o</w:t>
            </w:r>
            <w:r w:rsidRPr="00EF78F4">
              <w:rPr>
                <w:rFonts w:ascii="Arial" w:hAnsi="Arial" w:cs="Arial"/>
                <w:sz w:val="22"/>
                <w:szCs w:val="22"/>
              </w:rPr>
              <w:t>nly)</w:t>
            </w:r>
          </w:p>
        </w:tc>
        <w:tc>
          <w:tcPr>
            <w:tcW w:w="990" w:type="dxa"/>
            <w:tcBorders>
              <w:top w:val="single" w:sz="4" w:space="0" w:color="auto"/>
              <w:left w:val="nil"/>
              <w:bottom w:val="single" w:sz="4" w:space="0" w:color="auto"/>
              <w:right w:val="single" w:sz="4" w:space="0" w:color="auto"/>
            </w:tcBorders>
            <w:vAlign w:val="center"/>
          </w:tcPr>
          <w:p w14:paraId="7A74A913" w14:textId="77777777" w:rsidR="00C31BF5" w:rsidRPr="006B387B" w:rsidRDefault="00C31BF5" w:rsidP="00781320">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872CA5" w14:textId="77777777" w:rsidR="00C31BF5" w:rsidRPr="006B387B" w:rsidRDefault="00C31BF5" w:rsidP="00781320">
            <w:pPr>
              <w:tabs>
                <w:tab w:val="left" w:pos="263"/>
                <w:tab w:val="center" w:pos="372"/>
                <w:tab w:val="left" w:pos="8550"/>
              </w:tabs>
              <w:jc w:val="center"/>
              <w:rPr>
                <w:rFonts w:ascii="Arial" w:hAnsi="Arial" w:cs="Arial"/>
                <w:sz w:val="22"/>
                <w:szCs w:val="22"/>
              </w:rPr>
            </w:pPr>
            <w:r w:rsidRPr="006B387B">
              <w:rPr>
                <w:rFonts w:ascii="Arial" w:hAnsi="Arial" w:cs="Arial"/>
                <w:sz w:val="22"/>
                <w:szCs w:val="22"/>
              </w:rPr>
              <w:t>N</w:t>
            </w:r>
            <w:r>
              <w:rPr>
                <w:rFonts w:ascii="Arial" w:hAnsi="Arial" w:cs="Arial"/>
                <w:sz w:val="22"/>
                <w:szCs w:val="22"/>
              </w:rPr>
              <w:t>/</w:t>
            </w:r>
            <w:r w:rsidRPr="006B387B">
              <w:rPr>
                <w:rFonts w:ascii="Arial" w:hAnsi="Arial" w:cs="Arial"/>
                <w:sz w:val="22"/>
                <w:szCs w:val="22"/>
              </w:rPr>
              <w:t>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4C8A1C4" w14:textId="77777777" w:rsidR="00C31BF5" w:rsidRPr="006B387B" w:rsidRDefault="00C31BF5" w:rsidP="00781320">
            <w:pPr>
              <w:tabs>
                <w:tab w:val="left" w:pos="8550"/>
              </w:tabs>
              <w:jc w:val="center"/>
              <w:rPr>
                <w:rFonts w:ascii="Arial" w:hAnsi="Arial" w:cs="Arial"/>
                <w:sz w:val="22"/>
                <w:szCs w:val="22"/>
              </w:rPr>
            </w:pPr>
            <w:r>
              <w:rPr>
                <w:rFonts w:ascii="Arial" w:hAnsi="Arial" w:cs="Arial"/>
                <w:sz w:val="22"/>
                <w:szCs w:val="22"/>
              </w:rPr>
              <w:t>0.9</w:t>
            </w:r>
          </w:p>
        </w:tc>
        <w:tc>
          <w:tcPr>
            <w:tcW w:w="900" w:type="dxa"/>
            <w:tcBorders>
              <w:top w:val="single" w:sz="4" w:space="0" w:color="auto"/>
              <w:left w:val="nil"/>
              <w:bottom w:val="single" w:sz="4" w:space="0" w:color="auto"/>
              <w:right w:val="single" w:sz="4" w:space="0" w:color="auto"/>
            </w:tcBorders>
            <w:shd w:val="clear" w:color="auto" w:fill="auto"/>
            <w:vAlign w:val="center"/>
          </w:tcPr>
          <w:p w14:paraId="3FF29E4A" w14:textId="77777777" w:rsidR="00C31BF5" w:rsidRPr="006B387B" w:rsidRDefault="00C31BF5" w:rsidP="00781320">
            <w:pPr>
              <w:tabs>
                <w:tab w:val="left" w:pos="8550"/>
              </w:tabs>
              <w:jc w:val="center"/>
              <w:rPr>
                <w:rFonts w:ascii="Arial" w:hAnsi="Arial" w:cs="Arial"/>
                <w:sz w:val="22"/>
                <w:szCs w:val="22"/>
              </w:rPr>
            </w:pPr>
            <w:r>
              <w:rPr>
                <w:rFonts w:ascii="Arial" w:hAnsi="Arial" w:cs="Arial"/>
                <w:sz w:val="22"/>
                <w:szCs w:val="22"/>
              </w:rPr>
              <w:t>3.1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9AF5EAA" w14:textId="77777777" w:rsidR="00C31BF5" w:rsidRPr="006B387B" w:rsidRDefault="00C31BF5" w:rsidP="00781320">
            <w:pPr>
              <w:tabs>
                <w:tab w:val="left" w:pos="8550"/>
              </w:tabs>
              <w:jc w:val="center"/>
              <w:rPr>
                <w:rFonts w:ascii="Arial" w:hAnsi="Arial" w:cs="Arial"/>
                <w:sz w:val="22"/>
                <w:szCs w:val="22"/>
              </w:rPr>
            </w:pPr>
            <w:r>
              <w:rPr>
                <w:rFonts w:ascii="Arial" w:hAnsi="Arial" w:cs="Arial"/>
                <w:sz w:val="22"/>
                <w:szCs w:val="22"/>
              </w:rPr>
              <w:t>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7CF7B2C" w14:textId="77777777" w:rsidR="00C31BF5" w:rsidRPr="006B387B" w:rsidRDefault="00C31BF5" w:rsidP="00781320">
            <w:pPr>
              <w:tabs>
                <w:tab w:val="left" w:pos="8550"/>
              </w:tabs>
              <w:jc w:val="center"/>
              <w:rPr>
                <w:rFonts w:ascii="Arial" w:hAnsi="Arial" w:cs="Arial"/>
                <w:sz w:val="22"/>
                <w:szCs w:val="22"/>
              </w:rPr>
            </w:pPr>
            <w:r>
              <w:rPr>
                <w:rFonts w:ascii="Arial" w:hAnsi="Arial" w:cs="Arial"/>
                <w:sz w:val="22"/>
                <w:szCs w:val="22"/>
              </w:rPr>
              <w:t>2.0</w:t>
            </w:r>
          </w:p>
        </w:tc>
      </w:tr>
      <w:tr w:rsidR="00C31BF5" w:rsidRPr="00EF78F4" w14:paraId="0CFA525F" w14:textId="77777777" w:rsidTr="0078132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6EAAB6" w14:textId="77777777" w:rsidR="00C31BF5" w:rsidRPr="00EF78F4" w:rsidRDefault="00C31BF5" w:rsidP="00781320">
            <w:pPr>
              <w:tabs>
                <w:tab w:val="left" w:pos="8550"/>
              </w:tabs>
              <w:rPr>
                <w:rFonts w:ascii="Arial" w:hAnsi="Arial" w:cs="Arial"/>
                <w:sz w:val="22"/>
                <w:szCs w:val="22"/>
              </w:rPr>
            </w:pPr>
            <w:r w:rsidRPr="00EF78F4">
              <w:rPr>
                <w:rFonts w:ascii="Arial" w:hAnsi="Arial" w:cs="Arial"/>
                <w:sz w:val="22"/>
                <w:szCs w:val="22"/>
              </w:rPr>
              <w:t>Gold (per ounce)</w:t>
            </w:r>
          </w:p>
        </w:tc>
        <w:tc>
          <w:tcPr>
            <w:tcW w:w="990" w:type="dxa"/>
            <w:tcBorders>
              <w:top w:val="single" w:sz="4" w:space="0" w:color="auto"/>
              <w:left w:val="nil"/>
              <w:bottom w:val="single" w:sz="4" w:space="0" w:color="auto"/>
              <w:right w:val="single" w:sz="4" w:space="0" w:color="auto"/>
            </w:tcBorders>
            <w:vAlign w:val="center"/>
          </w:tcPr>
          <w:p w14:paraId="2E97B7D9" w14:textId="77777777" w:rsidR="00C31BF5" w:rsidRPr="006B387B" w:rsidRDefault="00C31BF5" w:rsidP="00781320">
            <w:pPr>
              <w:tabs>
                <w:tab w:val="left" w:pos="8550"/>
              </w:tabs>
              <w:jc w:val="center"/>
              <w:rPr>
                <w:rFonts w:ascii="Arial" w:hAnsi="Arial" w:cs="Arial"/>
                <w:sz w:val="22"/>
                <w:szCs w:val="22"/>
              </w:rPr>
            </w:pPr>
            <w:r>
              <w:rPr>
                <w:rFonts w:ascii="Arial" w:hAnsi="Arial" w:cs="Arial"/>
                <w:sz w:val="22"/>
                <w:szCs w:val="22"/>
              </w:rPr>
              <w:t>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74CE5C" w14:textId="77777777" w:rsidR="00C31BF5" w:rsidRPr="006B387B" w:rsidRDefault="00C31BF5" w:rsidP="00781320">
            <w:pPr>
              <w:tabs>
                <w:tab w:val="left" w:pos="8550"/>
              </w:tabs>
              <w:jc w:val="center"/>
              <w:rPr>
                <w:rFonts w:ascii="Arial" w:hAnsi="Arial" w:cs="Arial"/>
                <w:sz w:val="22"/>
                <w:szCs w:val="22"/>
              </w:rPr>
            </w:pPr>
            <w:r w:rsidRPr="006B387B">
              <w:rPr>
                <w:rFonts w:ascii="Arial" w:hAnsi="Arial" w:cs="Arial"/>
                <w:sz w:val="22"/>
                <w:szCs w:val="22"/>
              </w:rPr>
              <w:t>-</w:t>
            </w:r>
            <w:r>
              <w:rPr>
                <w:rFonts w:ascii="Arial" w:hAnsi="Arial" w:cs="Arial"/>
                <w:sz w:val="22"/>
                <w:szCs w:val="22"/>
              </w:rPr>
              <w:t>1.4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51D60AF" w14:textId="77777777" w:rsidR="00C31BF5" w:rsidRPr="006B387B" w:rsidRDefault="00C31BF5" w:rsidP="00781320">
            <w:pPr>
              <w:tabs>
                <w:tab w:val="left" w:pos="8550"/>
              </w:tabs>
              <w:jc w:val="center"/>
              <w:rPr>
                <w:rFonts w:ascii="Arial" w:hAnsi="Arial" w:cs="Arial"/>
                <w:sz w:val="22"/>
                <w:szCs w:val="22"/>
              </w:rPr>
            </w:pPr>
            <w:r w:rsidRPr="006B387B">
              <w:rPr>
                <w:rFonts w:ascii="Arial" w:hAnsi="Arial" w:cs="Arial"/>
                <w:sz w:val="22"/>
                <w:szCs w:val="22"/>
              </w:rPr>
              <w:t>-</w:t>
            </w:r>
            <w:r>
              <w:rPr>
                <w:rFonts w:ascii="Arial" w:hAnsi="Arial" w:cs="Arial"/>
                <w:sz w:val="22"/>
                <w:szCs w:val="22"/>
              </w:rPr>
              <w:t>0.2</w:t>
            </w:r>
          </w:p>
        </w:tc>
        <w:tc>
          <w:tcPr>
            <w:tcW w:w="900" w:type="dxa"/>
            <w:tcBorders>
              <w:top w:val="single" w:sz="4" w:space="0" w:color="auto"/>
              <w:left w:val="nil"/>
              <w:bottom w:val="single" w:sz="4" w:space="0" w:color="auto"/>
              <w:right w:val="single" w:sz="4" w:space="0" w:color="auto"/>
            </w:tcBorders>
            <w:shd w:val="clear" w:color="auto" w:fill="auto"/>
            <w:vAlign w:val="center"/>
          </w:tcPr>
          <w:p w14:paraId="6312FB6E" w14:textId="77777777" w:rsidR="00C31BF5" w:rsidRPr="006B387B" w:rsidRDefault="00C31BF5" w:rsidP="00781320">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5.1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A448D57" w14:textId="77777777" w:rsidR="00C31BF5" w:rsidRPr="006B387B" w:rsidRDefault="00C31BF5" w:rsidP="00781320">
            <w:pPr>
              <w:tabs>
                <w:tab w:val="left" w:pos="8550"/>
              </w:tabs>
              <w:jc w:val="center"/>
              <w:rPr>
                <w:rFonts w:ascii="Arial" w:hAnsi="Arial" w:cs="Arial"/>
                <w:sz w:val="22"/>
                <w:szCs w:val="22"/>
              </w:rPr>
            </w:pPr>
            <w:r>
              <w:rPr>
                <w:rFonts w:ascii="Arial" w:hAnsi="Arial" w:cs="Arial"/>
                <w:sz w:val="22"/>
                <w:szCs w:val="22"/>
              </w:rPr>
              <w:t>8.9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2EF2F66" w14:textId="77777777" w:rsidR="00C31BF5" w:rsidRPr="006B387B" w:rsidRDefault="00C31BF5" w:rsidP="00781320">
            <w:pPr>
              <w:tabs>
                <w:tab w:val="left" w:pos="8550"/>
              </w:tabs>
              <w:jc w:val="center"/>
              <w:rPr>
                <w:rFonts w:ascii="Arial" w:hAnsi="Arial" w:cs="Arial"/>
                <w:sz w:val="22"/>
                <w:szCs w:val="22"/>
              </w:rPr>
            </w:pPr>
            <w:r w:rsidRPr="006B387B">
              <w:rPr>
                <w:rFonts w:ascii="Arial" w:hAnsi="Arial" w:cs="Arial"/>
                <w:sz w:val="22"/>
                <w:szCs w:val="22"/>
              </w:rPr>
              <w:t>0.</w:t>
            </w:r>
            <w:r>
              <w:rPr>
                <w:rFonts w:ascii="Arial" w:hAnsi="Arial" w:cs="Arial"/>
                <w:sz w:val="22"/>
                <w:szCs w:val="22"/>
              </w:rPr>
              <w:t>9</w:t>
            </w:r>
          </w:p>
        </w:tc>
      </w:tr>
      <w:tr w:rsidR="00C31BF5" w:rsidRPr="00EF78F4" w14:paraId="1EC83F9A" w14:textId="77777777" w:rsidTr="0078132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36B2B7" w14:textId="77777777" w:rsidR="00C31BF5" w:rsidRPr="00EF78F4" w:rsidRDefault="00C31BF5" w:rsidP="00781320">
            <w:pPr>
              <w:tabs>
                <w:tab w:val="left" w:pos="8550"/>
              </w:tabs>
              <w:rPr>
                <w:rFonts w:ascii="Arial" w:hAnsi="Arial" w:cs="Arial"/>
                <w:sz w:val="22"/>
                <w:szCs w:val="22"/>
              </w:rPr>
            </w:pPr>
            <w:r w:rsidRPr="00EF78F4">
              <w:rPr>
                <w:rFonts w:ascii="Arial" w:hAnsi="Arial" w:cs="Arial"/>
                <w:sz w:val="22"/>
                <w:szCs w:val="22"/>
              </w:rPr>
              <w:t>Bloomberg Commodity Index</w:t>
            </w:r>
          </w:p>
        </w:tc>
        <w:tc>
          <w:tcPr>
            <w:tcW w:w="990" w:type="dxa"/>
            <w:tcBorders>
              <w:top w:val="single" w:sz="4" w:space="0" w:color="auto"/>
              <w:left w:val="nil"/>
              <w:bottom w:val="single" w:sz="4" w:space="0" w:color="auto"/>
              <w:right w:val="single" w:sz="4" w:space="0" w:color="auto"/>
            </w:tcBorders>
            <w:vAlign w:val="center"/>
          </w:tcPr>
          <w:p w14:paraId="1F731D21" w14:textId="77777777" w:rsidR="00C31BF5" w:rsidRPr="006B387B" w:rsidRDefault="00C31BF5" w:rsidP="00781320">
            <w:pPr>
              <w:tabs>
                <w:tab w:val="left" w:pos="8550"/>
              </w:tabs>
              <w:jc w:val="center"/>
              <w:rPr>
                <w:rFonts w:ascii="Arial" w:hAnsi="Arial" w:cs="Arial"/>
                <w:sz w:val="22"/>
                <w:szCs w:val="22"/>
              </w:rPr>
            </w:pPr>
            <w:r>
              <w:rPr>
                <w:rFonts w:ascii="Arial" w:hAnsi="Arial" w:cs="Arial"/>
                <w:sz w:val="22"/>
                <w:szCs w:val="22"/>
              </w:rPr>
              <w:t>-0.5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313E34" w14:textId="77777777" w:rsidR="00C31BF5" w:rsidRPr="006B387B" w:rsidRDefault="00C31BF5" w:rsidP="00781320">
            <w:pPr>
              <w:tabs>
                <w:tab w:val="left" w:pos="8550"/>
              </w:tabs>
              <w:jc w:val="center"/>
              <w:rPr>
                <w:rFonts w:ascii="Arial" w:hAnsi="Arial" w:cs="Arial"/>
                <w:sz w:val="22"/>
                <w:szCs w:val="22"/>
              </w:rPr>
            </w:pPr>
            <w:r>
              <w:rPr>
                <w:rFonts w:ascii="Arial" w:hAnsi="Arial" w:cs="Arial"/>
                <w:sz w:val="22"/>
                <w:szCs w:val="22"/>
              </w:rPr>
              <w:t>31.1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22C01BE" w14:textId="77777777" w:rsidR="00C31BF5" w:rsidRPr="006B387B" w:rsidRDefault="00C31BF5" w:rsidP="00781320">
            <w:pPr>
              <w:tabs>
                <w:tab w:val="left" w:pos="8550"/>
              </w:tabs>
              <w:jc w:val="center"/>
              <w:rPr>
                <w:rFonts w:ascii="Arial" w:hAnsi="Arial" w:cs="Arial"/>
                <w:sz w:val="22"/>
                <w:szCs w:val="22"/>
              </w:rPr>
            </w:pPr>
            <w:r>
              <w:rPr>
                <w:rFonts w:ascii="Arial" w:hAnsi="Arial" w:cs="Arial"/>
                <w:sz w:val="22"/>
                <w:szCs w:val="22"/>
              </w:rPr>
              <w:t>39.1</w:t>
            </w:r>
          </w:p>
        </w:tc>
        <w:tc>
          <w:tcPr>
            <w:tcW w:w="900" w:type="dxa"/>
            <w:tcBorders>
              <w:top w:val="single" w:sz="4" w:space="0" w:color="auto"/>
              <w:left w:val="nil"/>
              <w:bottom w:val="single" w:sz="4" w:space="0" w:color="auto"/>
              <w:right w:val="single" w:sz="4" w:space="0" w:color="auto"/>
            </w:tcBorders>
            <w:shd w:val="clear" w:color="auto" w:fill="auto"/>
            <w:vAlign w:val="center"/>
          </w:tcPr>
          <w:p w14:paraId="4D4BC059" w14:textId="77777777" w:rsidR="00C31BF5" w:rsidRPr="006B387B" w:rsidRDefault="00C31BF5" w:rsidP="00781320">
            <w:pPr>
              <w:tabs>
                <w:tab w:val="left" w:pos="8550"/>
              </w:tabs>
              <w:jc w:val="center"/>
              <w:rPr>
                <w:rFonts w:ascii="Arial" w:hAnsi="Arial" w:cs="Arial"/>
                <w:sz w:val="22"/>
                <w:szCs w:val="22"/>
              </w:rPr>
            </w:pPr>
            <w:r>
              <w:rPr>
                <w:rFonts w:ascii="Arial" w:hAnsi="Arial" w:cs="Arial"/>
                <w:sz w:val="22"/>
                <w:szCs w:val="22"/>
              </w:rPr>
              <w:t>6.4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E1EE681" w14:textId="77777777" w:rsidR="00C31BF5" w:rsidRPr="006B387B" w:rsidRDefault="00C31BF5" w:rsidP="00781320">
            <w:pPr>
              <w:tabs>
                <w:tab w:val="left" w:pos="8550"/>
              </w:tabs>
              <w:jc w:val="center"/>
              <w:rPr>
                <w:rFonts w:ascii="Arial" w:hAnsi="Arial" w:cs="Arial"/>
                <w:sz w:val="22"/>
                <w:szCs w:val="22"/>
              </w:rPr>
            </w:pPr>
            <w:r>
              <w:rPr>
                <w:rFonts w:ascii="Arial" w:hAnsi="Arial" w:cs="Arial"/>
                <w:sz w:val="22"/>
                <w:szCs w:val="22"/>
              </w:rPr>
              <w:t>3.8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27DCA57" w14:textId="77777777" w:rsidR="00C31BF5" w:rsidRPr="006B387B" w:rsidRDefault="00C31BF5" w:rsidP="00781320">
            <w:pPr>
              <w:tabs>
                <w:tab w:val="left" w:pos="8550"/>
              </w:tabs>
              <w:jc w:val="center"/>
              <w:rPr>
                <w:rFonts w:ascii="Arial" w:hAnsi="Arial" w:cs="Arial"/>
                <w:sz w:val="22"/>
                <w:szCs w:val="22"/>
              </w:rPr>
            </w:pPr>
            <w:r w:rsidRPr="006B387B">
              <w:rPr>
                <w:rFonts w:ascii="Arial" w:hAnsi="Arial" w:cs="Arial"/>
                <w:sz w:val="22"/>
                <w:szCs w:val="22"/>
              </w:rPr>
              <w:t>-</w:t>
            </w:r>
            <w:r>
              <w:rPr>
                <w:rFonts w:ascii="Arial" w:hAnsi="Arial" w:cs="Arial"/>
                <w:sz w:val="22"/>
                <w:szCs w:val="22"/>
              </w:rPr>
              <w:t>3.3</w:t>
            </w:r>
          </w:p>
        </w:tc>
      </w:tr>
    </w:tbl>
    <w:p w14:paraId="033CC22D" w14:textId="77777777" w:rsidR="00C31BF5" w:rsidRPr="006F4C0C" w:rsidRDefault="00C31BF5" w:rsidP="00C31BF5">
      <w:pPr>
        <w:rPr>
          <w:rFonts w:ascii="Arial" w:hAnsi="Arial" w:cs="Arial"/>
          <w:sz w:val="18"/>
          <w:szCs w:val="18"/>
        </w:rPr>
      </w:pPr>
      <w:r w:rsidRPr="006F4C0C">
        <w:rPr>
          <w:rFonts w:ascii="Arial" w:hAnsi="Arial" w:cs="Arial"/>
          <w:sz w:val="18"/>
          <w:szCs w:val="18"/>
        </w:rPr>
        <w:lastRenderedPageBreak/>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4CF1F9E9" w14:textId="77777777" w:rsidR="00C31BF5" w:rsidRPr="006F4C0C" w:rsidRDefault="00C31BF5" w:rsidP="00C31BF5">
      <w:pPr>
        <w:rPr>
          <w:rFonts w:ascii="Arial" w:hAnsi="Arial" w:cs="Arial"/>
          <w:sz w:val="18"/>
          <w:szCs w:val="18"/>
        </w:rPr>
      </w:pPr>
      <w:r w:rsidRPr="006F4C0C">
        <w:rPr>
          <w:rFonts w:ascii="Arial" w:hAnsi="Arial" w:cs="Arial"/>
          <w:sz w:val="18"/>
          <w:szCs w:val="18"/>
        </w:rPr>
        <w:t>Sources: Yahoo! Finance; MarketWatch; djindexes.com; Federal Reserve Bank of St. Louis; London Bullion Market Association.</w:t>
      </w:r>
    </w:p>
    <w:p w14:paraId="7A0D3703" w14:textId="77777777" w:rsidR="00C31BF5" w:rsidRDefault="00C31BF5" w:rsidP="00C31BF5">
      <w:pPr>
        <w:rPr>
          <w:rFonts w:ascii="Arial" w:hAnsi="Arial" w:cs="Arial"/>
          <w:sz w:val="18"/>
          <w:szCs w:val="18"/>
        </w:rPr>
      </w:pPr>
      <w:r w:rsidRPr="006F4C0C">
        <w:rPr>
          <w:rFonts w:ascii="Arial" w:hAnsi="Arial" w:cs="Arial"/>
          <w:sz w:val="18"/>
          <w:szCs w:val="18"/>
        </w:rPr>
        <w:t>Past performance is no guarantee of future results. Indices are unmanaged and cannot be invested into directly. N/A means not applicable.</w:t>
      </w:r>
    </w:p>
    <w:p w14:paraId="680456FD" w14:textId="77777777" w:rsidR="00C31BF5" w:rsidRDefault="00C31BF5" w:rsidP="00C31BF5">
      <w:pPr>
        <w:rPr>
          <w:rFonts w:ascii="Arial" w:hAnsi="Arial" w:cs="Arial"/>
          <w:sz w:val="18"/>
          <w:szCs w:val="18"/>
        </w:rPr>
      </w:pPr>
    </w:p>
    <w:p w14:paraId="098A0D24" w14:textId="42E7141F" w:rsidR="00C31BF5" w:rsidRDefault="00C31BF5" w:rsidP="00C31BF5">
      <w:pPr>
        <w:rPr>
          <w:rFonts w:ascii="Arial" w:hAnsi="Arial" w:cs="Arial"/>
          <w:color w:val="000000" w:themeColor="text1"/>
          <w:sz w:val="22"/>
          <w:szCs w:val="22"/>
        </w:rPr>
      </w:pPr>
      <w:r w:rsidRPr="00167179">
        <w:rPr>
          <w:rFonts w:ascii="Arial" w:hAnsi="Arial" w:cs="Arial"/>
          <w:b/>
          <w:bCs/>
          <w:caps/>
          <w:color w:val="0D304A"/>
        </w:rPr>
        <w:t xml:space="preserve">infrastructure </w:t>
      </w:r>
      <w:r>
        <w:rPr>
          <w:rFonts w:ascii="Arial" w:hAnsi="Arial" w:cs="Arial"/>
          <w:b/>
          <w:bCs/>
          <w:caps/>
          <w:color w:val="0D304A"/>
        </w:rPr>
        <w:t>and</w:t>
      </w:r>
      <w:r w:rsidRPr="00167179">
        <w:rPr>
          <w:rFonts w:ascii="Arial" w:hAnsi="Arial" w:cs="Arial"/>
          <w:b/>
          <w:bCs/>
          <w:caps/>
          <w:color w:val="0D304A"/>
        </w:rPr>
        <w:t xml:space="preserve"> economic growth</w:t>
      </w:r>
      <w:r>
        <w:rPr>
          <w:rFonts w:ascii="Arial" w:hAnsi="Arial" w:cs="Arial"/>
          <w:b/>
          <w:bCs/>
          <w:caps/>
          <w:color w:val="0D304A"/>
        </w:rPr>
        <w:t>…</w:t>
      </w:r>
      <w:r w:rsidRPr="00AB54AF">
        <w:rPr>
          <w:rFonts w:ascii="Arial" w:hAnsi="Arial" w:cs="Arial"/>
          <w:color w:val="000000" w:themeColor="text1"/>
          <w:sz w:val="22"/>
          <w:szCs w:val="22"/>
        </w:rPr>
        <w:t xml:space="preserve">The bipartisan Infrastructure Investment and Jobs Act </w:t>
      </w:r>
      <w:r>
        <w:rPr>
          <w:rFonts w:ascii="Arial" w:hAnsi="Arial" w:cs="Arial"/>
          <w:color w:val="000000" w:themeColor="text1"/>
          <w:sz w:val="22"/>
          <w:szCs w:val="22"/>
        </w:rPr>
        <w:t xml:space="preserve">(IIJA) </w:t>
      </w:r>
      <w:r w:rsidRPr="00AB54AF">
        <w:rPr>
          <w:rFonts w:ascii="Arial" w:hAnsi="Arial" w:cs="Arial"/>
          <w:color w:val="000000" w:themeColor="text1"/>
          <w:sz w:val="22"/>
          <w:szCs w:val="22"/>
        </w:rPr>
        <w:t>was signed into law last week, and the Build Back Better</w:t>
      </w:r>
      <w:r>
        <w:rPr>
          <w:rFonts w:ascii="Arial" w:hAnsi="Arial" w:cs="Arial"/>
          <w:color w:val="000000" w:themeColor="text1"/>
          <w:sz w:val="22"/>
          <w:szCs w:val="22"/>
        </w:rPr>
        <w:t xml:space="preserve"> Act</w:t>
      </w:r>
      <w:r w:rsidRPr="00AB54AF">
        <w:rPr>
          <w:rFonts w:ascii="Arial" w:hAnsi="Arial" w:cs="Arial"/>
          <w:color w:val="000000" w:themeColor="text1"/>
          <w:sz w:val="22"/>
          <w:szCs w:val="22"/>
        </w:rPr>
        <w:t xml:space="preserve"> </w:t>
      </w:r>
      <w:r>
        <w:rPr>
          <w:rFonts w:ascii="Arial" w:hAnsi="Arial" w:cs="Arial"/>
          <w:color w:val="000000" w:themeColor="text1"/>
          <w:sz w:val="22"/>
          <w:szCs w:val="22"/>
        </w:rPr>
        <w:t xml:space="preserve">(BBBA) </w:t>
      </w:r>
      <w:r w:rsidRPr="00AB54AF">
        <w:rPr>
          <w:rFonts w:ascii="Arial" w:hAnsi="Arial" w:cs="Arial"/>
          <w:color w:val="000000" w:themeColor="text1"/>
          <w:sz w:val="22"/>
          <w:szCs w:val="22"/>
        </w:rPr>
        <w:t>passed the House of Representatives</w:t>
      </w:r>
      <w:r>
        <w:rPr>
          <w:rFonts w:ascii="Arial" w:hAnsi="Arial" w:cs="Arial"/>
          <w:color w:val="000000" w:themeColor="text1"/>
          <w:sz w:val="22"/>
          <w:szCs w:val="22"/>
        </w:rPr>
        <w:t xml:space="preserve"> and moved on to the Senate</w:t>
      </w:r>
      <w:r w:rsidRPr="00AB54AF">
        <w:rPr>
          <w:rFonts w:ascii="Arial" w:hAnsi="Arial" w:cs="Arial"/>
          <w:color w:val="000000" w:themeColor="text1"/>
          <w:sz w:val="22"/>
          <w:szCs w:val="22"/>
        </w:rPr>
        <w:t>.</w:t>
      </w:r>
    </w:p>
    <w:p w14:paraId="1026E0C4" w14:textId="77777777" w:rsidR="00C31BF5" w:rsidRDefault="00C31BF5" w:rsidP="00C31BF5">
      <w:pPr>
        <w:rPr>
          <w:rFonts w:ascii="Arial" w:hAnsi="Arial" w:cs="Arial"/>
          <w:color w:val="000000" w:themeColor="text1"/>
          <w:sz w:val="22"/>
          <w:szCs w:val="22"/>
        </w:rPr>
      </w:pPr>
    </w:p>
    <w:p w14:paraId="3E898C01" w14:textId="77777777" w:rsidR="00C31BF5" w:rsidRDefault="00C31BF5" w:rsidP="00C31BF5">
      <w:pPr>
        <w:rPr>
          <w:rFonts w:ascii="Arial" w:hAnsi="Arial" w:cs="Arial"/>
          <w:color w:val="000000" w:themeColor="text1"/>
          <w:sz w:val="22"/>
          <w:szCs w:val="22"/>
        </w:rPr>
      </w:pPr>
      <w:r>
        <w:rPr>
          <w:rFonts w:ascii="Arial" w:hAnsi="Arial" w:cs="Arial"/>
          <w:color w:val="000000" w:themeColor="text1"/>
          <w:sz w:val="22"/>
          <w:szCs w:val="22"/>
        </w:rPr>
        <w:t>For decades economists have tried to determine how spending on infrastructure – roads, bridges, canals, railways, broadband and other projects – contributes to economic growth. There are diverse opinions on the subject. Here are a few:</w:t>
      </w:r>
    </w:p>
    <w:p w14:paraId="3DCCE32C" w14:textId="77777777" w:rsidR="00C31BF5" w:rsidRDefault="00C31BF5" w:rsidP="00C31BF5">
      <w:pPr>
        <w:rPr>
          <w:rFonts w:ascii="Arial" w:hAnsi="Arial" w:cs="Arial"/>
          <w:color w:val="000000" w:themeColor="text1"/>
          <w:sz w:val="22"/>
          <w:szCs w:val="22"/>
        </w:rPr>
      </w:pPr>
    </w:p>
    <w:p w14:paraId="7833DC88" w14:textId="09FCD0E8" w:rsidR="00C31BF5" w:rsidRDefault="00C31BF5" w:rsidP="00C31BF5">
      <w:pPr>
        <w:ind w:left="360"/>
        <w:rPr>
          <w:rFonts w:ascii="Arial" w:hAnsi="Arial" w:cs="Arial"/>
          <w:color w:val="000000" w:themeColor="text1"/>
          <w:sz w:val="22"/>
          <w:szCs w:val="22"/>
        </w:rPr>
      </w:pPr>
      <w:r>
        <w:rPr>
          <w:rFonts w:ascii="Arial" w:hAnsi="Arial" w:cs="Arial"/>
          <w:color w:val="000000" w:themeColor="text1"/>
          <w:sz w:val="22"/>
          <w:szCs w:val="22"/>
        </w:rPr>
        <w:t>“</w:t>
      </w:r>
      <w:r w:rsidRPr="00006C86">
        <w:rPr>
          <w:rFonts w:ascii="Arial" w:hAnsi="Arial" w:cs="Arial"/>
          <w:color w:val="000000" w:themeColor="text1"/>
          <w:sz w:val="22"/>
          <w:szCs w:val="22"/>
        </w:rPr>
        <w:t>Increasing infrastructure investment has significant macroeconomic benefits. Near term it has a large so-called multiplier—the increase in GDP for a dollar increase in investment. It is among the highest compared with other types of federal government spending and tax policy</w:t>
      </w:r>
      <w:r>
        <w:rPr>
          <w:rFonts w:ascii="Arial" w:hAnsi="Arial" w:cs="Arial"/>
          <w:color w:val="000000" w:themeColor="text1"/>
          <w:sz w:val="22"/>
          <w:szCs w:val="22"/>
        </w:rPr>
        <w:t>…</w:t>
      </w:r>
      <w:r w:rsidRPr="00006C86">
        <w:t xml:space="preserve"> </w:t>
      </w:r>
      <w:r w:rsidRPr="00006C86">
        <w:rPr>
          <w:rFonts w:ascii="Arial" w:hAnsi="Arial" w:cs="Arial"/>
          <w:color w:val="000000" w:themeColor="text1"/>
          <w:sz w:val="22"/>
          <w:szCs w:val="22"/>
        </w:rPr>
        <w:t>In a full-employment economy, the GDP multiplier on traditional infrastructure is estimated to be 1.23 one year after the investment, and 1.12 for nontraditional infrastructure. It is higher when the economy is operating below full employment.</w:t>
      </w:r>
      <w:r>
        <w:rPr>
          <w:rFonts w:ascii="Arial" w:hAnsi="Arial" w:cs="Arial"/>
          <w:color w:val="000000" w:themeColor="text1"/>
          <w:sz w:val="22"/>
          <w:szCs w:val="22"/>
        </w:rPr>
        <w:t>”</w:t>
      </w:r>
    </w:p>
    <w:p w14:paraId="78A04D88" w14:textId="77777777" w:rsidR="00C31BF5" w:rsidRPr="00006C86" w:rsidRDefault="00C31BF5" w:rsidP="00C31BF5">
      <w:pPr>
        <w:ind w:left="360"/>
        <w:jc w:val="right"/>
        <w:rPr>
          <w:rFonts w:ascii="Arial" w:hAnsi="Arial" w:cs="Arial"/>
          <w:i/>
          <w:iCs/>
          <w:color w:val="000000" w:themeColor="text1"/>
          <w:sz w:val="22"/>
          <w:szCs w:val="22"/>
        </w:rPr>
      </w:pPr>
      <w:r>
        <w:rPr>
          <w:rFonts w:ascii="Arial" w:hAnsi="Arial" w:cs="Arial"/>
          <w:i/>
          <w:iCs/>
          <w:color w:val="000000" w:themeColor="text1"/>
          <w:sz w:val="22"/>
          <w:szCs w:val="22"/>
        </w:rPr>
        <w:t>—</w:t>
      </w:r>
      <w:r w:rsidRPr="00006C86">
        <w:rPr>
          <w:rFonts w:ascii="Arial" w:hAnsi="Arial" w:cs="Arial"/>
          <w:i/>
          <w:iCs/>
          <w:color w:val="000000" w:themeColor="text1"/>
          <w:sz w:val="22"/>
          <w:szCs w:val="22"/>
        </w:rPr>
        <w:t xml:space="preserve"> Mark </w:t>
      </w:r>
      <w:proofErr w:type="spellStart"/>
      <w:r w:rsidRPr="00006C86">
        <w:rPr>
          <w:rFonts w:ascii="Arial" w:hAnsi="Arial" w:cs="Arial"/>
          <w:i/>
          <w:iCs/>
          <w:color w:val="000000" w:themeColor="text1"/>
          <w:sz w:val="22"/>
          <w:szCs w:val="22"/>
        </w:rPr>
        <w:t>Zandi</w:t>
      </w:r>
      <w:proofErr w:type="spellEnd"/>
      <w:r w:rsidRPr="00006C86">
        <w:rPr>
          <w:rFonts w:ascii="Arial" w:hAnsi="Arial" w:cs="Arial"/>
          <w:i/>
          <w:iCs/>
          <w:color w:val="000000" w:themeColor="text1"/>
          <w:sz w:val="22"/>
          <w:szCs w:val="22"/>
        </w:rPr>
        <w:t xml:space="preserve"> and Bernard </w:t>
      </w:r>
      <w:proofErr w:type="spellStart"/>
      <w:r w:rsidRPr="00006C86">
        <w:rPr>
          <w:rFonts w:ascii="Arial" w:hAnsi="Arial" w:cs="Arial"/>
          <w:i/>
          <w:iCs/>
          <w:color w:val="000000" w:themeColor="text1"/>
          <w:sz w:val="22"/>
          <w:szCs w:val="22"/>
        </w:rPr>
        <w:t>Yaros</w:t>
      </w:r>
      <w:proofErr w:type="spellEnd"/>
      <w:r w:rsidRPr="00006C86">
        <w:rPr>
          <w:rFonts w:ascii="Arial" w:hAnsi="Arial" w:cs="Arial"/>
          <w:i/>
          <w:iCs/>
          <w:color w:val="000000" w:themeColor="text1"/>
          <w:sz w:val="22"/>
          <w:szCs w:val="22"/>
        </w:rPr>
        <w:t>,</w:t>
      </w:r>
      <w:r>
        <w:rPr>
          <w:rFonts w:ascii="Arial" w:hAnsi="Arial" w:cs="Arial"/>
          <w:i/>
          <w:iCs/>
          <w:color w:val="000000" w:themeColor="text1"/>
          <w:sz w:val="22"/>
          <w:szCs w:val="22"/>
        </w:rPr>
        <w:t xml:space="preserve"> Jr.,</w:t>
      </w:r>
      <w:r w:rsidRPr="00006C86">
        <w:rPr>
          <w:rFonts w:ascii="Arial" w:hAnsi="Arial" w:cs="Arial"/>
          <w:i/>
          <w:iCs/>
          <w:color w:val="000000" w:themeColor="text1"/>
          <w:sz w:val="22"/>
          <w:szCs w:val="22"/>
        </w:rPr>
        <w:t xml:space="preserve"> Moody’s Analytics, July 21, 2021</w:t>
      </w:r>
    </w:p>
    <w:p w14:paraId="38CB4BA0" w14:textId="77777777" w:rsidR="00C31BF5" w:rsidRDefault="00C31BF5" w:rsidP="00C31BF5">
      <w:pPr>
        <w:rPr>
          <w:rFonts w:ascii="Arial" w:hAnsi="Arial" w:cs="Arial"/>
          <w:color w:val="000000" w:themeColor="text1"/>
          <w:sz w:val="22"/>
          <w:szCs w:val="22"/>
        </w:rPr>
      </w:pPr>
    </w:p>
    <w:p w14:paraId="6A20FE48" w14:textId="78BB7E2B" w:rsidR="00C31BF5" w:rsidRDefault="00C31BF5" w:rsidP="00C31BF5">
      <w:pPr>
        <w:ind w:left="360"/>
        <w:rPr>
          <w:rFonts w:ascii="Arial" w:hAnsi="Arial" w:cs="Arial"/>
          <w:color w:val="000000" w:themeColor="text1"/>
          <w:sz w:val="22"/>
          <w:szCs w:val="22"/>
        </w:rPr>
      </w:pPr>
      <w:r>
        <w:rPr>
          <w:rFonts w:ascii="Arial" w:hAnsi="Arial" w:cs="Arial"/>
          <w:color w:val="000000" w:themeColor="text1"/>
          <w:sz w:val="22"/>
          <w:szCs w:val="22"/>
        </w:rPr>
        <w:t>“</w:t>
      </w:r>
      <w:r w:rsidRPr="006303B0">
        <w:rPr>
          <w:rFonts w:ascii="Arial" w:hAnsi="Arial" w:cs="Arial"/>
          <w:color w:val="000000" w:themeColor="text1"/>
          <w:sz w:val="22"/>
          <w:szCs w:val="22"/>
        </w:rPr>
        <w:t xml:space="preserve">Infrastructure spending by government can boost long-run economic growth by making an economy more productive, in part by improving connectivity </w:t>
      </w:r>
      <w:r>
        <w:rPr>
          <w:rFonts w:ascii="Arial" w:hAnsi="Arial" w:cs="Arial"/>
          <w:color w:val="000000" w:themeColor="text1"/>
          <w:sz w:val="22"/>
          <w:szCs w:val="22"/>
        </w:rPr>
        <w:t>–</w:t>
      </w:r>
      <w:r w:rsidRPr="006303B0">
        <w:rPr>
          <w:rFonts w:ascii="Arial" w:hAnsi="Arial" w:cs="Arial"/>
          <w:color w:val="000000" w:themeColor="text1"/>
          <w:sz w:val="22"/>
          <w:szCs w:val="22"/>
        </w:rPr>
        <w:t xml:space="preserve"> both physical and digital</w:t>
      </w:r>
      <w:r>
        <w:rPr>
          <w:rFonts w:ascii="Arial" w:hAnsi="Arial" w:cs="Arial"/>
          <w:color w:val="000000" w:themeColor="text1"/>
          <w:sz w:val="22"/>
          <w:szCs w:val="22"/>
        </w:rPr>
        <w:t>…</w:t>
      </w:r>
      <w:r w:rsidRPr="006303B0">
        <w:rPr>
          <w:rFonts w:ascii="Arial" w:hAnsi="Arial" w:cs="Arial"/>
          <w:color w:val="000000" w:themeColor="text1"/>
          <w:sz w:val="22"/>
          <w:szCs w:val="22"/>
        </w:rPr>
        <w:t>The point here is that there can be diminishing returns from spending</w:t>
      </w:r>
      <w:r>
        <w:rPr>
          <w:rFonts w:ascii="Arial" w:hAnsi="Arial" w:cs="Arial"/>
          <w:color w:val="000000" w:themeColor="text1"/>
          <w:sz w:val="22"/>
          <w:szCs w:val="22"/>
        </w:rPr>
        <w:t>…</w:t>
      </w:r>
      <w:r w:rsidRPr="006303B0">
        <w:rPr>
          <w:rFonts w:ascii="Arial" w:hAnsi="Arial" w:cs="Arial"/>
          <w:color w:val="000000" w:themeColor="text1"/>
          <w:sz w:val="22"/>
          <w:szCs w:val="22"/>
        </w:rPr>
        <w:t>I view infrastructure investment primarily as a way of boosting the economy’s speed limit. Government should focus on high-value projects.</w:t>
      </w:r>
      <w:r>
        <w:rPr>
          <w:rFonts w:ascii="Arial" w:hAnsi="Arial" w:cs="Arial"/>
          <w:color w:val="000000" w:themeColor="text1"/>
          <w:sz w:val="22"/>
          <w:szCs w:val="22"/>
        </w:rPr>
        <w:t>”</w:t>
      </w:r>
    </w:p>
    <w:p w14:paraId="0EC80319" w14:textId="77777777" w:rsidR="00C31BF5" w:rsidRPr="006303B0" w:rsidRDefault="00C31BF5" w:rsidP="00C31BF5">
      <w:pPr>
        <w:ind w:left="360"/>
        <w:jc w:val="right"/>
        <w:rPr>
          <w:rFonts w:ascii="Arial" w:hAnsi="Arial" w:cs="Arial"/>
          <w:i/>
          <w:iCs/>
          <w:color w:val="000000" w:themeColor="text1"/>
          <w:sz w:val="22"/>
          <w:szCs w:val="22"/>
        </w:rPr>
      </w:pPr>
      <w:r>
        <w:rPr>
          <w:rFonts w:ascii="Arial" w:hAnsi="Arial" w:cs="Arial"/>
          <w:i/>
          <w:iCs/>
          <w:color w:val="000000" w:themeColor="text1"/>
          <w:sz w:val="22"/>
          <w:szCs w:val="22"/>
        </w:rPr>
        <w:t>—</w:t>
      </w:r>
      <w:r w:rsidRPr="006303B0">
        <w:rPr>
          <w:rFonts w:ascii="Arial" w:hAnsi="Arial" w:cs="Arial"/>
          <w:i/>
          <w:iCs/>
          <w:color w:val="000000" w:themeColor="text1"/>
          <w:sz w:val="22"/>
          <w:szCs w:val="22"/>
        </w:rPr>
        <w:t xml:space="preserve"> James </w:t>
      </w:r>
      <w:proofErr w:type="spellStart"/>
      <w:r w:rsidRPr="006303B0">
        <w:rPr>
          <w:rFonts w:ascii="Arial" w:hAnsi="Arial" w:cs="Arial"/>
          <w:i/>
          <w:iCs/>
          <w:color w:val="000000" w:themeColor="text1"/>
          <w:sz w:val="22"/>
          <w:szCs w:val="22"/>
        </w:rPr>
        <w:t>Pethokoukis</w:t>
      </w:r>
      <w:proofErr w:type="spellEnd"/>
      <w:r w:rsidRPr="006303B0">
        <w:rPr>
          <w:rFonts w:ascii="Arial" w:hAnsi="Arial" w:cs="Arial"/>
          <w:i/>
          <w:iCs/>
          <w:color w:val="000000" w:themeColor="text1"/>
          <w:sz w:val="22"/>
          <w:szCs w:val="22"/>
        </w:rPr>
        <w:t>, American Enterprise Institute</w:t>
      </w:r>
      <w:r>
        <w:rPr>
          <w:rFonts w:ascii="Arial" w:hAnsi="Arial" w:cs="Arial"/>
          <w:i/>
          <w:iCs/>
          <w:color w:val="000000" w:themeColor="text1"/>
          <w:sz w:val="22"/>
          <w:szCs w:val="22"/>
        </w:rPr>
        <w:t>, April 2, 2021</w:t>
      </w:r>
      <w:r w:rsidRPr="006303B0">
        <w:rPr>
          <w:rFonts w:ascii="Arial" w:hAnsi="Arial" w:cs="Arial"/>
          <w:i/>
          <w:iCs/>
          <w:color w:val="000000" w:themeColor="text1"/>
          <w:sz w:val="22"/>
          <w:szCs w:val="22"/>
        </w:rPr>
        <w:t xml:space="preserve"> </w:t>
      </w:r>
    </w:p>
    <w:p w14:paraId="2A2BA1FC" w14:textId="77777777" w:rsidR="00C31BF5" w:rsidRDefault="00C31BF5" w:rsidP="00C31BF5">
      <w:pPr>
        <w:rPr>
          <w:rFonts w:ascii="Arial" w:hAnsi="Arial" w:cs="Arial"/>
          <w:color w:val="000000" w:themeColor="text1"/>
          <w:sz w:val="22"/>
          <w:szCs w:val="22"/>
        </w:rPr>
      </w:pPr>
    </w:p>
    <w:p w14:paraId="66F21A75" w14:textId="1ED28392" w:rsidR="00C31BF5" w:rsidRDefault="00C31BF5" w:rsidP="00C31BF5">
      <w:pPr>
        <w:ind w:left="360"/>
        <w:rPr>
          <w:rFonts w:ascii="Arial" w:hAnsi="Arial" w:cs="Arial"/>
          <w:color w:val="000000" w:themeColor="text1"/>
          <w:sz w:val="22"/>
          <w:szCs w:val="22"/>
        </w:rPr>
      </w:pPr>
      <w:r>
        <w:rPr>
          <w:rFonts w:ascii="Arial" w:hAnsi="Arial" w:cs="Arial"/>
          <w:color w:val="000000" w:themeColor="text1"/>
          <w:sz w:val="22"/>
          <w:szCs w:val="22"/>
        </w:rPr>
        <w:t>“</w:t>
      </w:r>
      <w:r w:rsidRPr="00F04C6C">
        <w:rPr>
          <w:rFonts w:ascii="Arial" w:hAnsi="Arial" w:cs="Arial"/>
          <w:color w:val="000000" w:themeColor="text1"/>
          <w:sz w:val="22"/>
          <w:szCs w:val="22"/>
        </w:rPr>
        <w:t>A new era of large-scale infrastructure investment would necessarily be less revolutionary than the railways and roads of the past. Yet it might nonetheless prove surprisingly transformative in its direct economic impact, its knock-on effects on private industry—and in the psychological spur it provides to a country that could do with a bit of reinvigoration and renewal.</w:t>
      </w:r>
      <w:r>
        <w:rPr>
          <w:rFonts w:ascii="Arial" w:hAnsi="Arial" w:cs="Arial"/>
          <w:color w:val="000000" w:themeColor="text1"/>
          <w:sz w:val="22"/>
          <w:szCs w:val="22"/>
        </w:rPr>
        <w:t>”</w:t>
      </w:r>
    </w:p>
    <w:p w14:paraId="70EDF981" w14:textId="77777777" w:rsidR="00C31BF5" w:rsidRPr="00BF36DF" w:rsidRDefault="00C31BF5" w:rsidP="00C31BF5">
      <w:pPr>
        <w:jc w:val="right"/>
        <w:rPr>
          <w:rFonts w:ascii="Arial" w:hAnsi="Arial" w:cs="Arial"/>
          <w:i/>
          <w:iCs/>
          <w:color w:val="000000" w:themeColor="text1"/>
          <w:sz w:val="22"/>
          <w:szCs w:val="22"/>
        </w:rPr>
      </w:pPr>
      <w:r>
        <w:rPr>
          <w:rFonts w:ascii="Arial" w:hAnsi="Arial" w:cs="Arial"/>
          <w:i/>
          <w:iCs/>
          <w:color w:val="000000" w:themeColor="text1"/>
          <w:sz w:val="22"/>
          <w:szCs w:val="22"/>
        </w:rPr>
        <w:t>—</w:t>
      </w:r>
      <w:r w:rsidRPr="00BF36DF">
        <w:rPr>
          <w:rFonts w:ascii="Arial" w:hAnsi="Arial" w:cs="Arial"/>
          <w:i/>
          <w:iCs/>
          <w:color w:val="000000" w:themeColor="text1"/>
          <w:sz w:val="22"/>
          <w:szCs w:val="22"/>
        </w:rPr>
        <w:t xml:space="preserve"> The Economist, May 1, 2021</w:t>
      </w:r>
    </w:p>
    <w:p w14:paraId="7489C57E" w14:textId="77777777" w:rsidR="00C31BF5" w:rsidRDefault="00C31BF5" w:rsidP="00C31BF5">
      <w:pPr>
        <w:rPr>
          <w:rFonts w:ascii="Arial" w:hAnsi="Arial" w:cs="Arial"/>
          <w:color w:val="000000" w:themeColor="text1"/>
          <w:sz w:val="22"/>
          <w:szCs w:val="22"/>
        </w:rPr>
      </w:pPr>
    </w:p>
    <w:p w14:paraId="646A67E2" w14:textId="187B3103" w:rsidR="00C31BF5" w:rsidRDefault="00C31BF5" w:rsidP="00C31BF5">
      <w:pPr>
        <w:ind w:left="360"/>
        <w:rPr>
          <w:rFonts w:ascii="Arial" w:hAnsi="Arial" w:cs="Arial"/>
          <w:color w:val="000000" w:themeColor="text1"/>
          <w:sz w:val="22"/>
          <w:szCs w:val="22"/>
        </w:rPr>
      </w:pPr>
      <w:r>
        <w:rPr>
          <w:rFonts w:ascii="Arial" w:hAnsi="Arial" w:cs="Arial"/>
          <w:color w:val="000000" w:themeColor="text1"/>
          <w:sz w:val="22"/>
          <w:szCs w:val="22"/>
        </w:rPr>
        <w:t>“</w:t>
      </w:r>
      <w:r w:rsidRPr="00DC3111">
        <w:rPr>
          <w:rFonts w:ascii="Arial" w:hAnsi="Arial" w:cs="Arial"/>
          <w:color w:val="000000" w:themeColor="text1"/>
          <w:sz w:val="22"/>
          <w:szCs w:val="22"/>
        </w:rPr>
        <w:t>Finally, even if infrastructure investment had no impact on employment, productivity, and growth, it’d still deliver public goods that should be available to all but that may not be profitable to produce privately (such as rural broadband).</w:t>
      </w:r>
      <w:r>
        <w:rPr>
          <w:rFonts w:ascii="Arial" w:hAnsi="Arial" w:cs="Arial"/>
          <w:color w:val="000000" w:themeColor="text1"/>
          <w:sz w:val="22"/>
          <w:szCs w:val="22"/>
        </w:rPr>
        <w:t>”</w:t>
      </w:r>
    </w:p>
    <w:p w14:paraId="612045B5" w14:textId="77777777" w:rsidR="00C31BF5" w:rsidRPr="00DC3111" w:rsidRDefault="00C31BF5" w:rsidP="00C31BF5">
      <w:pPr>
        <w:ind w:left="360"/>
        <w:jc w:val="right"/>
        <w:rPr>
          <w:rFonts w:ascii="Arial" w:hAnsi="Arial" w:cs="Arial"/>
          <w:i/>
          <w:iCs/>
          <w:color w:val="000000" w:themeColor="text1"/>
          <w:sz w:val="22"/>
          <w:szCs w:val="22"/>
        </w:rPr>
      </w:pPr>
      <w:r>
        <w:rPr>
          <w:rFonts w:ascii="Arial" w:hAnsi="Arial" w:cs="Arial"/>
          <w:i/>
          <w:iCs/>
          <w:color w:val="000000" w:themeColor="text1"/>
          <w:sz w:val="22"/>
          <w:szCs w:val="22"/>
        </w:rPr>
        <w:t>—</w:t>
      </w:r>
      <w:r w:rsidRPr="00DC3111">
        <w:rPr>
          <w:rFonts w:ascii="Arial" w:hAnsi="Arial" w:cs="Arial"/>
          <w:i/>
          <w:iCs/>
          <w:color w:val="000000" w:themeColor="text1"/>
          <w:sz w:val="22"/>
          <w:szCs w:val="22"/>
        </w:rPr>
        <w:t xml:space="preserve"> Marcela </w:t>
      </w:r>
      <w:proofErr w:type="spellStart"/>
      <w:r w:rsidRPr="00DC3111">
        <w:rPr>
          <w:rFonts w:ascii="Arial" w:hAnsi="Arial" w:cs="Arial"/>
          <w:i/>
          <w:iCs/>
          <w:color w:val="000000" w:themeColor="text1"/>
          <w:sz w:val="22"/>
          <w:szCs w:val="22"/>
        </w:rPr>
        <w:t>Escobari</w:t>
      </w:r>
      <w:proofErr w:type="spellEnd"/>
      <w:r w:rsidRPr="00DC3111">
        <w:rPr>
          <w:rFonts w:ascii="Arial" w:hAnsi="Arial" w:cs="Arial"/>
          <w:i/>
          <w:iCs/>
          <w:color w:val="000000" w:themeColor="text1"/>
          <w:sz w:val="22"/>
          <w:szCs w:val="22"/>
        </w:rPr>
        <w:t>, Dhruv Gandhi</w:t>
      </w:r>
      <w:r>
        <w:rPr>
          <w:rFonts w:ascii="Arial" w:hAnsi="Arial" w:cs="Arial"/>
          <w:i/>
          <w:iCs/>
          <w:color w:val="000000" w:themeColor="text1"/>
          <w:sz w:val="22"/>
          <w:szCs w:val="22"/>
        </w:rPr>
        <w:t xml:space="preserve"> and</w:t>
      </w:r>
      <w:r w:rsidRPr="00DC3111">
        <w:rPr>
          <w:i/>
          <w:iCs/>
        </w:rPr>
        <w:t xml:space="preserve"> </w:t>
      </w:r>
      <w:r w:rsidRPr="00DC3111">
        <w:rPr>
          <w:rFonts w:ascii="Arial" w:hAnsi="Arial" w:cs="Arial"/>
          <w:i/>
          <w:iCs/>
          <w:color w:val="000000" w:themeColor="text1"/>
          <w:sz w:val="22"/>
          <w:szCs w:val="22"/>
        </w:rPr>
        <w:t>Sebastian Strauss, Brookings Institute, March 17, 2021</w:t>
      </w:r>
    </w:p>
    <w:p w14:paraId="2E1F0D38" w14:textId="77777777" w:rsidR="00C31BF5" w:rsidRDefault="00C31BF5" w:rsidP="00C31BF5">
      <w:pPr>
        <w:rPr>
          <w:rFonts w:ascii="Arial" w:hAnsi="Arial" w:cs="Arial"/>
          <w:color w:val="000000" w:themeColor="text1"/>
          <w:sz w:val="22"/>
          <w:szCs w:val="22"/>
        </w:rPr>
      </w:pPr>
    </w:p>
    <w:p w14:paraId="784AD65C" w14:textId="147CF2CC" w:rsidR="00C31BF5" w:rsidRDefault="00C31BF5" w:rsidP="00C31BF5">
      <w:pPr>
        <w:rPr>
          <w:rFonts w:ascii="Arial" w:hAnsi="Arial" w:cs="Arial"/>
          <w:color w:val="000000" w:themeColor="text1"/>
          <w:sz w:val="22"/>
          <w:szCs w:val="22"/>
        </w:rPr>
      </w:pPr>
      <w:r>
        <w:rPr>
          <w:rFonts w:ascii="Arial" w:hAnsi="Arial" w:cs="Arial"/>
          <w:color w:val="000000" w:themeColor="text1"/>
          <w:sz w:val="22"/>
          <w:szCs w:val="22"/>
        </w:rPr>
        <w:t>The IIJA will invest approximately $1.2 trillion, including $550 billion in new spending, on infrastructure projects across the United States.</w:t>
      </w:r>
      <w:r w:rsidR="001B3553">
        <w:rPr>
          <w:rFonts w:ascii="Arial" w:hAnsi="Arial" w:cs="Arial"/>
          <w:color w:val="000000" w:themeColor="text1"/>
          <w:sz w:val="22"/>
          <w:szCs w:val="22"/>
        </w:rPr>
        <w:t xml:space="preserve"> </w:t>
      </w:r>
      <w:r>
        <w:rPr>
          <w:rFonts w:ascii="Arial" w:hAnsi="Arial" w:cs="Arial"/>
          <w:color w:val="000000" w:themeColor="text1"/>
          <w:sz w:val="22"/>
          <w:szCs w:val="22"/>
        </w:rPr>
        <w:t xml:space="preserve">IIJA is expected to increase the deficit by about $256 billion over the next 10 years, according to the </w:t>
      </w:r>
      <w:r w:rsidRPr="00C918A4">
        <w:rPr>
          <w:rFonts w:ascii="Arial" w:hAnsi="Arial" w:cs="Arial"/>
          <w:color w:val="000000" w:themeColor="text1"/>
          <w:sz w:val="22"/>
          <w:szCs w:val="22"/>
        </w:rPr>
        <w:t>Congressional Budget Office</w:t>
      </w:r>
      <w:r>
        <w:rPr>
          <w:rFonts w:ascii="Arial" w:hAnsi="Arial" w:cs="Arial"/>
          <w:color w:val="000000" w:themeColor="text1"/>
          <w:sz w:val="22"/>
          <w:szCs w:val="22"/>
        </w:rPr>
        <w:t>.</w:t>
      </w:r>
    </w:p>
    <w:p w14:paraId="6A0E9063" w14:textId="77777777" w:rsidR="00C31BF5" w:rsidRDefault="00C31BF5" w:rsidP="00C31BF5">
      <w:pPr>
        <w:tabs>
          <w:tab w:val="left" w:pos="-3150"/>
          <w:tab w:val="left" w:pos="8550"/>
        </w:tabs>
        <w:rPr>
          <w:rFonts w:ascii="Arial" w:hAnsi="Arial" w:cs="Arial"/>
          <w:color w:val="000000" w:themeColor="text1"/>
          <w:sz w:val="22"/>
          <w:szCs w:val="22"/>
        </w:rPr>
      </w:pPr>
    </w:p>
    <w:p w14:paraId="4BC627AA" w14:textId="77777777" w:rsidR="00C31BF5" w:rsidRPr="00DF4D98" w:rsidRDefault="00C31BF5" w:rsidP="00C31BF5">
      <w:pPr>
        <w:tabs>
          <w:tab w:val="left" w:pos="-3150"/>
          <w:tab w:val="left" w:pos="8550"/>
        </w:tabs>
        <w:rPr>
          <w:rFonts w:ascii="Arial" w:hAnsi="Arial" w:cs="Arial"/>
          <w:b/>
          <w:bCs/>
          <w:color w:val="0D304A"/>
          <w:sz w:val="28"/>
          <w:szCs w:val="28"/>
        </w:rPr>
      </w:pPr>
      <w:r w:rsidRPr="00DF4D98">
        <w:rPr>
          <w:rFonts w:ascii="Arial" w:hAnsi="Arial" w:cs="Arial"/>
          <w:b/>
          <w:bCs/>
          <w:color w:val="0D304A"/>
          <w:sz w:val="28"/>
          <w:szCs w:val="28"/>
        </w:rPr>
        <w:t xml:space="preserve">Weekly Focus – Think About It </w:t>
      </w:r>
    </w:p>
    <w:p w14:paraId="0BEC8EB6" w14:textId="77777777" w:rsidR="00C31BF5" w:rsidRDefault="00C31BF5" w:rsidP="00C31BF5">
      <w:pPr>
        <w:ind w:right="-36"/>
        <w:rPr>
          <w:rFonts w:ascii="Arial" w:hAnsi="Arial" w:cs="Arial"/>
          <w:color w:val="000000"/>
          <w:sz w:val="22"/>
          <w:szCs w:val="22"/>
        </w:rPr>
      </w:pPr>
    </w:p>
    <w:p w14:paraId="0D2B8974" w14:textId="5B6EA86A" w:rsidR="00C31BF5" w:rsidRDefault="00C31BF5" w:rsidP="00C31BF5">
      <w:pPr>
        <w:pStyle w:val="ListParagraph"/>
        <w:numPr>
          <w:ilvl w:val="0"/>
          <w:numId w:val="41"/>
        </w:numPr>
        <w:ind w:right="-36"/>
        <w:rPr>
          <w:rFonts w:ascii="Arial" w:hAnsi="Arial" w:cs="Arial"/>
          <w:color w:val="000000"/>
          <w:sz w:val="22"/>
          <w:szCs w:val="22"/>
        </w:rPr>
      </w:pPr>
      <w:r w:rsidRPr="00AA08A4">
        <w:rPr>
          <w:rFonts w:ascii="Arial" w:hAnsi="Arial" w:cs="Arial"/>
          <w:color w:val="000000"/>
          <w:sz w:val="22"/>
          <w:szCs w:val="22"/>
        </w:rPr>
        <w:t>Which of the following holds the largest portion of the U.S. national debt?</w:t>
      </w:r>
    </w:p>
    <w:p w14:paraId="5A44D67E" w14:textId="77777777" w:rsidR="00C31BF5" w:rsidRDefault="00C31BF5" w:rsidP="00C31BF5">
      <w:pPr>
        <w:pStyle w:val="ListParagraph"/>
        <w:numPr>
          <w:ilvl w:val="1"/>
          <w:numId w:val="41"/>
        </w:numPr>
        <w:ind w:right="-36"/>
        <w:rPr>
          <w:rFonts w:ascii="Arial" w:hAnsi="Arial" w:cs="Arial"/>
          <w:color w:val="000000"/>
          <w:sz w:val="22"/>
          <w:szCs w:val="22"/>
        </w:rPr>
      </w:pPr>
      <w:r w:rsidRPr="00AA08A4">
        <w:rPr>
          <w:rFonts w:ascii="Arial" w:hAnsi="Arial" w:cs="Arial"/>
          <w:color w:val="000000"/>
          <w:sz w:val="22"/>
          <w:szCs w:val="22"/>
        </w:rPr>
        <w:t>China</w:t>
      </w:r>
    </w:p>
    <w:p w14:paraId="1DE59830" w14:textId="77777777" w:rsidR="00C31BF5" w:rsidRDefault="00C31BF5" w:rsidP="00C31BF5">
      <w:pPr>
        <w:pStyle w:val="ListParagraph"/>
        <w:numPr>
          <w:ilvl w:val="1"/>
          <w:numId w:val="41"/>
        </w:numPr>
        <w:ind w:right="-36"/>
        <w:rPr>
          <w:rFonts w:ascii="Arial" w:hAnsi="Arial" w:cs="Arial"/>
          <w:color w:val="000000"/>
          <w:sz w:val="22"/>
          <w:szCs w:val="22"/>
        </w:rPr>
      </w:pPr>
      <w:r w:rsidRPr="00AA08A4">
        <w:rPr>
          <w:rFonts w:ascii="Arial" w:hAnsi="Arial" w:cs="Arial"/>
          <w:color w:val="000000"/>
          <w:sz w:val="22"/>
          <w:szCs w:val="22"/>
        </w:rPr>
        <w:t>Social Security</w:t>
      </w:r>
    </w:p>
    <w:p w14:paraId="0C0C18F2" w14:textId="77777777" w:rsidR="00C31BF5" w:rsidRDefault="00C31BF5" w:rsidP="00C31BF5">
      <w:pPr>
        <w:pStyle w:val="ListParagraph"/>
        <w:numPr>
          <w:ilvl w:val="1"/>
          <w:numId w:val="41"/>
        </w:numPr>
        <w:ind w:right="-36"/>
        <w:rPr>
          <w:rFonts w:ascii="Arial" w:hAnsi="Arial" w:cs="Arial"/>
          <w:color w:val="000000"/>
          <w:sz w:val="22"/>
          <w:szCs w:val="22"/>
        </w:rPr>
      </w:pPr>
      <w:r w:rsidRPr="00AA08A4">
        <w:rPr>
          <w:rFonts w:ascii="Arial" w:hAnsi="Arial" w:cs="Arial"/>
          <w:color w:val="000000"/>
          <w:sz w:val="22"/>
          <w:szCs w:val="22"/>
        </w:rPr>
        <w:t>Military Retirement Fund</w:t>
      </w:r>
    </w:p>
    <w:p w14:paraId="4725B589" w14:textId="77777777" w:rsidR="00C31BF5" w:rsidRDefault="00C31BF5" w:rsidP="00C31BF5">
      <w:pPr>
        <w:pStyle w:val="ListParagraph"/>
        <w:numPr>
          <w:ilvl w:val="1"/>
          <w:numId w:val="41"/>
        </w:numPr>
        <w:ind w:right="-36"/>
        <w:rPr>
          <w:rFonts w:ascii="Arial" w:hAnsi="Arial" w:cs="Arial"/>
          <w:color w:val="000000"/>
          <w:sz w:val="22"/>
          <w:szCs w:val="22"/>
        </w:rPr>
      </w:pPr>
      <w:r w:rsidRPr="00AA08A4">
        <w:rPr>
          <w:rFonts w:ascii="Arial" w:hAnsi="Arial" w:cs="Arial"/>
          <w:color w:val="000000"/>
          <w:sz w:val="22"/>
          <w:szCs w:val="22"/>
        </w:rPr>
        <w:lastRenderedPageBreak/>
        <w:t>Japan</w:t>
      </w:r>
    </w:p>
    <w:p w14:paraId="0CB21666" w14:textId="77777777" w:rsidR="00C31BF5" w:rsidRPr="00AA08A4" w:rsidRDefault="00C31BF5" w:rsidP="00C31BF5">
      <w:pPr>
        <w:pStyle w:val="ListParagraph"/>
        <w:numPr>
          <w:ilvl w:val="1"/>
          <w:numId w:val="41"/>
        </w:numPr>
        <w:ind w:right="-36"/>
        <w:rPr>
          <w:rFonts w:ascii="Arial" w:hAnsi="Arial" w:cs="Arial"/>
          <w:color w:val="000000"/>
          <w:sz w:val="22"/>
          <w:szCs w:val="22"/>
        </w:rPr>
      </w:pPr>
      <w:r w:rsidRPr="00AA08A4">
        <w:rPr>
          <w:rFonts w:ascii="Arial" w:hAnsi="Arial" w:cs="Arial"/>
          <w:color w:val="000000"/>
          <w:sz w:val="22"/>
          <w:szCs w:val="22"/>
        </w:rPr>
        <w:t>Medicare</w:t>
      </w:r>
    </w:p>
    <w:p w14:paraId="2712016D" w14:textId="77777777" w:rsidR="00C31BF5" w:rsidRDefault="00C31BF5" w:rsidP="00C31BF5">
      <w:pPr>
        <w:ind w:right="-36"/>
        <w:rPr>
          <w:rFonts w:ascii="Arial" w:hAnsi="Arial" w:cs="Arial"/>
          <w:color w:val="000000"/>
          <w:sz w:val="22"/>
          <w:szCs w:val="22"/>
        </w:rPr>
      </w:pPr>
    </w:p>
    <w:p w14:paraId="77BB502E" w14:textId="4DD2C7D4" w:rsidR="0056229A" w:rsidRPr="009D0076" w:rsidRDefault="00C31BF5" w:rsidP="009D0076">
      <w:pPr>
        <w:ind w:right="-36"/>
        <w:jc w:val="right"/>
        <w:rPr>
          <w:rFonts w:ascii="Arial" w:hAnsi="Arial" w:cs="Arial"/>
          <w:i/>
          <w:iCs/>
          <w:color w:val="000000"/>
          <w:sz w:val="22"/>
          <w:szCs w:val="22"/>
        </w:rPr>
      </w:pPr>
      <w:r w:rsidRPr="00615E93">
        <w:rPr>
          <w:rFonts w:ascii="Arial" w:hAnsi="Arial" w:cs="Arial"/>
          <w:i/>
          <w:iCs/>
          <w:color w:val="000000"/>
          <w:sz w:val="22"/>
          <w:szCs w:val="22"/>
        </w:rPr>
        <w:t>Answer: B</w:t>
      </w:r>
    </w:p>
    <w:p w14:paraId="14211774" w14:textId="77777777" w:rsidR="00617D6F" w:rsidRPr="00D2669E" w:rsidRDefault="00617D6F" w:rsidP="0056229A">
      <w:pPr>
        <w:ind w:right="-36"/>
        <w:rPr>
          <w:rFonts w:ascii="Arial" w:hAnsi="Arial" w:cs="Arial"/>
          <w:color w:val="000000"/>
          <w:sz w:val="22"/>
          <w:szCs w:val="22"/>
        </w:rPr>
      </w:pPr>
    </w:p>
    <w:p w14:paraId="67FFE447" w14:textId="77777777" w:rsidR="0056229A" w:rsidRPr="00BA5F6A" w:rsidRDefault="0056229A" w:rsidP="0056229A">
      <w:pPr>
        <w:ind w:right="-36"/>
        <w:rPr>
          <w:rFonts w:ascii="Arial" w:hAnsi="Arial" w:cs="Arial"/>
          <w:color w:val="000000"/>
          <w:sz w:val="22"/>
          <w:szCs w:val="22"/>
        </w:rPr>
      </w:pPr>
      <w:r w:rsidRPr="00BA5F6A">
        <w:rPr>
          <w:rFonts w:ascii="Arial" w:hAnsi="Arial" w:cs="Arial"/>
          <w:color w:val="000000"/>
          <w:sz w:val="22"/>
          <w:szCs w:val="22"/>
        </w:rPr>
        <w:t>Best regards,</w:t>
      </w:r>
    </w:p>
    <w:p w14:paraId="5EE56377" w14:textId="77777777" w:rsidR="0056229A" w:rsidRPr="00BA5F6A" w:rsidRDefault="0056229A" w:rsidP="0056229A">
      <w:pPr>
        <w:ind w:right="-36"/>
        <w:rPr>
          <w:rFonts w:ascii="Arial" w:hAnsi="Arial" w:cs="Arial"/>
          <w:color w:val="000000"/>
          <w:sz w:val="22"/>
          <w:szCs w:val="22"/>
        </w:rPr>
      </w:pPr>
    </w:p>
    <w:p w14:paraId="2125A6BF" w14:textId="156A9EC5" w:rsidR="0056229A" w:rsidRPr="00233F17" w:rsidRDefault="00233F17" w:rsidP="0056229A">
      <w:pPr>
        <w:ind w:right="-36"/>
        <w:rPr>
          <w:rFonts w:ascii="Arial" w:hAnsi="Arial" w:cs="Arial"/>
          <w:sz w:val="22"/>
          <w:szCs w:val="22"/>
        </w:rPr>
      </w:pPr>
      <w:r w:rsidRPr="00233F17">
        <w:rPr>
          <w:rFonts w:ascii="Arial" w:hAnsi="Arial" w:cs="Arial"/>
          <w:sz w:val="22"/>
          <w:szCs w:val="22"/>
        </w:rPr>
        <w:t xml:space="preserve">Adam B. Hartung </w:t>
      </w:r>
    </w:p>
    <w:p w14:paraId="3C7AB10C" w14:textId="77777777" w:rsidR="0056229A" w:rsidRPr="00B56857" w:rsidRDefault="0056229A" w:rsidP="0056229A">
      <w:pPr>
        <w:ind w:right="-36"/>
        <w:rPr>
          <w:rFonts w:ascii="Arial" w:hAnsi="Arial" w:cs="Arial"/>
          <w:color w:val="000000"/>
          <w:sz w:val="22"/>
          <w:szCs w:val="22"/>
        </w:rPr>
      </w:pPr>
    </w:p>
    <w:p w14:paraId="49E6F406" w14:textId="77777777" w:rsidR="0056229A" w:rsidRPr="00BA5F6A" w:rsidRDefault="0056229A" w:rsidP="0056229A">
      <w:pPr>
        <w:ind w:right="-36"/>
        <w:rPr>
          <w:rFonts w:ascii="Arial" w:hAnsi="Arial" w:cs="Arial"/>
          <w:color w:val="000000"/>
          <w:sz w:val="22"/>
          <w:szCs w:val="22"/>
        </w:rPr>
      </w:pPr>
      <w:r w:rsidRPr="00BA5F6A">
        <w:rPr>
          <w:rFonts w:ascii="Arial" w:hAnsi="Arial" w:cs="Arial"/>
          <w:color w:val="000000"/>
          <w:sz w:val="22"/>
          <w:szCs w:val="22"/>
        </w:rPr>
        <w:t xml:space="preserve">P.S.  Please feel free to forward this commentary to family, </w:t>
      </w:r>
      <w:proofErr w:type="gramStart"/>
      <w:r w:rsidRPr="00BA5F6A">
        <w:rPr>
          <w:rFonts w:ascii="Arial" w:hAnsi="Arial" w:cs="Arial"/>
          <w:color w:val="000000"/>
          <w:sz w:val="22"/>
          <w:szCs w:val="22"/>
        </w:rPr>
        <w:t>friends</w:t>
      </w:r>
      <w:proofErr w:type="gramEnd"/>
      <w:r>
        <w:rPr>
          <w:rFonts w:ascii="Arial" w:hAnsi="Arial" w:cs="Arial"/>
          <w:color w:val="000000"/>
          <w:sz w:val="22"/>
          <w:szCs w:val="22"/>
        </w:rPr>
        <w:t xml:space="preserve"> </w:t>
      </w:r>
      <w:r w:rsidRPr="00BA5F6A">
        <w:rPr>
          <w:rFonts w:ascii="Arial" w:hAnsi="Arial" w:cs="Arial"/>
          <w:color w:val="000000"/>
          <w:sz w:val="22"/>
          <w:szCs w:val="22"/>
        </w:rPr>
        <w:t>or colleagues. If you would like us to add them to the list, please reply to this email with their email address and we will ask for their permission to be added.</w:t>
      </w:r>
    </w:p>
    <w:p w14:paraId="3C2C5BC7" w14:textId="77777777" w:rsidR="0056229A" w:rsidRPr="00BA5F6A" w:rsidRDefault="0056229A" w:rsidP="0056229A">
      <w:pPr>
        <w:rPr>
          <w:rFonts w:ascii="Arial" w:hAnsi="Arial" w:cs="Arial"/>
          <w:color w:val="000000"/>
          <w:sz w:val="22"/>
          <w:szCs w:val="22"/>
        </w:rPr>
      </w:pPr>
    </w:p>
    <w:p w14:paraId="0CC9B3B8" w14:textId="55F0057D" w:rsidR="0056229A" w:rsidRPr="00BA5F6A" w:rsidRDefault="0056229A" w:rsidP="0056229A">
      <w:pPr>
        <w:ind w:right="-36"/>
        <w:rPr>
          <w:rFonts w:ascii="Arial" w:hAnsi="Arial" w:cs="Arial"/>
          <w:color w:val="000000"/>
          <w:sz w:val="22"/>
          <w:szCs w:val="22"/>
        </w:rPr>
      </w:pPr>
      <w:r w:rsidRPr="00BA5F6A">
        <w:rPr>
          <w:rFonts w:ascii="Arial" w:hAnsi="Arial" w:cs="Arial"/>
          <w:color w:val="000000"/>
          <w:sz w:val="22"/>
          <w:szCs w:val="22"/>
        </w:rPr>
        <w:t>Securities offered through</w:t>
      </w:r>
      <w:r w:rsidRPr="00BA5F6A">
        <w:rPr>
          <w:rStyle w:val="apple-converted-space"/>
          <w:rFonts w:ascii="Arial" w:hAnsi="Arial" w:cs="Arial"/>
          <w:color w:val="000000"/>
          <w:sz w:val="22"/>
          <w:szCs w:val="22"/>
        </w:rPr>
        <w:t> </w:t>
      </w:r>
      <w:r w:rsidR="00233F17" w:rsidRPr="00233F17">
        <w:rPr>
          <w:rFonts w:ascii="Arial" w:hAnsi="Arial" w:cs="Arial"/>
          <w:sz w:val="22"/>
          <w:szCs w:val="22"/>
        </w:rPr>
        <w:t>Parkland Securities, LLC</w:t>
      </w:r>
      <w:r w:rsidRPr="00233F17">
        <w:rPr>
          <w:rFonts w:ascii="Arial" w:hAnsi="Arial" w:cs="Arial"/>
          <w:sz w:val="22"/>
          <w:szCs w:val="22"/>
        </w:rPr>
        <w:t xml:space="preserve"> </w:t>
      </w:r>
      <w:r w:rsidRPr="00BA5F6A">
        <w:rPr>
          <w:rFonts w:ascii="Arial" w:hAnsi="Arial" w:cs="Arial"/>
          <w:color w:val="000000"/>
          <w:sz w:val="22"/>
          <w:szCs w:val="22"/>
        </w:rPr>
        <w:t>Member FINRA/SIPC.</w:t>
      </w:r>
    </w:p>
    <w:p w14:paraId="310045D4"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w:t>
      </w:r>
    </w:p>
    <w:p w14:paraId="7283A16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These views are those of Carson Coaching, not the presenting Representative, the Representative’s Broker/Dealer, or Registered Investment Advisor, and should not be construed as investment advice.</w:t>
      </w:r>
    </w:p>
    <w:p w14:paraId="3ED36F3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This newsletter was prepared by Carson Coaching. Carson Coaching is not affiliated with the named firm or broker/dealer.</w:t>
      </w:r>
    </w:p>
    <w:p w14:paraId="505D7A0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D1E2B9E"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797C092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2678760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76541E5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Dow Jones Global ex-U.S. Index covers approximately 95% of the market capitalization of the 45 developed and emerging countries included in the Index.</w:t>
      </w:r>
    </w:p>
    <w:p w14:paraId="141CD3D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30F87A4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BA5F6A">
        <w:rPr>
          <w:rStyle w:val="apple-converted-space"/>
          <w:rFonts w:ascii="Arial" w:hAnsi="Arial" w:cs="Arial"/>
          <w:color w:val="000000"/>
          <w:sz w:val="18"/>
          <w:szCs w:val="18"/>
        </w:rPr>
        <w:t> </w:t>
      </w:r>
      <w:r w:rsidRPr="00D86C1E">
        <w:rPr>
          <w:rFonts w:ascii="Arial" w:hAnsi="Arial" w:cs="Arial"/>
          <w:sz w:val="18"/>
          <w:szCs w:val="18"/>
        </w:rPr>
        <w:t>https://fred.stlouisfed.org/series/GOLDPMGBD228NLBM</w:t>
      </w:r>
      <w:r w:rsidRPr="00BA5F6A">
        <w:rPr>
          <w:rFonts w:ascii="Arial" w:hAnsi="Arial" w:cs="Arial"/>
          <w:color w:val="000000"/>
          <w:sz w:val="18"/>
          <w:szCs w:val="18"/>
        </w:rPr>
        <w:t>.</w:t>
      </w:r>
    </w:p>
    <w:p w14:paraId="47771FE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40109AC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580F337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xml:space="preserve">* The Dow Jones Industrial Average (DJIA), commonly known as “The Dow,” is an index representing 30 </w:t>
      </w:r>
      <w:proofErr w:type="gramStart"/>
      <w:r w:rsidRPr="00BA5F6A">
        <w:rPr>
          <w:rFonts w:ascii="Arial" w:hAnsi="Arial" w:cs="Arial"/>
          <w:color w:val="000000"/>
          <w:sz w:val="18"/>
          <w:szCs w:val="18"/>
        </w:rPr>
        <w:t>stock</w:t>
      </w:r>
      <w:proofErr w:type="gramEnd"/>
      <w:r w:rsidRPr="00BA5F6A">
        <w:rPr>
          <w:rFonts w:ascii="Arial" w:hAnsi="Arial" w:cs="Arial"/>
          <w:color w:val="000000"/>
          <w:sz w:val="18"/>
          <w:szCs w:val="18"/>
        </w:rPr>
        <w:t xml:space="preserve"> of companies maintained and reviewed by the editors of The Wall Street Journal.</w:t>
      </w:r>
    </w:p>
    <w:p w14:paraId="5A362E4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NASDAQ Composite is an unmanaged index of securities traded on the NASDAQ system.</w:t>
      </w:r>
    </w:p>
    <w:p w14:paraId="6B9A2FA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1523466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Yahoo! Finance is the source for any reference to the performance of an index between two specific periods.</w:t>
      </w:r>
    </w:p>
    <w:p w14:paraId="054FC4F1"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xml:space="preserve">* The risk of loss in trading commodities and futures can be substantial. You should therefore carefully consider whether such trading is suitable for you </w:t>
      </w:r>
      <w:proofErr w:type="gramStart"/>
      <w:r w:rsidRPr="00BA5F6A">
        <w:rPr>
          <w:rFonts w:ascii="Arial" w:hAnsi="Arial" w:cs="Arial"/>
          <w:color w:val="000000"/>
          <w:sz w:val="18"/>
          <w:szCs w:val="18"/>
        </w:rPr>
        <w:t>in light of</w:t>
      </w:r>
      <w:proofErr w:type="gramEnd"/>
      <w:r w:rsidRPr="00BA5F6A">
        <w:rPr>
          <w:rFonts w:ascii="Arial" w:hAnsi="Arial" w:cs="Arial"/>
          <w:color w:val="000000"/>
          <w:sz w:val="18"/>
          <w:szCs w:val="18"/>
        </w:rPr>
        <w:t xml:space="preserve"> your financial condition. The high degree of leverage is often obtainable in commodity trading and can work against you as well as for you. The use of leverage can lead to large losses as well as gains.</w:t>
      </w:r>
    </w:p>
    <w:p w14:paraId="604312E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Opinions expressed are subject to change without notice and are not intended as investment advice or to predict future performance.</w:t>
      </w:r>
    </w:p>
    <w:p w14:paraId="0838774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Economic forecasts set forth may not develop as predicted and there can be no guarantee that strategies promoted will be successful.</w:t>
      </w:r>
    </w:p>
    <w:p w14:paraId="7945302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Past performance does not guarantee future results. Investing involves risk, including loss of principal.</w:t>
      </w:r>
    </w:p>
    <w:p w14:paraId="6E54C23F"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w:t>
      </w:r>
      <w:r w:rsidRPr="00BA5F6A">
        <w:rPr>
          <w:rStyle w:val="apple-converted-space"/>
          <w:rFonts w:ascii="Arial" w:hAnsi="Arial" w:cs="Arial"/>
          <w:color w:val="000000"/>
          <w:sz w:val="18"/>
          <w:szCs w:val="18"/>
        </w:rPr>
        <w:t> </w:t>
      </w:r>
      <w:r w:rsidRPr="00BA5F6A">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44ACDDC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36C3FA2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Asset allocation does not ensure a profit or protect against a loss.</w:t>
      </w:r>
    </w:p>
    <w:p w14:paraId="175F5C45"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lastRenderedPageBreak/>
        <w:t>* Consult your financial professional before making any investment decision.</w:t>
      </w:r>
    </w:p>
    <w:p w14:paraId="406370D9" w14:textId="29B569CD" w:rsidR="0056229A" w:rsidRPr="00233F17" w:rsidRDefault="0056229A" w:rsidP="0056229A">
      <w:pPr>
        <w:ind w:right="-36"/>
        <w:rPr>
          <w:rFonts w:ascii="Arial" w:hAnsi="Arial" w:cs="Arial"/>
          <w:sz w:val="18"/>
          <w:szCs w:val="18"/>
        </w:rPr>
      </w:pPr>
      <w:r w:rsidRPr="00BA5F6A">
        <w:rPr>
          <w:rFonts w:ascii="Arial" w:hAnsi="Arial" w:cs="Arial"/>
          <w:color w:val="000000"/>
          <w:sz w:val="18"/>
          <w:szCs w:val="18"/>
        </w:rPr>
        <w:t>* To unsubscribe from the</w:t>
      </w:r>
      <w:r w:rsidRPr="00BA5F6A">
        <w:rPr>
          <w:rStyle w:val="apple-converted-space"/>
          <w:rFonts w:ascii="Arial" w:hAnsi="Arial" w:cs="Arial"/>
          <w:color w:val="000000"/>
          <w:sz w:val="18"/>
          <w:szCs w:val="18"/>
        </w:rPr>
        <w:t> </w:t>
      </w:r>
      <w:r w:rsidR="00233F17" w:rsidRPr="00233F17">
        <w:rPr>
          <w:rFonts w:ascii="Arial" w:hAnsi="Arial" w:cs="Arial"/>
          <w:sz w:val="18"/>
          <w:szCs w:val="18"/>
        </w:rPr>
        <w:t xml:space="preserve">Market Commentary </w:t>
      </w:r>
      <w:r w:rsidRPr="00BA5F6A">
        <w:rPr>
          <w:rFonts w:ascii="Arial" w:hAnsi="Arial" w:cs="Arial"/>
          <w:color w:val="000000"/>
          <w:sz w:val="18"/>
          <w:szCs w:val="18"/>
        </w:rPr>
        <w:t>please</w:t>
      </w:r>
      <w:r w:rsidRPr="00BA5F6A">
        <w:rPr>
          <w:rStyle w:val="apple-converted-space"/>
          <w:rFonts w:ascii="Arial" w:hAnsi="Arial" w:cs="Arial"/>
          <w:color w:val="000000"/>
          <w:sz w:val="18"/>
          <w:szCs w:val="18"/>
        </w:rPr>
        <w:t> </w:t>
      </w:r>
      <w:r w:rsidRPr="00BA5F6A">
        <w:rPr>
          <w:rFonts w:ascii="Arial" w:hAnsi="Arial" w:cs="Arial"/>
          <w:color w:val="0000FF"/>
          <w:sz w:val="18"/>
          <w:szCs w:val="18"/>
          <w:u w:val="single"/>
        </w:rPr>
        <w:t>click here</w:t>
      </w:r>
      <w:r w:rsidRPr="00BA5F6A">
        <w:rPr>
          <w:rStyle w:val="apple-converted-space"/>
          <w:rFonts w:ascii="Arial" w:hAnsi="Arial" w:cs="Arial"/>
          <w:color w:val="000000"/>
          <w:sz w:val="18"/>
          <w:szCs w:val="18"/>
        </w:rPr>
        <w:t> </w:t>
      </w:r>
      <w:r w:rsidRPr="00BA5F6A">
        <w:rPr>
          <w:rFonts w:ascii="Arial" w:hAnsi="Arial" w:cs="Arial"/>
          <w:color w:val="000000"/>
          <w:sz w:val="18"/>
          <w:szCs w:val="18"/>
        </w:rPr>
        <w:t>or write us at</w:t>
      </w:r>
      <w:r w:rsidRPr="00BA5F6A">
        <w:rPr>
          <w:rStyle w:val="apple-converted-space"/>
          <w:rFonts w:ascii="Arial" w:hAnsi="Arial" w:cs="Arial"/>
          <w:color w:val="000000"/>
          <w:sz w:val="18"/>
          <w:szCs w:val="18"/>
        </w:rPr>
        <w:t> </w:t>
      </w:r>
      <w:r w:rsidR="00233F17" w:rsidRPr="00233F17">
        <w:rPr>
          <w:rFonts w:ascii="Arial" w:hAnsi="Arial" w:cs="Arial"/>
          <w:sz w:val="18"/>
          <w:szCs w:val="18"/>
        </w:rPr>
        <w:t>Team@MidwestMoneyManagement.com</w:t>
      </w:r>
    </w:p>
    <w:p w14:paraId="0AA454E9" w14:textId="77777777" w:rsidR="0056229A" w:rsidRPr="00B56857" w:rsidRDefault="0056229A" w:rsidP="0056229A">
      <w:pPr>
        <w:widowControl w:val="0"/>
        <w:adjustRightInd w:val="0"/>
        <w:ind w:right="-36"/>
        <w:rPr>
          <w:rFonts w:ascii="Arial" w:hAnsi="Arial" w:cs="Arial"/>
          <w:sz w:val="22"/>
          <w:szCs w:val="22"/>
        </w:rPr>
      </w:pPr>
    </w:p>
    <w:p w14:paraId="45989447" w14:textId="77777777" w:rsidR="009D0076" w:rsidRPr="00C420C2" w:rsidRDefault="009D0076" w:rsidP="009D0076">
      <w:pPr>
        <w:widowControl w:val="0"/>
        <w:adjustRightInd w:val="0"/>
        <w:ind w:right="-36"/>
        <w:rPr>
          <w:rStyle w:val="Hyperlink"/>
          <w:rFonts w:ascii="Arial" w:hAnsi="Arial" w:cs="Arial"/>
          <w:color w:val="auto"/>
          <w:sz w:val="18"/>
          <w:szCs w:val="18"/>
          <w:u w:val="none"/>
        </w:rPr>
      </w:pPr>
      <w:r w:rsidRPr="00BD3B42">
        <w:rPr>
          <w:rFonts w:ascii="Arial" w:hAnsi="Arial" w:cs="Arial"/>
          <w:sz w:val="18"/>
          <w:szCs w:val="18"/>
        </w:rPr>
        <w:t>Sources:</w:t>
      </w:r>
    </w:p>
    <w:p w14:paraId="097D4588" w14:textId="22AE7979" w:rsidR="009D0076" w:rsidRPr="00C420C2" w:rsidRDefault="00233F17" w:rsidP="009D0076">
      <w:pPr>
        <w:pStyle w:val="EndnoteText"/>
        <w:rPr>
          <w:rFonts w:ascii="Arial" w:hAnsi="Arial" w:cs="Arial"/>
          <w:sz w:val="18"/>
          <w:szCs w:val="18"/>
        </w:rPr>
      </w:pPr>
      <w:hyperlink r:id="rId5" w:history="1">
        <w:r w:rsidR="009D0076" w:rsidRPr="002D5543">
          <w:rPr>
            <w:rStyle w:val="Hyperlink"/>
            <w:rFonts w:ascii="Arial" w:hAnsi="Arial" w:cs="Arial"/>
            <w:sz w:val="18"/>
            <w:szCs w:val="18"/>
          </w:rPr>
          <w:t>https://www.barrons.com/articles/stock-market-earnings-season-inflation-51637374587?refsec=the-trader</w:t>
        </w:r>
      </w:hyperlink>
      <w:r w:rsidR="009D0076">
        <w:rPr>
          <w:rFonts w:ascii="Arial" w:hAnsi="Arial" w:cs="Arial"/>
          <w:sz w:val="18"/>
          <w:szCs w:val="18"/>
        </w:rPr>
        <w:t xml:space="preserve"> (</w:t>
      </w:r>
      <w:r w:rsidR="009D0076" w:rsidRPr="00C420C2">
        <w:rPr>
          <w:rFonts w:ascii="Arial" w:hAnsi="Arial" w:cs="Arial"/>
          <w:i/>
          <w:iCs/>
          <w:sz w:val="18"/>
          <w:szCs w:val="18"/>
        </w:rPr>
        <w:t>or go to</w:t>
      </w:r>
      <w:r w:rsidR="009D0076">
        <w:rPr>
          <w:rFonts w:ascii="Arial" w:hAnsi="Arial" w:cs="Arial"/>
          <w:sz w:val="18"/>
          <w:szCs w:val="18"/>
        </w:rPr>
        <w:t xml:space="preserve"> </w:t>
      </w:r>
      <w:hyperlink r:id="rId6" w:history="1">
        <w:r w:rsidR="009D0076" w:rsidRPr="002D5543">
          <w:rPr>
            <w:rStyle w:val="Hyperlink"/>
            <w:rFonts w:ascii="Arial" w:hAnsi="Arial" w:cs="Arial"/>
            <w:sz w:val="18"/>
            <w:szCs w:val="18"/>
          </w:rPr>
          <w:t>https://resources.carsongroup.com/hubfs/WMC-Source/2021/11-22-21_Barrons_Stocks%20Are%20Up%208%20%25%20Since%20Earnings%20Season%20Started_1.pdf</w:t>
        </w:r>
      </w:hyperlink>
      <w:r w:rsidR="009D0076">
        <w:rPr>
          <w:rFonts w:ascii="Arial" w:hAnsi="Arial" w:cs="Arial"/>
          <w:sz w:val="18"/>
          <w:szCs w:val="18"/>
        </w:rPr>
        <w:t>)</w:t>
      </w:r>
    </w:p>
    <w:p w14:paraId="25E12ECD" w14:textId="390C29DB" w:rsidR="009D0076" w:rsidRPr="00C420C2" w:rsidRDefault="00233F17" w:rsidP="009D0076">
      <w:pPr>
        <w:pStyle w:val="EndnoteText"/>
        <w:rPr>
          <w:rFonts w:ascii="Arial" w:hAnsi="Arial" w:cs="Arial"/>
          <w:sz w:val="18"/>
          <w:szCs w:val="18"/>
        </w:rPr>
      </w:pPr>
      <w:hyperlink r:id="rId7" w:history="1">
        <w:r w:rsidR="009D0076" w:rsidRPr="002D5543">
          <w:rPr>
            <w:rStyle w:val="Hyperlink"/>
            <w:rFonts w:ascii="Arial" w:hAnsi="Arial" w:cs="Arial"/>
            <w:sz w:val="18"/>
            <w:szCs w:val="18"/>
          </w:rPr>
          <w:t>http://www.sca.isr.umich.edu</w:t>
        </w:r>
      </w:hyperlink>
      <w:r w:rsidR="009D0076">
        <w:rPr>
          <w:rFonts w:ascii="Arial" w:hAnsi="Arial" w:cs="Arial"/>
          <w:sz w:val="18"/>
          <w:szCs w:val="18"/>
        </w:rPr>
        <w:t xml:space="preserve"> (</w:t>
      </w:r>
      <w:r w:rsidR="009D0076" w:rsidRPr="00C420C2">
        <w:rPr>
          <w:rFonts w:ascii="Arial" w:hAnsi="Arial" w:cs="Arial"/>
          <w:i/>
          <w:iCs/>
          <w:sz w:val="18"/>
          <w:szCs w:val="18"/>
        </w:rPr>
        <w:t>or go to</w:t>
      </w:r>
      <w:r w:rsidR="009D0076">
        <w:rPr>
          <w:rFonts w:ascii="Arial" w:hAnsi="Arial" w:cs="Arial"/>
          <w:sz w:val="18"/>
          <w:szCs w:val="18"/>
        </w:rPr>
        <w:t xml:space="preserve"> </w:t>
      </w:r>
      <w:hyperlink r:id="rId8" w:history="1">
        <w:r w:rsidR="009D0076" w:rsidRPr="002D5543">
          <w:rPr>
            <w:rStyle w:val="Hyperlink"/>
            <w:rFonts w:ascii="Arial" w:hAnsi="Arial" w:cs="Arial"/>
            <w:sz w:val="18"/>
            <w:szCs w:val="18"/>
          </w:rPr>
          <w:t>https://resources.carsongroup.com/hubfs/WMC-Source/2021/11-22-21_Surveys%20of%20Consumers_2.pdf</w:t>
        </w:r>
      </w:hyperlink>
      <w:r w:rsidR="009D0076">
        <w:rPr>
          <w:rFonts w:ascii="Arial" w:hAnsi="Arial" w:cs="Arial"/>
          <w:sz w:val="18"/>
          <w:szCs w:val="18"/>
        </w:rPr>
        <w:t xml:space="preserve">) </w:t>
      </w:r>
    </w:p>
    <w:p w14:paraId="4ACD3162" w14:textId="2DA89FEE" w:rsidR="009D0076" w:rsidRDefault="00233F17" w:rsidP="009D0076">
      <w:pPr>
        <w:pStyle w:val="EndnoteText"/>
        <w:rPr>
          <w:rFonts w:ascii="Arial" w:hAnsi="Arial" w:cs="Arial"/>
          <w:sz w:val="18"/>
          <w:szCs w:val="18"/>
        </w:rPr>
      </w:pPr>
      <w:hyperlink r:id="rId9" w:history="1">
        <w:r w:rsidR="009D0076" w:rsidRPr="002D5543">
          <w:rPr>
            <w:rStyle w:val="Hyperlink"/>
            <w:rFonts w:ascii="Arial" w:hAnsi="Arial" w:cs="Arial"/>
            <w:sz w:val="18"/>
            <w:szCs w:val="18"/>
          </w:rPr>
          <w:t>https://www.cnbc.com/2021/11/16/retail-sales-rise-faster-than-expected-in-october-even-as-inflation-pushes-prices-higher.html</w:t>
        </w:r>
      </w:hyperlink>
    </w:p>
    <w:p w14:paraId="3CEC5E4F" w14:textId="55C625E5" w:rsidR="009D0076" w:rsidRDefault="00233F17" w:rsidP="009D0076">
      <w:pPr>
        <w:pStyle w:val="EndnoteText"/>
        <w:rPr>
          <w:rFonts w:ascii="Arial" w:hAnsi="Arial" w:cs="Arial"/>
          <w:sz w:val="18"/>
          <w:szCs w:val="18"/>
        </w:rPr>
      </w:pPr>
      <w:hyperlink r:id="rId10" w:history="1">
        <w:r w:rsidR="009D0076" w:rsidRPr="002D5543">
          <w:rPr>
            <w:rStyle w:val="Hyperlink"/>
            <w:rFonts w:ascii="Arial" w:hAnsi="Arial" w:cs="Arial"/>
            <w:sz w:val="18"/>
            <w:szCs w:val="18"/>
          </w:rPr>
          <w:t>https://insight.factset.com/earnings-insight-q3-21-by-the-numbers-infographic</w:t>
        </w:r>
      </w:hyperlink>
    </w:p>
    <w:p w14:paraId="52EAD124" w14:textId="29AC65B2" w:rsidR="009D0076" w:rsidRDefault="00233F17" w:rsidP="009D0076">
      <w:pPr>
        <w:pStyle w:val="EndnoteText"/>
        <w:rPr>
          <w:rFonts w:ascii="Arial" w:hAnsi="Arial" w:cs="Arial"/>
          <w:sz w:val="18"/>
          <w:szCs w:val="18"/>
        </w:rPr>
      </w:pPr>
      <w:hyperlink r:id="rId11" w:history="1">
        <w:r w:rsidR="009D0076" w:rsidRPr="002D5543">
          <w:rPr>
            <w:rStyle w:val="Hyperlink"/>
            <w:rFonts w:ascii="Arial" w:hAnsi="Arial" w:cs="Arial"/>
            <w:sz w:val="18"/>
            <w:szCs w:val="18"/>
          </w:rPr>
          <w:t>https://insight.factset.com/highest-number-of-sp-500-cos.-citing-supply-chain-on-q3-earnings-calls-in-over-10-years</w:t>
        </w:r>
      </w:hyperlink>
    </w:p>
    <w:p w14:paraId="1566471E" w14:textId="584351F7" w:rsidR="009D0076" w:rsidRDefault="00233F17" w:rsidP="009D0076">
      <w:pPr>
        <w:pStyle w:val="EndnoteText"/>
        <w:rPr>
          <w:rFonts w:ascii="Arial" w:hAnsi="Arial" w:cs="Arial"/>
          <w:sz w:val="18"/>
          <w:szCs w:val="18"/>
        </w:rPr>
      </w:pPr>
      <w:hyperlink r:id="rId12" w:history="1">
        <w:r w:rsidR="009D0076" w:rsidRPr="002D5543">
          <w:rPr>
            <w:rStyle w:val="Hyperlink"/>
            <w:rFonts w:ascii="Arial" w:hAnsi="Arial" w:cs="Arial"/>
            <w:sz w:val="18"/>
            <w:szCs w:val="18"/>
          </w:rPr>
          <w:t>https://www.barrons.com/articles/oil-prices-drop-on-bearish-supply-and-demand-signals-51637336738</w:t>
        </w:r>
      </w:hyperlink>
      <w:r w:rsidR="009D0076">
        <w:rPr>
          <w:rFonts w:ascii="Arial" w:hAnsi="Arial" w:cs="Arial"/>
          <w:sz w:val="18"/>
          <w:szCs w:val="18"/>
        </w:rPr>
        <w:t xml:space="preserve"> (</w:t>
      </w:r>
      <w:r w:rsidR="009D0076" w:rsidRPr="00C420C2">
        <w:rPr>
          <w:rFonts w:ascii="Arial" w:hAnsi="Arial" w:cs="Arial"/>
          <w:i/>
          <w:iCs/>
          <w:sz w:val="18"/>
          <w:szCs w:val="18"/>
        </w:rPr>
        <w:t xml:space="preserve">or go to </w:t>
      </w:r>
      <w:hyperlink r:id="rId13" w:history="1">
        <w:r w:rsidR="009D0076" w:rsidRPr="002D5543">
          <w:rPr>
            <w:rStyle w:val="Hyperlink"/>
            <w:rFonts w:ascii="Arial" w:hAnsi="Arial" w:cs="Arial"/>
            <w:sz w:val="18"/>
            <w:szCs w:val="18"/>
          </w:rPr>
          <w:t>https://resources.carsongroup.com/hubfs/WMC-Source/2021/11-22-21_Barrons_Oil%20Prices%20Drop%20on%20Bearish%20Supply%20and%20Demand%20Signals_6.pdf</w:t>
        </w:r>
      </w:hyperlink>
      <w:r w:rsidR="009D0076">
        <w:rPr>
          <w:rFonts w:ascii="Arial" w:hAnsi="Arial" w:cs="Arial"/>
          <w:sz w:val="18"/>
          <w:szCs w:val="18"/>
        </w:rPr>
        <w:t xml:space="preserve">) </w:t>
      </w:r>
    </w:p>
    <w:p w14:paraId="0FC3191A" w14:textId="411EDE4F" w:rsidR="009D0076" w:rsidRDefault="00233F17" w:rsidP="009D0076">
      <w:pPr>
        <w:pStyle w:val="EndnoteText"/>
        <w:rPr>
          <w:rFonts w:ascii="Arial" w:hAnsi="Arial" w:cs="Arial"/>
          <w:sz w:val="18"/>
          <w:szCs w:val="18"/>
        </w:rPr>
      </w:pPr>
      <w:hyperlink r:id="rId14" w:history="1">
        <w:r w:rsidR="009D0076" w:rsidRPr="002D5543">
          <w:rPr>
            <w:rStyle w:val="Hyperlink"/>
            <w:rFonts w:ascii="Arial" w:hAnsi="Arial" w:cs="Arial"/>
            <w:sz w:val="18"/>
            <w:szCs w:val="18"/>
          </w:rPr>
          <w:t>https://www.eia.gov/energyexplained/gasoline/factors-affecting-gasoline-prices.php</w:t>
        </w:r>
      </w:hyperlink>
    </w:p>
    <w:p w14:paraId="4AA6ADB2" w14:textId="6A6F0BA6" w:rsidR="009D0076" w:rsidRDefault="00233F17" w:rsidP="009D0076">
      <w:pPr>
        <w:pStyle w:val="EndnoteText"/>
        <w:rPr>
          <w:rFonts w:ascii="Arial" w:hAnsi="Arial" w:cs="Arial"/>
          <w:sz w:val="18"/>
          <w:szCs w:val="18"/>
        </w:rPr>
      </w:pPr>
      <w:hyperlink r:id="rId15" w:history="1">
        <w:r w:rsidR="009D0076" w:rsidRPr="002D5543">
          <w:rPr>
            <w:rStyle w:val="Hyperlink"/>
            <w:rFonts w:ascii="Arial" w:hAnsi="Arial" w:cs="Arial"/>
            <w:sz w:val="18"/>
            <w:szCs w:val="18"/>
          </w:rPr>
          <w:t>https://www.treasury.gov/resource-center/data-chart-center/interest-rates/pages/textview.aspx?data=yield</w:t>
        </w:r>
      </w:hyperlink>
    </w:p>
    <w:p w14:paraId="186F4D15" w14:textId="75B2E102" w:rsidR="001B3553" w:rsidRPr="001B3553" w:rsidRDefault="00233F17" w:rsidP="009D0076">
      <w:pPr>
        <w:pStyle w:val="EndnoteText"/>
        <w:rPr>
          <w:rStyle w:val="Hyperlink"/>
        </w:rPr>
      </w:pPr>
      <w:hyperlink r:id="rId16" w:history="1">
        <w:r w:rsidR="001B3553" w:rsidRPr="001B3553">
          <w:rPr>
            <w:rStyle w:val="Hyperlink"/>
            <w:rFonts w:ascii="Arial" w:hAnsi="Arial" w:cs="Arial"/>
            <w:sz w:val="18"/>
            <w:szCs w:val="18"/>
          </w:rPr>
          <w:t>https://www.natlawreview.com/article/biden-signs-largest-climate-and-resiliency-infrastructure-bill-us-history</w:t>
        </w:r>
      </w:hyperlink>
    </w:p>
    <w:p w14:paraId="155B1980" w14:textId="06417698" w:rsidR="009D0076" w:rsidRDefault="00233F17" w:rsidP="009D0076">
      <w:pPr>
        <w:pStyle w:val="EndnoteText"/>
        <w:rPr>
          <w:rFonts w:ascii="Arial" w:hAnsi="Arial" w:cs="Arial"/>
          <w:sz w:val="18"/>
          <w:szCs w:val="18"/>
        </w:rPr>
      </w:pPr>
      <w:hyperlink r:id="rId17" w:history="1">
        <w:r w:rsidR="009D0076" w:rsidRPr="002D5543">
          <w:rPr>
            <w:rStyle w:val="Hyperlink"/>
            <w:rFonts w:ascii="Arial" w:hAnsi="Arial" w:cs="Arial"/>
            <w:sz w:val="18"/>
            <w:szCs w:val="18"/>
          </w:rPr>
          <w:t>https://www.cnbc.com/2021/11/19/house-passes-build-back-better-act-what-happens-next-in-the-senate.html</w:t>
        </w:r>
      </w:hyperlink>
    </w:p>
    <w:p w14:paraId="62EE10C0" w14:textId="7B950776" w:rsidR="009D0076" w:rsidRDefault="00233F17" w:rsidP="009D0076">
      <w:pPr>
        <w:pStyle w:val="EndnoteText"/>
        <w:rPr>
          <w:rFonts w:ascii="Arial" w:hAnsi="Arial" w:cs="Arial"/>
          <w:sz w:val="18"/>
          <w:szCs w:val="18"/>
        </w:rPr>
      </w:pPr>
      <w:hyperlink r:id="rId18" w:history="1">
        <w:r w:rsidR="009D0076" w:rsidRPr="002D5543">
          <w:rPr>
            <w:rStyle w:val="Hyperlink"/>
            <w:rFonts w:ascii="Arial" w:hAnsi="Arial" w:cs="Arial"/>
            <w:sz w:val="18"/>
            <w:szCs w:val="18"/>
          </w:rPr>
          <w:t>https://www.moodysanalytics.com/-/media/article/2021/macroeconomic-consequences-infrastructure.pdf</w:t>
        </w:r>
      </w:hyperlink>
    </w:p>
    <w:p w14:paraId="62057A01" w14:textId="32081832" w:rsidR="009D0076" w:rsidRDefault="00233F17" w:rsidP="009D0076">
      <w:pPr>
        <w:pStyle w:val="EndnoteText"/>
        <w:rPr>
          <w:rFonts w:ascii="Arial" w:hAnsi="Arial" w:cs="Arial"/>
          <w:sz w:val="18"/>
          <w:szCs w:val="18"/>
        </w:rPr>
      </w:pPr>
      <w:hyperlink r:id="rId19" w:history="1">
        <w:r w:rsidR="009D0076" w:rsidRPr="002D5543">
          <w:rPr>
            <w:rStyle w:val="Hyperlink"/>
            <w:rFonts w:ascii="Arial" w:hAnsi="Arial" w:cs="Arial"/>
            <w:sz w:val="18"/>
            <w:szCs w:val="18"/>
          </w:rPr>
          <w:t>https://www.aei.org/economics/the-limits-of-infrastructure-spending-to-boost-economic-growth/</w:t>
        </w:r>
      </w:hyperlink>
    </w:p>
    <w:p w14:paraId="0726538E" w14:textId="0270876D" w:rsidR="009D0076" w:rsidRPr="00C420C2" w:rsidRDefault="00233F17" w:rsidP="009D0076">
      <w:pPr>
        <w:pStyle w:val="EndnoteText"/>
        <w:rPr>
          <w:rFonts w:ascii="Arial" w:hAnsi="Arial" w:cs="Arial"/>
          <w:sz w:val="18"/>
          <w:szCs w:val="18"/>
        </w:rPr>
      </w:pPr>
      <w:hyperlink r:id="rId20" w:history="1">
        <w:r w:rsidR="009D0076" w:rsidRPr="002D5543">
          <w:rPr>
            <w:rStyle w:val="Hyperlink"/>
            <w:rFonts w:ascii="Arial" w:hAnsi="Arial" w:cs="Arial"/>
            <w:sz w:val="18"/>
            <w:szCs w:val="18"/>
          </w:rPr>
          <w:t>https://www.economist.com/finance-and-economics/2021/04/29/what-an-infrastructure-bonanza-could-mean-for-americas-economy</w:t>
        </w:r>
      </w:hyperlink>
      <w:r w:rsidR="009D0076">
        <w:rPr>
          <w:rFonts w:ascii="Arial" w:hAnsi="Arial" w:cs="Arial"/>
          <w:sz w:val="18"/>
          <w:szCs w:val="18"/>
        </w:rPr>
        <w:t xml:space="preserve"> (</w:t>
      </w:r>
      <w:r w:rsidR="009D0076" w:rsidRPr="00C420C2">
        <w:rPr>
          <w:rFonts w:ascii="Arial" w:hAnsi="Arial" w:cs="Arial"/>
          <w:i/>
          <w:iCs/>
          <w:sz w:val="18"/>
          <w:szCs w:val="18"/>
        </w:rPr>
        <w:t>or go to</w:t>
      </w:r>
      <w:r w:rsidR="009D0076">
        <w:rPr>
          <w:rFonts w:ascii="Arial" w:hAnsi="Arial" w:cs="Arial"/>
          <w:sz w:val="18"/>
          <w:szCs w:val="18"/>
        </w:rPr>
        <w:t xml:space="preserve"> </w:t>
      </w:r>
      <w:hyperlink r:id="rId21" w:history="1">
        <w:r w:rsidR="009D0076" w:rsidRPr="002D5543">
          <w:rPr>
            <w:rStyle w:val="Hyperlink"/>
            <w:rFonts w:ascii="Arial" w:hAnsi="Arial" w:cs="Arial"/>
            <w:sz w:val="18"/>
            <w:szCs w:val="18"/>
          </w:rPr>
          <w:t>https://resources.carsongroup.com/hubfs/WMC-Source/2021/11-22-21_The%20Economist_What%20an%20Infrastructure%20Bonanza%20Could%20Mean%20for%20Americas%20Economy_13.pdf</w:t>
        </w:r>
      </w:hyperlink>
      <w:r w:rsidR="009D0076">
        <w:rPr>
          <w:rFonts w:ascii="Arial" w:hAnsi="Arial" w:cs="Arial"/>
          <w:sz w:val="18"/>
          <w:szCs w:val="18"/>
        </w:rPr>
        <w:t xml:space="preserve">) </w:t>
      </w:r>
    </w:p>
    <w:p w14:paraId="6460243C" w14:textId="651219B1" w:rsidR="009D0076" w:rsidRDefault="00233F17" w:rsidP="009D0076">
      <w:pPr>
        <w:pStyle w:val="EndnoteText"/>
        <w:rPr>
          <w:rFonts w:ascii="Arial" w:hAnsi="Arial" w:cs="Arial"/>
          <w:sz w:val="18"/>
          <w:szCs w:val="18"/>
        </w:rPr>
      </w:pPr>
      <w:hyperlink r:id="rId22" w:history="1">
        <w:r w:rsidR="009D0076" w:rsidRPr="002D5543">
          <w:rPr>
            <w:rStyle w:val="Hyperlink"/>
            <w:rFonts w:ascii="Arial" w:hAnsi="Arial" w:cs="Arial"/>
            <w:sz w:val="18"/>
            <w:szCs w:val="18"/>
          </w:rPr>
          <w:t>https://www.brookings.edu/research/how-federal-infrastructure-investment-can-put-america-to-work/</w:t>
        </w:r>
      </w:hyperlink>
    </w:p>
    <w:p w14:paraId="575AEDBC" w14:textId="394BB611" w:rsidR="009D0076" w:rsidRPr="00C420C2" w:rsidRDefault="00233F17" w:rsidP="009D0076">
      <w:pPr>
        <w:pStyle w:val="EndnoteText"/>
        <w:rPr>
          <w:rFonts w:ascii="Arial" w:hAnsi="Arial" w:cs="Arial"/>
          <w:sz w:val="18"/>
          <w:szCs w:val="18"/>
        </w:rPr>
      </w:pPr>
      <w:hyperlink r:id="rId23" w:history="1">
        <w:r w:rsidR="009D0076" w:rsidRPr="00C420C2">
          <w:rPr>
            <w:rStyle w:val="Hyperlink"/>
            <w:rFonts w:ascii="Arial" w:hAnsi="Arial" w:cs="Arial"/>
            <w:sz w:val="18"/>
            <w:szCs w:val="18"/>
          </w:rPr>
          <w:t>https://www.jdsupra.com/legalnews/infrastructure-investment-and-jobs-act-2678111/</w:t>
        </w:r>
      </w:hyperlink>
    </w:p>
    <w:p w14:paraId="565F1A44" w14:textId="50FDF278" w:rsidR="009D0076" w:rsidRDefault="00233F17" w:rsidP="009D0076">
      <w:pPr>
        <w:pStyle w:val="EndnoteText"/>
        <w:rPr>
          <w:rFonts w:ascii="Arial" w:hAnsi="Arial" w:cs="Arial"/>
          <w:sz w:val="18"/>
          <w:szCs w:val="18"/>
        </w:rPr>
      </w:pPr>
      <w:hyperlink r:id="rId24" w:history="1">
        <w:r w:rsidR="009D0076" w:rsidRPr="002D5543">
          <w:rPr>
            <w:rStyle w:val="Hyperlink"/>
            <w:rFonts w:ascii="Arial" w:hAnsi="Arial" w:cs="Arial"/>
            <w:sz w:val="18"/>
            <w:szCs w:val="18"/>
          </w:rPr>
          <w:t>https://www.cbo.gov/publication/57406</w:t>
        </w:r>
      </w:hyperlink>
    </w:p>
    <w:p w14:paraId="197F7BCC" w14:textId="67E18025" w:rsidR="009D0076" w:rsidRDefault="00233F17" w:rsidP="009D0076">
      <w:pPr>
        <w:pStyle w:val="EndnoteText"/>
        <w:rPr>
          <w:rFonts w:ascii="Arial" w:hAnsi="Arial" w:cs="Arial"/>
          <w:sz w:val="18"/>
          <w:szCs w:val="18"/>
        </w:rPr>
      </w:pPr>
      <w:hyperlink r:id="rId25" w:history="1">
        <w:r w:rsidR="009D0076" w:rsidRPr="002D5543">
          <w:rPr>
            <w:rStyle w:val="Hyperlink"/>
            <w:rFonts w:ascii="Arial" w:hAnsi="Arial" w:cs="Arial"/>
            <w:sz w:val="18"/>
            <w:szCs w:val="18"/>
          </w:rPr>
          <w:t>https://www.thebalance.com/who-owns-the-u-s-national-debt-3306124</w:t>
        </w:r>
      </w:hyperlink>
    </w:p>
    <w:p w14:paraId="4ABCF376" w14:textId="77777777" w:rsidR="009D0076" w:rsidRPr="00C420C2" w:rsidRDefault="009D0076" w:rsidP="009D0076">
      <w:pPr>
        <w:pStyle w:val="EndnoteText"/>
        <w:rPr>
          <w:rFonts w:ascii="Arial" w:hAnsi="Arial" w:cs="Arial"/>
          <w:sz w:val="18"/>
          <w:szCs w:val="18"/>
        </w:rPr>
      </w:pPr>
    </w:p>
    <w:p w14:paraId="36F5ED4D" w14:textId="77777777" w:rsidR="00E73228" w:rsidRPr="00F47B85" w:rsidRDefault="00E73228" w:rsidP="00E73228">
      <w:pPr>
        <w:rPr>
          <w:rStyle w:val="Hyperlink"/>
          <w:rFonts w:ascii="Arial" w:hAnsi="Arial" w:cs="Arial"/>
          <w:color w:val="auto"/>
          <w:sz w:val="18"/>
          <w:szCs w:val="18"/>
          <w:u w:val="none"/>
        </w:rPr>
      </w:pPr>
    </w:p>
    <w:p w14:paraId="139D7206" w14:textId="77777777" w:rsidR="00E73228" w:rsidRPr="00F47B85" w:rsidRDefault="00E73228" w:rsidP="00E73228">
      <w:pPr>
        <w:rPr>
          <w:rStyle w:val="Hyperlink"/>
          <w:rFonts w:ascii="Arial" w:hAnsi="Arial" w:cs="Arial"/>
          <w:color w:val="auto"/>
          <w:sz w:val="18"/>
          <w:szCs w:val="18"/>
          <w:u w:val="none"/>
        </w:rPr>
      </w:pPr>
    </w:p>
    <w:p w14:paraId="1A2C1BDC" w14:textId="77777777" w:rsidR="00E73228" w:rsidRPr="00F47B85" w:rsidRDefault="00E73228" w:rsidP="00E73228">
      <w:pPr>
        <w:pStyle w:val="EndnoteText"/>
        <w:rPr>
          <w:rStyle w:val="Hyperlink"/>
          <w:rFonts w:ascii="Arial" w:hAnsi="Arial" w:cs="Arial"/>
          <w:color w:val="auto"/>
          <w:sz w:val="18"/>
          <w:szCs w:val="18"/>
          <w:u w:val="none"/>
        </w:rPr>
      </w:pPr>
    </w:p>
    <w:p w14:paraId="66C2295B" w14:textId="35F8E78D" w:rsidR="00441CE6" w:rsidRPr="0056229A" w:rsidRDefault="00441CE6" w:rsidP="00E73228">
      <w:pPr>
        <w:widowControl w:val="0"/>
        <w:adjustRightInd w:val="0"/>
        <w:ind w:right="-36"/>
      </w:pPr>
    </w:p>
    <w:sectPr w:rsidR="00441CE6" w:rsidRPr="0056229A" w:rsidSect="00A616C5">
      <w:endnotePr>
        <w:numFmt w:val="decimal"/>
      </w:endnotePr>
      <w:pgSz w:w="12240" w:h="15840" w:code="1"/>
      <w:pgMar w:top="1440" w:right="72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409"/>
    <w:multiLevelType w:val="hybridMultilevel"/>
    <w:tmpl w:val="0612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F2DF4"/>
    <w:multiLevelType w:val="hybridMultilevel"/>
    <w:tmpl w:val="2D08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E3FB5"/>
    <w:multiLevelType w:val="hybridMultilevel"/>
    <w:tmpl w:val="978E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B0250"/>
    <w:multiLevelType w:val="hybridMultilevel"/>
    <w:tmpl w:val="950A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5192B"/>
    <w:multiLevelType w:val="hybridMultilevel"/>
    <w:tmpl w:val="73E20A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966AA8"/>
    <w:multiLevelType w:val="hybridMultilevel"/>
    <w:tmpl w:val="FCB0A0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97722"/>
    <w:multiLevelType w:val="hybridMultilevel"/>
    <w:tmpl w:val="EF1A6350"/>
    <w:lvl w:ilvl="0" w:tplc="D7CE7EB2">
      <w:start w:val="1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F45E7"/>
    <w:multiLevelType w:val="hybridMultilevel"/>
    <w:tmpl w:val="C8BE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B29B6"/>
    <w:multiLevelType w:val="hybridMultilevel"/>
    <w:tmpl w:val="BBC63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0B6AB5"/>
    <w:multiLevelType w:val="hybridMultilevel"/>
    <w:tmpl w:val="C37E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7E6DAA"/>
    <w:multiLevelType w:val="hybridMultilevel"/>
    <w:tmpl w:val="9F0A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416EE"/>
    <w:multiLevelType w:val="hybridMultilevel"/>
    <w:tmpl w:val="953ED84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2" w15:restartNumberingAfterBreak="0">
    <w:nsid w:val="28673D32"/>
    <w:multiLevelType w:val="hybridMultilevel"/>
    <w:tmpl w:val="ED40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30E24"/>
    <w:multiLevelType w:val="hybridMultilevel"/>
    <w:tmpl w:val="44F0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C370E6"/>
    <w:multiLevelType w:val="hybridMultilevel"/>
    <w:tmpl w:val="09BC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453B1A"/>
    <w:multiLevelType w:val="hybridMultilevel"/>
    <w:tmpl w:val="21F6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026115"/>
    <w:multiLevelType w:val="hybridMultilevel"/>
    <w:tmpl w:val="3A74E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972C56"/>
    <w:multiLevelType w:val="hybridMultilevel"/>
    <w:tmpl w:val="1D70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B82E5B"/>
    <w:multiLevelType w:val="hybridMultilevel"/>
    <w:tmpl w:val="183E5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9130D2"/>
    <w:multiLevelType w:val="hybridMultilevel"/>
    <w:tmpl w:val="30DC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F47A02"/>
    <w:multiLevelType w:val="hybridMultilevel"/>
    <w:tmpl w:val="E90AD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90C0D5D"/>
    <w:multiLevelType w:val="hybridMultilevel"/>
    <w:tmpl w:val="873A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CF3A65"/>
    <w:multiLevelType w:val="hybridMultilevel"/>
    <w:tmpl w:val="DE6A2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DD723B"/>
    <w:multiLevelType w:val="hybridMultilevel"/>
    <w:tmpl w:val="3888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992665"/>
    <w:multiLevelType w:val="hybridMultilevel"/>
    <w:tmpl w:val="44F25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81734D"/>
    <w:multiLevelType w:val="hybridMultilevel"/>
    <w:tmpl w:val="3BC0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955C04"/>
    <w:multiLevelType w:val="hybridMultilevel"/>
    <w:tmpl w:val="AF98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5B0DB2"/>
    <w:multiLevelType w:val="hybridMultilevel"/>
    <w:tmpl w:val="3822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AD4DCB"/>
    <w:multiLevelType w:val="hybridMultilevel"/>
    <w:tmpl w:val="7A42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733DC4"/>
    <w:multiLevelType w:val="hybridMultilevel"/>
    <w:tmpl w:val="AA32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F7A96"/>
    <w:multiLevelType w:val="hybridMultilevel"/>
    <w:tmpl w:val="4C96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EE3F56"/>
    <w:multiLevelType w:val="hybridMultilevel"/>
    <w:tmpl w:val="F990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60D9C"/>
    <w:multiLevelType w:val="hybridMultilevel"/>
    <w:tmpl w:val="4532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CE675B"/>
    <w:multiLevelType w:val="hybridMultilevel"/>
    <w:tmpl w:val="9EBAD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D737C0"/>
    <w:multiLevelType w:val="hybridMultilevel"/>
    <w:tmpl w:val="DE0C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50230E"/>
    <w:multiLevelType w:val="hybridMultilevel"/>
    <w:tmpl w:val="0880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837AF3"/>
    <w:multiLevelType w:val="hybridMultilevel"/>
    <w:tmpl w:val="0A46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C0135D"/>
    <w:multiLevelType w:val="hybridMultilevel"/>
    <w:tmpl w:val="EA46420A"/>
    <w:lvl w:ilvl="0" w:tplc="B5DA1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D17296"/>
    <w:multiLevelType w:val="hybridMultilevel"/>
    <w:tmpl w:val="56C2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4F4729"/>
    <w:multiLevelType w:val="hybridMultilevel"/>
    <w:tmpl w:val="5E1E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A0747C"/>
    <w:multiLevelType w:val="hybridMultilevel"/>
    <w:tmpl w:val="3A56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26"/>
  </w:num>
  <w:num w:numId="5">
    <w:abstractNumId w:val="27"/>
  </w:num>
  <w:num w:numId="6">
    <w:abstractNumId w:val="15"/>
  </w:num>
  <w:num w:numId="7">
    <w:abstractNumId w:val="11"/>
  </w:num>
  <w:num w:numId="8">
    <w:abstractNumId w:val="17"/>
  </w:num>
  <w:num w:numId="9">
    <w:abstractNumId w:val="6"/>
  </w:num>
  <w:num w:numId="10">
    <w:abstractNumId w:val="8"/>
  </w:num>
  <w:num w:numId="11">
    <w:abstractNumId w:val="39"/>
  </w:num>
  <w:num w:numId="12">
    <w:abstractNumId w:val="36"/>
  </w:num>
  <w:num w:numId="13">
    <w:abstractNumId w:val="9"/>
  </w:num>
  <w:num w:numId="14">
    <w:abstractNumId w:val="34"/>
  </w:num>
  <w:num w:numId="15">
    <w:abstractNumId w:val="40"/>
  </w:num>
  <w:num w:numId="16">
    <w:abstractNumId w:val="30"/>
  </w:num>
  <w:num w:numId="17">
    <w:abstractNumId w:val="20"/>
  </w:num>
  <w:num w:numId="18">
    <w:abstractNumId w:val="0"/>
  </w:num>
  <w:num w:numId="19">
    <w:abstractNumId w:val="10"/>
  </w:num>
  <w:num w:numId="20">
    <w:abstractNumId w:val="38"/>
  </w:num>
  <w:num w:numId="21">
    <w:abstractNumId w:val="14"/>
  </w:num>
  <w:num w:numId="22">
    <w:abstractNumId w:val="3"/>
  </w:num>
  <w:num w:numId="23">
    <w:abstractNumId w:val="32"/>
  </w:num>
  <w:num w:numId="24">
    <w:abstractNumId w:val="24"/>
  </w:num>
  <w:num w:numId="25">
    <w:abstractNumId w:val="31"/>
  </w:num>
  <w:num w:numId="26">
    <w:abstractNumId w:val="29"/>
  </w:num>
  <w:num w:numId="27">
    <w:abstractNumId w:val="33"/>
  </w:num>
  <w:num w:numId="28">
    <w:abstractNumId w:val="37"/>
  </w:num>
  <w:num w:numId="29">
    <w:abstractNumId w:val="12"/>
  </w:num>
  <w:num w:numId="30">
    <w:abstractNumId w:val="22"/>
  </w:num>
  <w:num w:numId="31">
    <w:abstractNumId w:val="16"/>
  </w:num>
  <w:num w:numId="32">
    <w:abstractNumId w:val="21"/>
  </w:num>
  <w:num w:numId="33">
    <w:abstractNumId w:val="19"/>
  </w:num>
  <w:num w:numId="34">
    <w:abstractNumId w:val="25"/>
  </w:num>
  <w:num w:numId="35">
    <w:abstractNumId w:val="28"/>
  </w:num>
  <w:num w:numId="36">
    <w:abstractNumId w:val="18"/>
  </w:num>
  <w:num w:numId="37">
    <w:abstractNumId w:val="23"/>
  </w:num>
  <w:num w:numId="38">
    <w:abstractNumId w:val="13"/>
  </w:num>
  <w:num w:numId="39">
    <w:abstractNumId w:val="35"/>
  </w:num>
  <w:num w:numId="40">
    <w:abstractNumId w:val="7"/>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3"/>
    <w:rsid w:val="000018DF"/>
    <w:rsid w:val="00002E5E"/>
    <w:rsid w:val="00003BD6"/>
    <w:rsid w:val="00005B39"/>
    <w:rsid w:val="00007ADD"/>
    <w:rsid w:val="000114D0"/>
    <w:rsid w:val="00011CF5"/>
    <w:rsid w:val="0001304E"/>
    <w:rsid w:val="000131D2"/>
    <w:rsid w:val="00020660"/>
    <w:rsid w:val="0002429D"/>
    <w:rsid w:val="00027925"/>
    <w:rsid w:val="00037A48"/>
    <w:rsid w:val="00040355"/>
    <w:rsid w:val="0004692A"/>
    <w:rsid w:val="00046C29"/>
    <w:rsid w:val="00047E7A"/>
    <w:rsid w:val="0005391E"/>
    <w:rsid w:val="00070F0D"/>
    <w:rsid w:val="000714AC"/>
    <w:rsid w:val="00076A1B"/>
    <w:rsid w:val="000823C5"/>
    <w:rsid w:val="000904E6"/>
    <w:rsid w:val="00091995"/>
    <w:rsid w:val="000A2F00"/>
    <w:rsid w:val="000A4F61"/>
    <w:rsid w:val="000A7C39"/>
    <w:rsid w:val="000B2434"/>
    <w:rsid w:val="000B3CA3"/>
    <w:rsid w:val="000B4D8D"/>
    <w:rsid w:val="000B538D"/>
    <w:rsid w:val="000B6A47"/>
    <w:rsid w:val="000C208B"/>
    <w:rsid w:val="000C7051"/>
    <w:rsid w:val="000D0C07"/>
    <w:rsid w:val="000D0E05"/>
    <w:rsid w:val="000D1C7E"/>
    <w:rsid w:val="000D3D55"/>
    <w:rsid w:val="000D6275"/>
    <w:rsid w:val="000D67B9"/>
    <w:rsid w:val="000D7006"/>
    <w:rsid w:val="000D7E7F"/>
    <w:rsid w:val="000E2069"/>
    <w:rsid w:val="000E521F"/>
    <w:rsid w:val="000E677A"/>
    <w:rsid w:val="000E6826"/>
    <w:rsid w:val="000F1B97"/>
    <w:rsid w:val="000F2E36"/>
    <w:rsid w:val="000F7C71"/>
    <w:rsid w:val="0010177A"/>
    <w:rsid w:val="00106F5A"/>
    <w:rsid w:val="0010774B"/>
    <w:rsid w:val="00107EBB"/>
    <w:rsid w:val="00110376"/>
    <w:rsid w:val="00113599"/>
    <w:rsid w:val="00120D3F"/>
    <w:rsid w:val="00121DD6"/>
    <w:rsid w:val="00126020"/>
    <w:rsid w:val="00132B31"/>
    <w:rsid w:val="00141158"/>
    <w:rsid w:val="00141E14"/>
    <w:rsid w:val="00147083"/>
    <w:rsid w:val="00150303"/>
    <w:rsid w:val="00150C05"/>
    <w:rsid w:val="00152195"/>
    <w:rsid w:val="001547C4"/>
    <w:rsid w:val="00161491"/>
    <w:rsid w:val="00164487"/>
    <w:rsid w:val="00166885"/>
    <w:rsid w:val="00166A76"/>
    <w:rsid w:val="0018162D"/>
    <w:rsid w:val="00184719"/>
    <w:rsid w:val="00191B71"/>
    <w:rsid w:val="00194EA9"/>
    <w:rsid w:val="00195082"/>
    <w:rsid w:val="00196B4B"/>
    <w:rsid w:val="00197FA6"/>
    <w:rsid w:val="001A12A7"/>
    <w:rsid w:val="001A1379"/>
    <w:rsid w:val="001A3095"/>
    <w:rsid w:val="001A357D"/>
    <w:rsid w:val="001A73D8"/>
    <w:rsid w:val="001B261F"/>
    <w:rsid w:val="001B3553"/>
    <w:rsid w:val="001B6265"/>
    <w:rsid w:val="001C00E6"/>
    <w:rsid w:val="001C0C7A"/>
    <w:rsid w:val="001C34D8"/>
    <w:rsid w:val="001D4DE8"/>
    <w:rsid w:val="001D63FA"/>
    <w:rsid w:val="001E00FD"/>
    <w:rsid w:val="001E30EF"/>
    <w:rsid w:val="001F3F1A"/>
    <w:rsid w:val="001F571B"/>
    <w:rsid w:val="001F5AB2"/>
    <w:rsid w:val="002008B0"/>
    <w:rsid w:val="002009BB"/>
    <w:rsid w:val="002024BD"/>
    <w:rsid w:val="00202B58"/>
    <w:rsid w:val="002055F0"/>
    <w:rsid w:val="00210F61"/>
    <w:rsid w:val="00211F09"/>
    <w:rsid w:val="00212A22"/>
    <w:rsid w:val="00222004"/>
    <w:rsid w:val="002223B0"/>
    <w:rsid w:val="00222D97"/>
    <w:rsid w:val="002248E1"/>
    <w:rsid w:val="00230970"/>
    <w:rsid w:val="00232DAC"/>
    <w:rsid w:val="00233F17"/>
    <w:rsid w:val="00236793"/>
    <w:rsid w:val="002377AD"/>
    <w:rsid w:val="00243FEB"/>
    <w:rsid w:val="002441D8"/>
    <w:rsid w:val="002445FA"/>
    <w:rsid w:val="0025133E"/>
    <w:rsid w:val="00256B2D"/>
    <w:rsid w:val="00257207"/>
    <w:rsid w:val="00265B3C"/>
    <w:rsid w:val="00266864"/>
    <w:rsid w:val="00267A14"/>
    <w:rsid w:val="0027188F"/>
    <w:rsid w:val="00272248"/>
    <w:rsid w:val="00273218"/>
    <w:rsid w:val="00274A48"/>
    <w:rsid w:val="0027618F"/>
    <w:rsid w:val="00277DC9"/>
    <w:rsid w:val="0028611B"/>
    <w:rsid w:val="0029089C"/>
    <w:rsid w:val="0029202D"/>
    <w:rsid w:val="00293126"/>
    <w:rsid w:val="00294682"/>
    <w:rsid w:val="00297B52"/>
    <w:rsid w:val="00297F0A"/>
    <w:rsid w:val="002A41F2"/>
    <w:rsid w:val="002A759E"/>
    <w:rsid w:val="002A7B8E"/>
    <w:rsid w:val="002A7FDC"/>
    <w:rsid w:val="002B262F"/>
    <w:rsid w:val="002B43A2"/>
    <w:rsid w:val="002C52DC"/>
    <w:rsid w:val="002C62D1"/>
    <w:rsid w:val="002D715B"/>
    <w:rsid w:val="002D7EFF"/>
    <w:rsid w:val="002E27ED"/>
    <w:rsid w:val="002E5E35"/>
    <w:rsid w:val="002E658A"/>
    <w:rsid w:val="002F1A0D"/>
    <w:rsid w:val="00300598"/>
    <w:rsid w:val="00301AFF"/>
    <w:rsid w:val="00304F68"/>
    <w:rsid w:val="00310887"/>
    <w:rsid w:val="00310A2B"/>
    <w:rsid w:val="003140AB"/>
    <w:rsid w:val="00314BDF"/>
    <w:rsid w:val="00317036"/>
    <w:rsid w:val="00325CBE"/>
    <w:rsid w:val="00330E2C"/>
    <w:rsid w:val="0033217F"/>
    <w:rsid w:val="00332CAC"/>
    <w:rsid w:val="00334AF2"/>
    <w:rsid w:val="00337089"/>
    <w:rsid w:val="003378B1"/>
    <w:rsid w:val="0034055E"/>
    <w:rsid w:val="00341A5E"/>
    <w:rsid w:val="003433AE"/>
    <w:rsid w:val="00345A48"/>
    <w:rsid w:val="00346479"/>
    <w:rsid w:val="003506A5"/>
    <w:rsid w:val="00351318"/>
    <w:rsid w:val="003523DD"/>
    <w:rsid w:val="00352572"/>
    <w:rsid w:val="00357BDD"/>
    <w:rsid w:val="00357DC9"/>
    <w:rsid w:val="0036086B"/>
    <w:rsid w:val="00362D69"/>
    <w:rsid w:val="00363FED"/>
    <w:rsid w:val="003650D4"/>
    <w:rsid w:val="0036514B"/>
    <w:rsid w:val="00367287"/>
    <w:rsid w:val="003732F3"/>
    <w:rsid w:val="003822B1"/>
    <w:rsid w:val="003837AC"/>
    <w:rsid w:val="00387487"/>
    <w:rsid w:val="00391004"/>
    <w:rsid w:val="0039119F"/>
    <w:rsid w:val="0039130B"/>
    <w:rsid w:val="00391EDC"/>
    <w:rsid w:val="00392235"/>
    <w:rsid w:val="003931F0"/>
    <w:rsid w:val="0039467B"/>
    <w:rsid w:val="003A359F"/>
    <w:rsid w:val="003A4502"/>
    <w:rsid w:val="003B27E3"/>
    <w:rsid w:val="003B3E7E"/>
    <w:rsid w:val="003B5DB0"/>
    <w:rsid w:val="003B62A6"/>
    <w:rsid w:val="003C5EE4"/>
    <w:rsid w:val="003C6577"/>
    <w:rsid w:val="003D018C"/>
    <w:rsid w:val="003D1CE1"/>
    <w:rsid w:val="003D25ED"/>
    <w:rsid w:val="003D4817"/>
    <w:rsid w:val="003D565F"/>
    <w:rsid w:val="003D7732"/>
    <w:rsid w:val="003D7E67"/>
    <w:rsid w:val="003E41ED"/>
    <w:rsid w:val="003F1E90"/>
    <w:rsid w:val="003F50F9"/>
    <w:rsid w:val="00400958"/>
    <w:rsid w:val="00402592"/>
    <w:rsid w:val="004054DE"/>
    <w:rsid w:val="00406CD6"/>
    <w:rsid w:val="00416750"/>
    <w:rsid w:val="00417262"/>
    <w:rsid w:val="0042027F"/>
    <w:rsid w:val="00421E9F"/>
    <w:rsid w:val="004228A4"/>
    <w:rsid w:val="0043057B"/>
    <w:rsid w:val="0043157A"/>
    <w:rsid w:val="00432C9D"/>
    <w:rsid w:val="00436E81"/>
    <w:rsid w:val="00441CE6"/>
    <w:rsid w:val="00443622"/>
    <w:rsid w:val="00452146"/>
    <w:rsid w:val="0045336F"/>
    <w:rsid w:val="00453C73"/>
    <w:rsid w:val="00454452"/>
    <w:rsid w:val="00454989"/>
    <w:rsid w:val="004559EB"/>
    <w:rsid w:val="00461B83"/>
    <w:rsid w:val="00464A07"/>
    <w:rsid w:val="0047155D"/>
    <w:rsid w:val="004723E6"/>
    <w:rsid w:val="00477CC3"/>
    <w:rsid w:val="004822F8"/>
    <w:rsid w:val="0048320D"/>
    <w:rsid w:val="0048770E"/>
    <w:rsid w:val="00487FDD"/>
    <w:rsid w:val="004916A7"/>
    <w:rsid w:val="004A1FC2"/>
    <w:rsid w:val="004A4404"/>
    <w:rsid w:val="004A73A5"/>
    <w:rsid w:val="004B3D96"/>
    <w:rsid w:val="004B448C"/>
    <w:rsid w:val="004B475A"/>
    <w:rsid w:val="004C37B0"/>
    <w:rsid w:val="004C5BB7"/>
    <w:rsid w:val="004C5D41"/>
    <w:rsid w:val="004C6AB7"/>
    <w:rsid w:val="004D2D6D"/>
    <w:rsid w:val="004E0FE2"/>
    <w:rsid w:val="004E6E4B"/>
    <w:rsid w:val="004F2CDD"/>
    <w:rsid w:val="00503B1E"/>
    <w:rsid w:val="0050651D"/>
    <w:rsid w:val="00510DFD"/>
    <w:rsid w:val="00510FA9"/>
    <w:rsid w:val="00513EAF"/>
    <w:rsid w:val="0051540E"/>
    <w:rsid w:val="0053476B"/>
    <w:rsid w:val="00540A0D"/>
    <w:rsid w:val="00541AA4"/>
    <w:rsid w:val="00542417"/>
    <w:rsid w:val="005424AF"/>
    <w:rsid w:val="00543F0F"/>
    <w:rsid w:val="00551630"/>
    <w:rsid w:val="005531B2"/>
    <w:rsid w:val="00553AAC"/>
    <w:rsid w:val="0055466C"/>
    <w:rsid w:val="005553C1"/>
    <w:rsid w:val="005568FB"/>
    <w:rsid w:val="00556FA5"/>
    <w:rsid w:val="005620C1"/>
    <w:rsid w:val="0056229A"/>
    <w:rsid w:val="00564223"/>
    <w:rsid w:val="00564A46"/>
    <w:rsid w:val="00565B7B"/>
    <w:rsid w:val="00570523"/>
    <w:rsid w:val="00570B8F"/>
    <w:rsid w:val="00572E57"/>
    <w:rsid w:val="005812DC"/>
    <w:rsid w:val="00581320"/>
    <w:rsid w:val="005845C3"/>
    <w:rsid w:val="005A2FC7"/>
    <w:rsid w:val="005B0A6C"/>
    <w:rsid w:val="005B344B"/>
    <w:rsid w:val="005B47F3"/>
    <w:rsid w:val="005B51F6"/>
    <w:rsid w:val="005B5FF7"/>
    <w:rsid w:val="005D0BC4"/>
    <w:rsid w:val="005D3F71"/>
    <w:rsid w:val="005D67C2"/>
    <w:rsid w:val="005E33CC"/>
    <w:rsid w:val="005E58E1"/>
    <w:rsid w:val="005F0271"/>
    <w:rsid w:val="00607EEF"/>
    <w:rsid w:val="00610395"/>
    <w:rsid w:val="00610EDB"/>
    <w:rsid w:val="006125EE"/>
    <w:rsid w:val="006142D8"/>
    <w:rsid w:val="00617D6F"/>
    <w:rsid w:val="00622194"/>
    <w:rsid w:val="00624506"/>
    <w:rsid w:val="0062484E"/>
    <w:rsid w:val="00625082"/>
    <w:rsid w:val="00625D80"/>
    <w:rsid w:val="00626230"/>
    <w:rsid w:val="00627296"/>
    <w:rsid w:val="00627CD0"/>
    <w:rsid w:val="006300CE"/>
    <w:rsid w:val="00633EAD"/>
    <w:rsid w:val="006412FE"/>
    <w:rsid w:val="00641342"/>
    <w:rsid w:val="0064520C"/>
    <w:rsid w:val="006453EE"/>
    <w:rsid w:val="00645F51"/>
    <w:rsid w:val="00646BC6"/>
    <w:rsid w:val="00646F05"/>
    <w:rsid w:val="00647CD6"/>
    <w:rsid w:val="00647D2E"/>
    <w:rsid w:val="006567D7"/>
    <w:rsid w:val="00660586"/>
    <w:rsid w:val="00661439"/>
    <w:rsid w:val="00664CD4"/>
    <w:rsid w:val="006654FD"/>
    <w:rsid w:val="00665B5A"/>
    <w:rsid w:val="00666889"/>
    <w:rsid w:val="00666948"/>
    <w:rsid w:val="006717F6"/>
    <w:rsid w:val="00677E62"/>
    <w:rsid w:val="0068066D"/>
    <w:rsid w:val="0068164C"/>
    <w:rsid w:val="00687965"/>
    <w:rsid w:val="0069617F"/>
    <w:rsid w:val="00696B94"/>
    <w:rsid w:val="006A117B"/>
    <w:rsid w:val="006A27DA"/>
    <w:rsid w:val="006A2DFF"/>
    <w:rsid w:val="006A4FA8"/>
    <w:rsid w:val="006B0BEE"/>
    <w:rsid w:val="006B13D6"/>
    <w:rsid w:val="006B4844"/>
    <w:rsid w:val="006C040C"/>
    <w:rsid w:val="006C0418"/>
    <w:rsid w:val="006C1B9B"/>
    <w:rsid w:val="006C5DF7"/>
    <w:rsid w:val="006C607B"/>
    <w:rsid w:val="006D1F63"/>
    <w:rsid w:val="006E22A9"/>
    <w:rsid w:val="006E30E0"/>
    <w:rsid w:val="006E3596"/>
    <w:rsid w:val="006E7B36"/>
    <w:rsid w:val="006F53E7"/>
    <w:rsid w:val="006F74D3"/>
    <w:rsid w:val="006F7613"/>
    <w:rsid w:val="007016B4"/>
    <w:rsid w:val="007067D4"/>
    <w:rsid w:val="0071271B"/>
    <w:rsid w:val="00713498"/>
    <w:rsid w:val="00714381"/>
    <w:rsid w:val="00714AD0"/>
    <w:rsid w:val="00714B5B"/>
    <w:rsid w:val="007159B4"/>
    <w:rsid w:val="00717ED1"/>
    <w:rsid w:val="007227D7"/>
    <w:rsid w:val="007232DE"/>
    <w:rsid w:val="00727330"/>
    <w:rsid w:val="0074149D"/>
    <w:rsid w:val="00747110"/>
    <w:rsid w:val="0075188D"/>
    <w:rsid w:val="00754E4F"/>
    <w:rsid w:val="0075726C"/>
    <w:rsid w:val="007611DA"/>
    <w:rsid w:val="00762657"/>
    <w:rsid w:val="00764D1F"/>
    <w:rsid w:val="007658A4"/>
    <w:rsid w:val="0076643C"/>
    <w:rsid w:val="00770A51"/>
    <w:rsid w:val="00771865"/>
    <w:rsid w:val="007729DC"/>
    <w:rsid w:val="007743DE"/>
    <w:rsid w:val="0078464E"/>
    <w:rsid w:val="007876C7"/>
    <w:rsid w:val="00790F60"/>
    <w:rsid w:val="007922E5"/>
    <w:rsid w:val="007A4A0D"/>
    <w:rsid w:val="007A593D"/>
    <w:rsid w:val="007A75CF"/>
    <w:rsid w:val="007A7934"/>
    <w:rsid w:val="007B2CC2"/>
    <w:rsid w:val="007B3081"/>
    <w:rsid w:val="007B781E"/>
    <w:rsid w:val="007C2EFA"/>
    <w:rsid w:val="007C4583"/>
    <w:rsid w:val="007D26DA"/>
    <w:rsid w:val="007D561A"/>
    <w:rsid w:val="007D6C5A"/>
    <w:rsid w:val="007E13E1"/>
    <w:rsid w:val="007E29B8"/>
    <w:rsid w:val="007F20C1"/>
    <w:rsid w:val="007F2153"/>
    <w:rsid w:val="007F2A1D"/>
    <w:rsid w:val="007F3D48"/>
    <w:rsid w:val="007F74E8"/>
    <w:rsid w:val="008024C9"/>
    <w:rsid w:val="00804ADB"/>
    <w:rsid w:val="00806EF1"/>
    <w:rsid w:val="00807417"/>
    <w:rsid w:val="008079A4"/>
    <w:rsid w:val="00823F8C"/>
    <w:rsid w:val="0083029D"/>
    <w:rsid w:val="00843C3C"/>
    <w:rsid w:val="00846FB2"/>
    <w:rsid w:val="00846FF6"/>
    <w:rsid w:val="008508E1"/>
    <w:rsid w:val="00851479"/>
    <w:rsid w:val="00852B9E"/>
    <w:rsid w:val="00857CAC"/>
    <w:rsid w:val="00863AD2"/>
    <w:rsid w:val="0087091E"/>
    <w:rsid w:val="00871809"/>
    <w:rsid w:val="00875061"/>
    <w:rsid w:val="00876AD2"/>
    <w:rsid w:val="00876CBE"/>
    <w:rsid w:val="008806F8"/>
    <w:rsid w:val="00881788"/>
    <w:rsid w:val="00884A08"/>
    <w:rsid w:val="00885C1F"/>
    <w:rsid w:val="0088601B"/>
    <w:rsid w:val="00886873"/>
    <w:rsid w:val="008977E9"/>
    <w:rsid w:val="008A0A38"/>
    <w:rsid w:val="008A11C5"/>
    <w:rsid w:val="008A16BD"/>
    <w:rsid w:val="008A3F22"/>
    <w:rsid w:val="008A7CD8"/>
    <w:rsid w:val="008B073A"/>
    <w:rsid w:val="008B3B2C"/>
    <w:rsid w:val="008B3E93"/>
    <w:rsid w:val="008B45AD"/>
    <w:rsid w:val="008B61AE"/>
    <w:rsid w:val="008C06EB"/>
    <w:rsid w:val="008C4339"/>
    <w:rsid w:val="008C6053"/>
    <w:rsid w:val="008D081C"/>
    <w:rsid w:val="008D1548"/>
    <w:rsid w:val="008D212A"/>
    <w:rsid w:val="008E1473"/>
    <w:rsid w:val="008F221D"/>
    <w:rsid w:val="008F2BC5"/>
    <w:rsid w:val="008F457E"/>
    <w:rsid w:val="00902484"/>
    <w:rsid w:val="009056AC"/>
    <w:rsid w:val="00912862"/>
    <w:rsid w:val="0091382B"/>
    <w:rsid w:val="00914AB6"/>
    <w:rsid w:val="0091680D"/>
    <w:rsid w:val="0092156D"/>
    <w:rsid w:val="009232D9"/>
    <w:rsid w:val="00933B05"/>
    <w:rsid w:val="0094000E"/>
    <w:rsid w:val="0094287B"/>
    <w:rsid w:val="0095112B"/>
    <w:rsid w:val="009524C7"/>
    <w:rsid w:val="009531F5"/>
    <w:rsid w:val="00956332"/>
    <w:rsid w:val="00957F36"/>
    <w:rsid w:val="00961FD2"/>
    <w:rsid w:val="00963B05"/>
    <w:rsid w:val="0097278D"/>
    <w:rsid w:val="00976BFC"/>
    <w:rsid w:val="00983613"/>
    <w:rsid w:val="00990584"/>
    <w:rsid w:val="00993990"/>
    <w:rsid w:val="009947F0"/>
    <w:rsid w:val="00997527"/>
    <w:rsid w:val="009A5F5F"/>
    <w:rsid w:val="009B7598"/>
    <w:rsid w:val="009C084C"/>
    <w:rsid w:val="009C1C60"/>
    <w:rsid w:val="009C2F87"/>
    <w:rsid w:val="009C2FD5"/>
    <w:rsid w:val="009C3795"/>
    <w:rsid w:val="009C47CF"/>
    <w:rsid w:val="009C53AE"/>
    <w:rsid w:val="009C75D3"/>
    <w:rsid w:val="009C7879"/>
    <w:rsid w:val="009D0076"/>
    <w:rsid w:val="009D0E21"/>
    <w:rsid w:val="009D2C9E"/>
    <w:rsid w:val="009D3086"/>
    <w:rsid w:val="009D3B1C"/>
    <w:rsid w:val="009D7627"/>
    <w:rsid w:val="009E143D"/>
    <w:rsid w:val="009E2A38"/>
    <w:rsid w:val="009E794E"/>
    <w:rsid w:val="009F2D77"/>
    <w:rsid w:val="009F6834"/>
    <w:rsid w:val="00A00B2E"/>
    <w:rsid w:val="00A00B45"/>
    <w:rsid w:val="00A038A2"/>
    <w:rsid w:val="00A118CA"/>
    <w:rsid w:val="00A13054"/>
    <w:rsid w:val="00A16561"/>
    <w:rsid w:val="00A16609"/>
    <w:rsid w:val="00A20672"/>
    <w:rsid w:val="00A20EA5"/>
    <w:rsid w:val="00A21D68"/>
    <w:rsid w:val="00A248B2"/>
    <w:rsid w:val="00A30350"/>
    <w:rsid w:val="00A311B9"/>
    <w:rsid w:val="00A33D20"/>
    <w:rsid w:val="00A34F01"/>
    <w:rsid w:val="00A35B9D"/>
    <w:rsid w:val="00A37040"/>
    <w:rsid w:val="00A410BE"/>
    <w:rsid w:val="00A461D7"/>
    <w:rsid w:val="00A4769B"/>
    <w:rsid w:val="00A479FC"/>
    <w:rsid w:val="00A5713B"/>
    <w:rsid w:val="00A57CA2"/>
    <w:rsid w:val="00A62B53"/>
    <w:rsid w:val="00A67D86"/>
    <w:rsid w:val="00A73E13"/>
    <w:rsid w:val="00A75470"/>
    <w:rsid w:val="00A758FE"/>
    <w:rsid w:val="00A813E2"/>
    <w:rsid w:val="00A831D6"/>
    <w:rsid w:val="00A87AB7"/>
    <w:rsid w:val="00A92D2C"/>
    <w:rsid w:val="00A931D3"/>
    <w:rsid w:val="00A945D0"/>
    <w:rsid w:val="00A94F79"/>
    <w:rsid w:val="00AA194C"/>
    <w:rsid w:val="00AA2B8A"/>
    <w:rsid w:val="00AA4EB6"/>
    <w:rsid w:val="00AA5C47"/>
    <w:rsid w:val="00AB314E"/>
    <w:rsid w:val="00AB56D5"/>
    <w:rsid w:val="00AB7481"/>
    <w:rsid w:val="00AC002E"/>
    <w:rsid w:val="00AC2062"/>
    <w:rsid w:val="00AC2107"/>
    <w:rsid w:val="00AC2169"/>
    <w:rsid w:val="00AC2321"/>
    <w:rsid w:val="00AC51A6"/>
    <w:rsid w:val="00AC5A14"/>
    <w:rsid w:val="00AC7A74"/>
    <w:rsid w:val="00AD3D85"/>
    <w:rsid w:val="00AD56BE"/>
    <w:rsid w:val="00AD5D2C"/>
    <w:rsid w:val="00AD6738"/>
    <w:rsid w:val="00AD7302"/>
    <w:rsid w:val="00AD7C79"/>
    <w:rsid w:val="00AE0728"/>
    <w:rsid w:val="00AE27E0"/>
    <w:rsid w:val="00AE3795"/>
    <w:rsid w:val="00AE3E50"/>
    <w:rsid w:val="00AE7266"/>
    <w:rsid w:val="00AE7790"/>
    <w:rsid w:val="00AE77DD"/>
    <w:rsid w:val="00AE7B1E"/>
    <w:rsid w:val="00AF200C"/>
    <w:rsid w:val="00AF6F6B"/>
    <w:rsid w:val="00B00911"/>
    <w:rsid w:val="00B01517"/>
    <w:rsid w:val="00B03707"/>
    <w:rsid w:val="00B06756"/>
    <w:rsid w:val="00B10112"/>
    <w:rsid w:val="00B13080"/>
    <w:rsid w:val="00B21028"/>
    <w:rsid w:val="00B2144E"/>
    <w:rsid w:val="00B21658"/>
    <w:rsid w:val="00B2298A"/>
    <w:rsid w:val="00B30C21"/>
    <w:rsid w:val="00B310BE"/>
    <w:rsid w:val="00B34E72"/>
    <w:rsid w:val="00B34F1C"/>
    <w:rsid w:val="00B414B3"/>
    <w:rsid w:val="00B4212B"/>
    <w:rsid w:val="00B46DA1"/>
    <w:rsid w:val="00B477C3"/>
    <w:rsid w:val="00B47FDE"/>
    <w:rsid w:val="00B50689"/>
    <w:rsid w:val="00B517F1"/>
    <w:rsid w:val="00B552B7"/>
    <w:rsid w:val="00B55724"/>
    <w:rsid w:val="00B55C86"/>
    <w:rsid w:val="00B61031"/>
    <w:rsid w:val="00B65A36"/>
    <w:rsid w:val="00B7140B"/>
    <w:rsid w:val="00B766C7"/>
    <w:rsid w:val="00B808F8"/>
    <w:rsid w:val="00B81E1A"/>
    <w:rsid w:val="00B836F9"/>
    <w:rsid w:val="00B86ACE"/>
    <w:rsid w:val="00B9056A"/>
    <w:rsid w:val="00B92D68"/>
    <w:rsid w:val="00B972A0"/>
    <w:rsid w:val="00BA3AC7"/>
    <w:rsid w:val="00BA44DC"/>
    <w:rsid w:val="00BA4AB4"/>
    <w:rsid w:val="00BB284F"/>
    <w:rsid w:val="00BC46FD"/>
    <w:rsid w:val="00BD1192"/>
    <w:rsid w:val="00BD5C48"/>
    <w:rsid w:val="00BE0A0C"/>
    <w:rsid w:val="00BE3ED6"/>
    <w:rsid w:val="00BE3F69"/>
    <w:rsid w:val="00BE417E"/>
    <w:rsid w:val="00BE7D4C"/>
    <w:rsid w:val="00BF40D2"/>
    <w:rsid w:val="00BF56B9"/>
    <w:rsid w:val="00BF6C35"/>
    <w:rsid w:val="00BF6D32"/>
    <w:rsid w:val="00BF7652"/>
    <w:rsid w:val="00C01882"/>
    <w:rsid w:val="00C03C06"/>
    <w:rsid w:val="00C0676E"/>
    <w:rsid w:val="00C1018D"/>
    <w:rsid w:val="00C10506"/>
    <w:rsid w:val="00C10E11"/>
    <w:rsid w:val="00C11254"/>
    <w:rsid w:val="00C20FE6"/>
    <w:rsid w:val="00C225FA"/>
    <w:rsid w:val="00C22E01"/>
    <w:rsid w:val="00C249C4"/>
    <w:rsid w:val="00C265A5"/>
    <w:rsid w:val="00C31BF5"/>
    <w:rsid w:val="00C32384"/>
    <w:rsid w:val="00C353B0"/>
    <w:rsid w:val="00C40274"/>
    <w:rsid w:val="00C41214"/>
    <w:rsid w:val="00C41FE1"/>
    <w:rsid w:val="00C451DA"/>
    <w:rsid w:val="00C5001F"/>
    <w:rsid w:val="00C503AD"/>
    <w:rsid w:val="00C51414"/>
    <w:rsid w:val="00C522CC"/>
    <w:rsid w:val="00C60528"/>
    <w:rsid w:val="00C60CCD"/>
    <w:rsid w:val="00C61F62"/>
    <w:rsid w:val="00C62365"/>
    <w:rsid w:val="00C629B4"/>
    <w:rsid w:val="00C6402C"/>
    <w:rsid w:val="00C65017"/>
    <w:rsid w:val="00C800D6"/>
    <w:rsid w:val="00C8376A"/>
    <w:rsid w:val="00C83DD4"/>
    <w:rsid w:val="00C859AC"/>
    <w:rsid w:val="00C9067B"/>
    <w:rsid w:val="00C92216"/>
    <w:rsid w:val="00C94395"/>
    <w:rsid w:val="00C9491C"/>
    <w:rsid w:val="00C94BC4"/>
    <w:rsid w:val="00C951E4"/>
    <w:rsid w:val="00C957C5"/>
    <w:rsid w:val="00C966FE"/>
    <w:rsid w:val="00C968AE"/>
    <w:rsid w:val="00C97168"/>
    <w:rsid w:val="00C9743E"/>
    <w:rsid w:val="00CB397E"/>
    <w:rsid w:val="00CB461B"/>
    <w:rsid w:val="00CB79C2"/>
    <w:rsid w:val="00CC06CA"/>
    <w:rsid w:val="00CC080E"/>
    <w:rsid w:val="00CC30DD"/>
    <w:rsid w:val="00CC5167"/>
    <w:rsid w:val="00CC7DBC"/>
    <w:rsid w:val="00CC7F25"/>
    <w:rsid w:val="00CD08FB"/>
    <w:rsid w:val="00CD3889"/>
    <w:rsid w:val="00CD647A"/>
    <w:rsid w:val="00CD6D61"/>
    <w:rsid w:val="00CD7B84"/>
    <w:rsid w:val="00CE036D"/>
    <w:rsid w:val="00CE0594"/>
    <w:rsid w:val="00CE0B34"/>
    <w:rsid w:val="00CE19F0"/>
    <w:rsid w:val="00CF0301"/>
    <w:rsid w:val="00CF1C25"/>
    <w:rsid w:val="00CF4F7C"/>
    <w:rsid w:val="00CF6FA7"/>
    <w:rsid w:val="00CF6FF0"/>
    <w:rsid w:val="00D00C8C"/>
    <w:rsid w:val="00D01759"/>
    <w:rsid w:val="00D0202C"/>
    <w:rsid w:val="00D0223E"/>
    <w:rsid w:val="00D10EC7"/>
    <w:rsid w:val="00D137D1"/>
    <w:rsid w:val="00D20464"/>
    <w:rsid w:val="00D20FAB"/>
    <w:rsid w:val="00D26A2E"/>
    <w:rsid w:val="00D276E5"/>
    <w:rsid w:val="00D33A1B"/>
    <w:rsid w:val="00D33ECB"/>
    <w:rsid w:val="00D34F58"/>
    <w:rsid w:val="00D379FF"/>
    <w:rsid w:val="00D40C8F"/>
    <w:rsid w:val="00D40C94"/>
    <w:rsid w:val="00D44572"/>
    <w:rsid w:val="00D506A1"/>
    <w:rsid w:val="00D506BE"/>
    <w:rsid w:val="00D5573E"/>
    <w:rsid w:val="00D579ED"/>
    <w:rsid w:val="00D612CA"/>
    <w:rsid w:val="00D6135E"/>
    <w:rsid w:val="00D62752"/>
    <w:rsid w:val="00D72580"/>
    <w:rsid w:val="00D73173"/>
    <w:rsid w:val="00D76A69"/>
    <w:rsid w:val="00D77EEF"/>
    <w:rsid w:val="00D80D39"/>
    <w:rsid w:val="00D8211F"/>
    <w:rsid w:val="00D8435B"/>
    <w:rsid w:val="00D933A2"/>
    <w:rsid w:val="00DA2679"/>
    <w:rsid w:val="00DA268C"/>
    <w:rsid w:val="00DB559E"/>
    <w:rsid w:val="00DC02F7"/>
    <w:rsid w:val="00DC2627"/>
    <w:rsid w:val="00DC2DDE"/>
    <w:rsid w:val="00DC6995"/>
    <w:rsid w:val="00DC7095"/>
    <w:rsid w:val="00DC7CD9"/>
    <w:rsid w:val="00DD2F8F"/>
    <w:rsid w:val="00DE1BDE"/>
    <w:rsid w:val="00DE213C"/>
    <w:rsid w:val="00DE215F"/>
    <w:rsid w:val="00DE7EA8"/>
    <w:rsid w:val="00DF0ECF"/>
    <w:rsid w:val="00DF107B"/>
    <w:rsid w:val="00DF3D10"/>
    <w:rsid w:val="00DF689F"/>
    <w:rsid w:val="00E01BDB"/>
    <w:rsid w:val="00E05181"/>
    <w:rsid w:val="00E125CA"/>
    <w:rsid w:val="00E1388E"/>
    <w:rsid w:val="00E14A5C"/>
    <w:rsid w:val="00E1743A"/>
    <w:rsid w:val="00E220DC"/>
    <w:rsid w:val="00E23B8D"/>
    <w:rsid w:val="00E31B35"/>
    <w:rsid w:val="00E335CF"/>
    <w:rsid w:val="00E41364"/>
    <w:rsid w:val="00E43A0A"/>
    <w:rsid w:val="00E45DF4"/>
    <w:rsid w:val="00E465C4"/>
    <w:rsid w:val="00E51964"/>
    <w:rsid w:val="00E53F24"/>
    <w:rsid w:val="00E54870"/>
    <w:rsid w:val="00E60283"/>
    <w:rsid w:val="00E642E3"/>
    <w:rsid w:val="00E64D97"/>
    <w:rsid w:val="00E66057"/>
    <w:rsid w:val="00E66F78"/>
    <w:rsid w:val="00E73228"/>
    <w:rsid w:val="00E83894"/>
    <w:rsid w:val="00E83BCB"/>
    <w:rsid w:val="00E85465"/>
    <w:rsid w:val="00E85C67"/>
    <w:rsid w:val="00E90FCC"/>
    <w:rsid w:val="00E91F0E"/>
    <w:rsid w:val="00E938BE"/>
    <w:rsid w:val="00EA0761"/>
    <w:rsid w:val="00EA2D9A"/>
    <w:rsid w:val="00EA2DA3"/>
    <w:rsid w:val="00EA4022"/>
    <w:rsid w:val="00EA5CA9"/>
    <w:rsid w:val="00EA6B3A"/>
    <w:rsid w:val="00EB3A63"/>
    <w:rsid w:val="00EB549A"/>
    <w:rsid w:val="00EC1186"/>
    <w:rsid w:val="00EC2507"/>
    <w:rsid w:val="00EC2C8A"/>
    <w:rsid w:val="00ED1650"/>
    <w:rsid w:val="00ED25C9"/>
    <w:rsid w:val="00ED7498"/>
    <w:rsid w:val="00ED752E"/>
    <w:rsid w:val="00EE2BB7"/>
    <w:rsid w:val="00EE3147"/>
    <w:rsid w:val="00EE44D7"/>
    <w:rsid w:val="00EE4B70"/>
    <w:rsid w:val="00EF1E5E"/>
    <w:rsid w:val="00EF67BB"/>
    <w:rsid w:val="00F02A51"/>
    <w:rsid w:val="00F04876"/>
    <w:rsid w:val="00F04B11"/>
    <w:rsid w:val="00F07339"/>
    <w:rsid w:val="00F12461"/>
    <w:rsid w:val="00F153A5"/>
    <w:rsid w:val="00F176A5"/>
    <w:rsid w:val="00F20A4B"/>
    <w:rsid w:val="00F24357"/>
    <w:rsid w:val="00F25A5E"/>
    <w:rsid w:val="00F31C4F"/>
    <w:rsid w:val="00F32638"/>
    <w:rsid w:val="00F3644B"/>
    <w:rsid w:val="00F40C3E"/>
    <w:rsid w:val="00F42032"/>
    <w:rsid w:val="00F43D77"/>
    <w:rsid w:val="00F45D88"/>
    <w:rsid w:val="00F46205"/>
    <w:rsid w:val="00F4723B"/>
    <w:rsid w:val="00F51763"/>
    <w:rsid w:val="00F51F17"/>
    <w:rsid w:val="00F53AAB"/>
    <w:rsid w:val="00F53F9D"/>
    <w:rsid w:val="00F54E69"/>
    <w:rsid w:val="00F60F73"/>
    <w:rsid w:val="00F62F7D"/>
    <w:rsid w:val="00F63B4E"/>
    <w:rsid w:val="00F66585"/>
    <w:rsid w:val="00F72CA1"/>
    <w:rsid w:val="00F73690"/>
    <w:rsid w:val="00F803A0"/>
    <w:rsid w:val="00F82699"/>
    <w:rsid w:val="00F833F8"/>
    <w:rsid w:val="00F84BD0"/>
    <w:rsid w:val="00F85FE5"/>
    <w:rsid w:val="00F86461"/>
    <w:rsid w:val="00F86594"/>
    <w:rsid w:val="00F909DA"/>
    <w:rsid w:val="00F925C0"/>
    <w:rsid w:val="00F93FAB"/>
    <w:rsid w:val="00FA74DB"/>
    <w:rsid w:val="00FB7A9B"/>
    <w:rsid w:val="00FC3C25"/>
    <w:rsid w:val="00FC4ACC"/>
    <w:rsid w:val="00FD0626"/>
    <w:rsid w:val="00FD1B25"/>
    <w:rsid w:val="00FD43A9"/>
    <w:rsid w:val="00FF2379"/>
    <w:rsid w:val="00FF26F5"/>
    <w:rsid w:val="00FF5094"/>
    <w:rsid w:val="00FF6555"/>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 w:type="paragraph" w:styleId="EndnoteText">
    <w:name w:val="endnote text"/>
    <w:basedOn w:val="Normal"/>
    <w:link w:val="EndnoteTextChar"/>
    <w:uiPriority w:val="99"/>
    <w:semiHidden/>
    <w:unhideWhenUsed/>
    <w:rsid w:val="0056229A"/>
    <w:rPr>
      <w:sz w:val="20"/>
      <w:szCs w:val="20"/>
    </w:rPr>
  </w:style>
  <w:style w:type="character" w:customStyle="1" w:styleId="EndnoteTextChar">
    <w:name w:val="Endnote Text Char"/>
    <w:basedOn w:val="DefaultParagraphFont"/>
    <w:link w:val="EndnoteText"/>
    <w:uiPriority w:val="99"/>
    <w:semiHidden/>
    <w:rsid w:val="0056229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6229A"/>
    <w:rPr>
      <w:vertAlign w:val="superscript"/>
    </w:rPr>
  </w:style>
  <w:style w:type="paragraph" w:styleId="NormalWeb">
    <w:name w:val="Normal (Web)"/>
    <w:basedOn w:val="Normal"/>
    <w:uiPriority w:val="99"/>
    <w:unhideWhenUsed/>
    <w:rsid w:val="004544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810">
      <w:bodyDiv w:val="1"/>
      <w:marLeft w:val="0"/>
      <w:marRight w:val="0"/>
      <w:marTop w:val="0"/>
      <w:marBottom w:val="0"/>
      <w:divBdr>
        <w:top w:val="none" w:sz="0" w:space="0" w:color="auto"/>
        <w:left w:val="none" w:sz="0" w:space="0" w:color="auto"/>
        <w:bottom w:val="none" w:sz="0" w:space="0" w:color="auto"/>
        <w:right w:val="none" w:sz="0" w:space="0" w:color="auto"/>
      </w:divBdr>
    </w:div>
    <w:div w:id="15930057">
      <w:bodyDiv w:val="1"/>
      <w:marLeft w:val="0"/>
      <w:marRight w:val="0"/>
      <w:marTop w:val="0"/>
      <w:marBottom w:val="0"/>
      <w:divBdr>
        <w:top w:val="none" w:sz="0" w:space="0" w:color="auto"/>
        <w:left w:val="none" w:sz="0" w:space="0" w:color="auto"/>
        <w:bottom w:val="none" w:sz="0" w:space="0" w:color="auto"/>
        <w:right w:val="none" w:sz="0" w:space="0" w:color="auto"/>
      </w:divBdr>
    </w:div>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18364041">
      <w:bodyDiv w:val="1"/>
      <w:marLeft w:val="0"/>
      <w:marRight w:val="0"/>
      <w:marTop w:val="0"/>
      <w:marBottom w:val="0"/>
      <w:divBdr>
        <w:top w:val="none" w:sz="0" w:space="0" w:color="auto"/>
        <w:left w:val="none" w:sz="0" w:space="0" w:color="auto"/>
        <w:bottom w:val="none" w:sz="0" w:space="0" w:color="auto"/>
        <w:right w:val="none" w:sz="0" w:space="0" w:color="auto"/>
      </w:divBdr>
    </w:div>
    <w:div w:id="20403916">
      <w:bodyDiv w:val="1"/>
      <w:marLeft w:val="0"/>
      <w:marRight w:val="0"/>
      <w:marTop w:val="0"/>
      <w:marBottom w:val="0"/>
      <w:divBdr>
        <w:top w:val="none" w:sz="0" w:space="0" w:color="auto"/>
        <w:left w:val="none" w:sz="0" w:space="0" w:color="auto"/>
        <w:bottom w:val="none" w:sz="0" w:space="0" w:color="auto"/>
        <w:right w:val="none" w:sz="0" w:space="0" w:color="auto"/>
      </w:divBdr>
    </w:div>
    <w:div w:id="25569515">
      <w:bodyDiv w:val="1"/>
      <w:marLeft w:val="0"/>
      <w:marRight w:val="0"/>
      <w:marTop w:val="0"/>
      <w:marBottom w:val="0"/>
      <w:divBdr>
        <w:top w:val="none" w:sz="0" w:space="0" w:color="auto"/>
        <w:left w:val="none" w:sz="0" w:space="0" w:color="auto"/>
        <w:bottom w:val="none" w:sz="0" w:space="0" w:color="auto"/>
        <w:right w:val="none" w:sz="0" w:space="0" w:color="auto"/>
      </w:divBdr>
    </w:div>
    <w:div w:id="34014298">
      <w:bodyDiv w:val="1"/>
      <w:marLeft w:val="0"/>
      <w:marRight w:val="0"/>
      <w:marTop w:val="0"/>
      <w:marBottom w:val="0"/>
      <w:divBdr>
        <w:top w:val="none" w:sz="0" w:space="0" w:color="auto"/>
        <w:left w:val="none" w:sz="0" w:space="0" w:color="auto"/>
        <w:bottom w:val="none" w:sz="0" w:space="0" w:color="auto"/>
        <w:right w:val="none" w:sz="0" w:space="0" w:color="auto"/>
      </w:divBdr>
    </w:div>
    <w:div w:id="64422709">
      <w:bodyDiv w:val="1"/>
      <w:marLeft w:val="0"/>
      <w:marRight w:val="0"/>
      <w:marTop w:val="0"/>
      <w:marBottom w:val="0"/>
      <w:divBdr>
        <w:top w:val="none" w:sz="0" w:space="0" w:color="auto"/>
        <w:left w:val="none" w:sz="0" w:space="0" w:color="auto"/>
        <w:bottom w:val="none" w:sz="0" w:space="0" w:color="auto"/>
        <w:right w:val="none" w:sz="0" w:space="0" w:color="auto"/>
      </w:divBdr>
    </w:div>
    <w:div w:id="79913446">
      <w:bodyDiv w:val="1"/>
      <w:marLeft w:val="0"/>
      <w:marRight w:val="0"/>
      <w:marTop w:val="0"/>
      <w:marBottom w:val="0"/>
      <w:divBdr>
        <w:top w:val="none" w:sz="0" w:space="0" w:color="auto"/>
        <w:left w:val="none" w:sz="0" w:space="0" w:color="auto"/>
        <w:bottom w:val="none" w:sz="0" w:space="0" w:color="auto"/>
        <w:right w:val="none" w:sz="0" w:space="0" w:color="auto"/>
      </w:divBdr>
    </w:div>
    <w:div w:id="117187370">
      <w:bodyDiv w:val="1"/>
      <w:marLeft w:val="0"/>
      <w:marRight w:val="0"/>
      <w:marTop w:val="0"/>
      <w:marBottom w:val="0"/>
      <w:divBdr>
        <w:top w:val="none" w:sz="0" w:space="0" w:color="auto"/>
        <w:left w:val="none" w:sz="0" w:space="0" w:color="auto"/>
        <w:bottom w:val="none" w:sz="0" w:space="0" w:color="auto"/>
        <w:right w:val="none" w:sz="0" w:space="0" w:color="auto"/>
      </w:divBdr>
    </w:div>
    <w:div w:id="118228140">
      <w:bodyDiv w:val="1"/>
      <w:marLeft w:val="0"/>
      <w:marRight w:val="0"/>
      <w:marTop w:val="0"/>
      <w:marBottom w:val="0"/>
      <w:divBdr>
        <w:top w:val="none" w:sz="0" w:space="0" w:color="auto"/>
        <w:left w:val="none" w:sz="0" w:space="0" w:color="auto"/>
        <w:bottom w:val="none" w:sz="0" w:space="0" w:color="auto"/>
        <w:right w:val="none" w:sz="0" w:space="0" w:color="auto"/>
      </w:divBdr>
    </w:div>
    <w:div w:id="119108954">
      <w:bodyDiv w:val="1"/>
      <w:marLeft w:val="0"/>
      <w:marRight w:val="0"/>
      <w:marTop w:val="0"/>
      <w:marBottom w:val="0"/>
      <w:divBdr>
        <w:top w:val="none" w:sz="0" w:space="0" w:color="auto"/>
        <w:left w:val="none" w:sz="0" w:space="0" w:color="auto"/>
        <w:bottom w:val="none" w:sz="0" w:space="0" w:color="auto"/>
        <w:right w:val="none" w:sz="0" w:space="0" w:color="auto"/>
      </w:divBdr>
    </w:div>
    <w:div w:id="141701622">
      <w:bodyDiv w:val="1"/>
      <w:marLeft w:val="0"/>
      <w:marRight w:val="0"/>
      <w:marTop w:val="0"/>
      <w:marBottom w:val="0"/>
      <w:divBdr>
        <w:top w:val="none" w:sz="0" w:space="0" w:color="auto"/>
        <w:left w:val="none" w:sz="0" w:space="0" w:color="auto"/>
        <w:bottom w:val="none" w:sz="0" w:space="0" w:color="auto"/>
        <w:right w:val="none" w:sz="0" w:space="0" w:color="auto"/>
      </w:divBdr>
    </w:div>
    <w:div w:id="161437110">
      <w:bodyDiv w:val="1"/>
      <w:marLeft w:val="0"/>
      <w:marRight w:val="0"/>
      <w:marTop w:val="0"/>
      <w:marBottom w:val="0"/>
      <w:divBdr>
        <w:top w:val="none" w:sz="0" w:space="0" w:color="auto"/>
        <w:left w:val="none" w:sz="0" w:space="0" w:color="auto"/>
        <w:bottom w:val="none" w:sz="0" w:space="0" w:color="auto"/>
        <w:right w:val="none" w:sz="0" w:space="0" w:color="auto"/>
      </w:divBdr>
    </w:div>
    <w:div w:id="162938156">
      <w:bodyDiv w:val="1"/>
      <w:marLeft w:val="0"/>
      <w:marRight w:val="0"/>
      <w:marTop w:val="0"/>
      <w:marBottom w:val="0"/>
      <w:divBdr>
        <w:top w:val="none" w:sz="0" w:space="0" w:color="auto"/>
        <w:left w:val="none" w:sz="0" w:space="0" w:color="auto"/>
        <w:bottom w:val="none" w:sz="0" w:space="0" w:color="auto"/>
        <w:right w:val="none" w:sz="0" w:space="0" w:color="auto"/>
      </w:divBdr>
    </w:div>
    <w:div w:id="163908946">
      <w:bodyDiv w:val="1"/>
      <w:marLeft w:val="0"/>
      <w:marRight w:val="0"/>
      <w:marTop w:val="0"/>
      <w:marBottom w:val="0"/>
      <w:divBdr>
        <w:top w:val="none" w:sz="0" w:space="0" w:color="auto"/>
        <w:left w:val="none" w:sz="0" w:space="0" w:color="auto"/>
        <w:bottom w:val="none" w:sz="0" w:space="0" w:color="auto"/>
        <w:right w:val="none" w:sz="0" w:space="0" w:color="auto"/>
      </w:divBdr>
    </w:div>
    <w:div w:id="176161540">
      <w:bodyDiv w:val="1"/>
      <w:marLeft w:val="0"/>
      <w:marRight w:val="0"/>
      <w:marTop w:val="0"/>
      <w:marBottom w:val="0"/>
      <w:divBdr>
        <w:top w:val="none" w:sz="0" w:space="0" w:color="auto"/>
        <w:left w:val="none" w:sz="0" w:space="0" w:color="auto"/>
        <w:bottom w:val="none" w:sz="0" w:space="0" w:color="auto"/>
        <w:right w:val="none" w:sz="0" w:space="0" w:color="auto"/>
      </w:divBdr>
    </w:div>
    <w:div w:id="189029884">
      <w:bodyDiv w:val="1"/>
      <w:marLeft w:val="0"/>
      <w:marRight w:val="0"/>
      <w:marTop w:val="0"/>
      <w:marBottom w:val="0"/>
      <w:divBdr>
        <w:top w:val="none" w:sz="0" w:space="0" w:color="auto"/>
        <w:left w:val="none" w:sz="0" w:space="0" w:color="auto"/>
        <w:bottom w:val="none" w:sz="0" w:space="0" w:color="auto"/>
        <w:right w:val="none" w:sz="0" w:space="0" w:color="auto"/>
      </w:divBdr>
    </w:div>
    <w:div w:id="201788680">
      <w:bodyDiv w:val="1"/>
      <w:marLeft w:val="0"/>
      <w:marRight w:val="0"/>
      <w:marTop w:val="0"/>
      <w:marBottom w:val="0"/>
      <w:divBdr>
        <w:top w:val="none" w:sz="0" w:space="0" w:color="auto"/>
        <w:left w:val="none" w:sz="0" w:space="0" w:color="auto"/>
        <w:bottom w:val="none" w:sz="0" w:space="0" w:color="auto"/>
        <w:right w:val="none" w:sz="0" w:space="0" w:color="auto"/>
      </w:divBdr>
    </w:div>
    <w:div w:id="205459060">
      <w:bodyDiv w:val="1"/>
      <w:marLeft w:val="0"/>
      <w:marRight w:val="0"/>
      <w:marTop w:val="0"/>
      <w:marBottom w:val="0"/>
      <w:divBdr>
        <w:top w:val="none" w:sz="0" w:space="0" w:color="auto"/>
        <w:left w:val="none" w:sz="0" w:space="0" w:color="auto"/>
        <w:bottom w:val="none" w:sz="0" w:space="0" w:color="auto"/>
        <w:right w:val="none" w:sz="0" w:space="0" w:color="auto"/>
      </w:divBdr>
    </w:div>
    <w:div w:id="218176341">
      <w:bodyDiv w:val="1"/>
      <w:marLeft w:val="0"/>
      <w:marRight w:val="0"/>
      <w:marTop w:val="0"/>
      <w:marBottom w:val="0"/>
      <w:divBdr>
        <w:top w:val="none" w:sz="0" w:space="0" w:color="auto"/>
        <w:left w:val="none" w:sz="0" w:space="0" w:color="auto"/>
        <w:bottom w:val="none" w:sz="0" w:space="0" w:color="auto"/>
        <w:right w:val="none" w:sz="0" w:space="0" w:color="auto"/>
      </w:divBdr>
    </w:div>
    <w:div w:id="246037133">
      <w:bodyDiv w:val="1"/>
      <w:marLeft w:val="0"/>
      <w:marRight w:val="0"/>
      <w:marTop w:val="0"/>
      <w:marBottom w:val="0"/>
      <w:divBdr>
        <w:top w:val="none" w:sz="0" w:space="0" w:color="auto"/>
        <w:left w:val="none" w:sz="0" w:space="0" w:color="auto"/>
        <w:bottom w:val="none" w:sz="0" w:space="0" w:color="auto"/>
        <w:right w:val="none" w:sz="0" w:space="0" w:color="auto"/>
      </w:divBdr>
    </w:div>
    <w:div w:id="264962337">
      <w:bodyDiv w:val="1"/>
      <w:marLeft w:val="0"/>
      <w:marRight w:val="0"/>
      <w:marTop w:val="0"/>
      <w:marBottom w:val="0"/>
      <w:divBdr>
        <w:top w:val="none" w:sz="0" w:space="0" w:color="auto"/>
        <w:left w:val="none" w:sz="0" w:space="0" w:color="auto"/>
        <w:bottom w:val="none" w:sz="0" w:space="0" w:color="auto"/>
        <w:right w:val="none" w:sz="0" w:space="0" w:color="auto"/>
      </w:divBdr>
      <w:divsChild>
        <w:div w:id="1848253139">
          <w:marLeft w:val="0"/>
          <w:marRight w:val="0"/>
          <w:marTop w:val="0"/>
          <w:marBottom w:val="0"/>
          <w:divBdr>
            <w:top w:val="none" w:sz="0" w:space="0" w:color="auto"/>
            <w:left w:val="none" w:sz="0" w:space="0" w:color="auto"/>
            <w:bottom w:val="none" w:sz="0" w:space="0" w:color="auto"/>
            <w:right w:val="none" w:sz="0" w:space="0" w:color="auto"/>
          </w:divBdr>
        </w:div>
        <w:div w:id="555699226">
          <w:marLeft w:val="0"/>
          <w:marRight w:val="0"/>
          <w:marTop w:val="0"/>
          <w:marBottom w:val="0"/>
          <w:divBdr>
            <w:top w:val="none" w:sz="0" w:space="0" w:color="auto"/>
            <w:left w:val="none" w:sz="0" w:space="0" w:color="auto"/>
            <w:bottom w:val="none" w:sz="0" w:space="0" w:color="auto"/>
            <w:right w:val="none" w:sz="0" w:space="0" w:color="auto"/>
          </w:divBdr>
        </w:div>
      </w:divsChild>
    </w:div>
    <w:div w:id="325473451">
      <w:bodyDiv w:val="1"/>
      <w:marLeft w:val="0"/>
      <w:marRight w:val="0"/>
      <w:marTop w:val="0"/>
      <w:marBottom w:val="0"/>
      <w:divBdr>
        <w:top w:val="none" w:sz="0" w:space="0" w:color="auto"/>
        <w:left w:val="none" w:sz="0" w:space="0" w:color="auto"/>
        <w:bottom w:val="none" w:sz="0" w:space="0" w:color="auto"/>
        <w:right w:val="none" w:sz="0" w:space="0" w:color="auto"/>
      </w:divBdr>
    </w:div>
    <w:div w:id="333460544">
      <w:bodyDiv w:val="1"/>
      <w:marLeft w:val="0"/>
      <w:marRight w:val="0"/>
      <w:marTop w:val="0"/>
      <w:marBottom w:val="0"/>
      <w:divBdr>
        <w:top w:val="none" w:sz="0" w:space="0" w:color="auto"/>
        <w:left w:val="none" w:sz="0" w:space="0" w:color="auto"/>
        <w:bottom w:val="none" w:sz="0" w:space="0" w:color="auto"/>
        <w:right w:val="none" w:sz="0" w:space="0" w:color="auto"/>
      </w:divBdr>
    </w:div>
    <w:div w:id="336225629">
      <w:bodyDiv w:val="1"/>
      <w:marLeft w:val="0"/>
      <w:marRight w:val="0"/>
      <w:marTop w:val="0"/>
      <w:marBottom w:val="0"/>
      <w:divBdr>
        <w:top w:val="none" w:sz="0" w:space="0" w:color="auto"/>
        <w:left w:val="none" w:sz="0" w:space="0" w:color="auto"/>
        <w:bottom w:val="none" w:sz="0" w:space="0" w:color="auto"/>
        <w:right w:val="none" w:sz="0" w:space="0" w:color="auto"/>
      </w:divBdr>
    </w:div>
    <w:div w:id="346563856">
      <w:bodyDiv w:val="1"/>
      <w:marLeft w:val="0"/>
      <w:marRight w:val="0"/>
      <w:marTop w:val="0"/>
      <w:marBottom w:val="0"/>
      <w:divBdr>
        <w:top w:val="none" w:sz="0" w:space="0" w:color="auto"/>
        <w:left w:val="none" w:sz="0" w:space="0" w:color="auto"/>
        <w:bottom w:val="none" w:sz="0" w:space="0" w:color="auto"/>
        <w:right w:val="none" w:sz="0" w:space="0" w:color="auto"/>
      </w:divBdr>
    </w:div>
    <w:div w:id="357901417">
      <w:bodyDiv w:val="1"/>
      <w:marLeft w:val="0"/>
      <w:marRight w:val="0"/>
      <w:marTop w:val="0"/>
      <w:marBottom w:val="0"/>
      <w:divBdr>
        <w:top w:val="none" w:sz="0" w:space="0" w:color="auto"/>
        <w:left w:val="none" w:sz="0" w:space="0" w:color="auto"/>
        <w:bottom w:val="none" w:sz="0" w:space="0" w:color="auto"/>
        <w:right w:val="none" w:sz="0" w:space="0" w:color="auto"/>
      </w:divBdr>
    </w:div>
    <w:div w:id="363334752">
      <w:bodyDiv w:val="1"/>
      <w:marLeft w:val="0"/>
      <w:marRight w:val="0"/>
      <w:marTop w:val="0"/>
      <w:marBottom w:val="0"/>
      <w:divBdr>
        <w:top w:val="none" w:sz="0" w:space="0" w:color="auto"/>
        <w:left w:val="none" w:sz="0" w:space="0" w:color="auto"/>
        <w:bottom w:val="none" w:sz="0" w:space="0" w:color="auto"/>
        <w:right w:val="none" w:sz="0" w:space="0" w:color="auto"/>
      </w:divBdr>
    </w:div>
    <w:div w:id="366806027">
      <w:bodyDiv w:val="1"/>
      <w:marLeft w:val="0"/>
      <w:marRight w:val="0"/>
      <w:marTop w:val="0"/>
      <w:marBottom w:val="0"/>
      <w:divBdr>
        <w:top w:val="none" w:sz="0" w:space="0" w:color="auto"/>
        <w:left w:val="none" w:sz="0" w:space="0" w:color="auto"/>
        <w:bottom w:val="none" w:sz="0" w:space="0" w:color="auto"/>
        <w:right w:val="none" w:sz="0" w:space="0" w:color="auto"/>
      </w:divBdr>
    </w:div>
    <w:div w:id="374547906">
      <w:bodyDiv w:val="1"/>
      <w:marLeft w:val="0"/>
      <w:marRight w:val="0"/>
      <w:marTop w:val="0"/>
      <w:marBottom w:val="0"/>
      <w:divBdr>
        <w:top w:val="none" w:sz="0" w:space="0" w:color="auto"/>
        <w:left w:val="none" w:sz="0" w:space="0" w:color="auto"/>
        <w:bottom w:val="none" w:sz="0" w:space="0" w:color="auto"/>
        <w:right w:val="none" w:sz="0" w:space="0" w:color="auto"/>
      </w:divBdr>
    </w:div>
    <w:div w:id="380180706">
      <w:bodyDiv w:val="1"/>
      <w:marLeft w:val="0"/>
      <w:marRight w:val="0"/>
      <w:marTop w:val="0"/>
      <w:marBottom w:val="0"/>
      <w:divBdr>
        <w:top w:val="none" w:sz="0" w:space="0" w:color="auto"/>
        <w:left w:val="none" w:sz="0" w:space="0" w:color="auto"/>
        <w:bottom w:val="none" w:sz="0" w:space="0" w:color="auto"/>
        <w:right w:val="none" w:sz="0" w:space="0" w:color="auto"/>
      </w:divBdr>
    </w:div>
    <w:div w:id="402145750">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442309706">
      <w:bodyDiv w:val="1"/>
      <w:marLeft w:val="0"/>
      <w:marRight w:val="0"/>
      <w:marTop w:val="0"/>
      <w:marBottom w:val="0"/>
      <w:divBdr>
        <w:top w:val="none" w:sz="0" w:space="0" w:color="auto"/>
        <w:left w:val="none" w:sz="0" w:space="0" w:color="auto"/>
        <w:bottom w:val="none" w:sz="0" w:space="0" w:color="auto"/>
        <w:right w:val="none" w:sz="0" w:space="0" w:color="auto"/>
      </w:divBdr>
    </w:div>
    <w:div w:id="459760672">
      <w:bodyDiv w:val="1"/>
      <w:marLeft w:val="0"/>
      <w:marRight w:val="0"/>
      <w:marTop w:val="0"/>
      <w:marBottom w:val="0"/>
      <w:divBdr>
        <w:top w:val="none" w:sz="0" w:space="0" w:color="auto"/>
        <w:left w:val="none" w:sz="0" w:space="0" w:color="auto"/>
        <w:bottom w:val="none" w:sz="0" w:space="0" w:color="auto"/>
        <w:right w:val="none" w:sz="0" w:space="0" w:color="auto"/>
      </w:divBdr>
    </w:div>
    <w:div w:id="482242101">
      <w:bodyDiv w:val="1"/>
      <w:marLeft w:val="0"/>
      <w:marRight w:val="0"/>
      <w:marTop w:val="0"/>
      <w:marBottom w:val="0"/>
      <w:divBdr>
        <w:top w:val="none" w:sz="0" w:space="0" w:color="auto"/>
        <w:left w:val="none" w:sz="0" w:space="0" w:color="auto"/>
        <w:bottom w:val="none" w:sz="0" w:space="0" w:color="auto"/>
        <w:right w:val="none" w:sz="0" w:space="0" w:color="auto"/>
      </w:divBdr>
    </w:div>
    <w:div w:id="490293774">
      <w:bodyDiv w:val="1"/>
      <w:marLeft w:val="0"/>
      <w:marRight w:val="0"/>
      <w:marTop w:val="0"/>
      <w:marBottom w:val="0"/>
      <w:divBdr>
        <w:top w:val="none" w:sz="0" w:space="0" w:color="auto"/>
        <w:left w:val="none" w:sz="0" w:space="0" w:color="auto"/>
        <w:bottom w:val="none" w:sz="0" w:space="0" w:color="auto"/>
        <w:right w:val="none" w:sz="0" w:space="0" w:color="auto"/>
      </w:divBdr>
    </w:div>
    <w:div w:id="495727635">
      <w:bodyDiv w:val="1"/>
      <w:marLeft w:val="0"/>
      <w:marRight w:val="0"/>
      <w:marTop w:val="0"/>
      <w:marBottom w:val="0"/>
      <w:divBdr>
        <w:top w:val="none" w:sz="0" w:space="0" w:color="auto"/>
        <w:left w:val="none" w:sz="0" w:space="0" w:color="auto"/>
        <w:bottom w:val="none" w:sz="0" w:space="0" w:color="auto"/>
        <w:right w:val="none" w:sz="0" w:space="0" w:color="auto"/>
      </w:divBdr>
    </w:div>
    <w:div w:id="511989866">
      <w:bodyDiv w:val="1"/>
      <w:marLeft w:val="0"/>
      <w:marRight w:val="0"/>
      <w:marTop w:val="0"/>
      <w:marBottom w:val="0"/>
      <w:divBdr>
        <w:top w:val="none" w:sz="0" w:space="0" w:color="auto"/>
        <w:left w:val="none" w:sz="0" w:space="0" w:color="auto"/>
        <w:bottom w:val="none" w:sz="0" w:space="0" w:color="auto"/>
        <w:right w:val="none" w:sz="0" w:space="0" w:color="auto"/>
      </w:divBdr>
    </w:div>
    <w:div w:id="516848772">
      <w:bodyDiv w:val="1"/>
      <w:marLeft w:val="0"/>
      <w:marRight w:val="0"/>
      <w:marTop w:val="0"/>
      <w:marBottom w:val="0"/>
      <w:divBdr>
        <w:top w:val="none" w:sz="0" w:space="0" w:color="auto"/>
        <w:left w:val="none" w:sz="0" w:space="0" w:color="auto"/>
        <w:bottom w:val="none" w:sz="0" w:space="0" w:color="auto"/>
        <w:right w:val="none" w:sz="0" w:space="0" w:color="auto"/>
      </w:divBdr>
    </w:div>
    <w:div w:id="537008755">
      <w:bodyDiv w:val="1"/>
      <w:marLeft w:val="0"/>
      <w:marRight w:val="0"/>
      <w:marTop w:val="0"/>
      <w:marBottom w:val="0"/>
      <w:divBdr>
        <w:top w:val="none" w:sz="0" w:space="0" w:color="auto"/>
        <w:left w:val="none" w:sz="0" w:space="0" w:color="auto"/>
        <w:bottom w:val="none" w:sz="0" w:space="0" w:color="auto"/>
        <w:right w:val="none" w:sz="0" w:space="0" w:color="auto"/>
      </w:divBdr>
    </w:div>
    <w:div w:id="542402174">
      <w:bodyDiv w:val="1"/>
      <w:marLeft w:val="0"/>
      <w:marRight w:val="0"/>
      <w:marTop w:val="0"/>
      <w:marBottom w:val="0"/>
      <w:divBdr>
        <w:top w:val="none" w:sz="0" w:space="0" w:color="auto"/>
        <w:left w:val="none" w:sz="0" w:space="0" w:color="auto"/>
        <w:bottom w:val="none" w:sz="0" w:space="0" w:color="auto"/>
        <w:right w:val="none" w:sz="0" w:space="0" w:color="auto"/>
      </w:divBdr>
    </w:div>
    <w:div w:id="561864687">
      <w:bodyDiv w:val="1"/>
      <w:marLeft w:val="0"/>
      <w:marRight w:val="0"/>
      <w:marTop w:val="0"/>
      <w:marBottom w:val="0"/>
      <w:divBdr>
        <w:top w:val="none" w:sz="0" w:space="0" w:color="auto"/>
        <w:left w:val="none" w:sz="0" w:space="0" w:color="auto"/>
        <w:bottom w:val="none" w:sz="0" w:space="0" w:color="auto"/>
        <w:right w:val="none" w:sz="0" w:space="0" w:color="auto"/>
      </w:divBdr>
    </w:div>
    <w:div w:id="576520625">
      <w:bodyDiv w:val="1"/>
      <w:marLeft w:val="0"/>
      <w:marRight w:val="0"/>
      <w:marTop w:val="0"/>
      <w:marBottom w:val="0"/>
      <w:divBdr>
        <w:top w:val="none" w:sz="0" w:space="0" w:color="auto"/>
        <w:left w:val="none" w:sz="0" w:space="0" w:color="auto"/>
        <w:bottom w:val="none" w:sz="0" w:space="0" w:color="auto"/>
        <w:right w:val="none" w:sz="0" w:space="0" w:color="auto"/>
      </w:divBdr>
    </w:div>
    <w:div w:id="580022994">
      <w:bodyDiv w:val="1"/>
      <w:marLeft w:val="0"/>
      <w:marRight w:val="0"/>
      <w:marTop w:val="0"/>
      <w:marBottom w:val="0"/>
      <w:divBdr>
        <w:top w:val="none" w:sz="0" w:space="0" w:color="auto"/>
        <w:left w:val="none" w:sz="0" w:space="0" w:color="auto"/>
        <w:bottom w:val="none" w:sz="0" w:space="0" w:color="auto"/>
        <w:right w:val="none" w:sz="0" w:space="0" w:color="auto"/>
      </w:divBdr>
    </w:div>
    <w:div w:id="587466011">
      <w:bodyDiv w:val="1"/>
      <w:marLeft w:val="0"/>
      <w:marRight w:val="0"/>
      <w:marTop w:val="0"/>
      <w:marBottom w:val="0"/>
      <w:divBdr>
        <w:top w:val="none" w:sz="0" w:space="0" w:color="auto"/>
        <w:left w:val="none" w:sz="0" w:space="0" w:color="auto"/>
        <w:bottom w:val="none" w:sz="0" w:space="0" w:color="auto"/>
        <w:right w:val="none" w:sz="0" w:space="0" w:color="auto"/>
      </w:divBdr>
    </w:div>
    <w:div w:id="609435788">
      <w:bodyDiv w:val="1"/>
      <w:marLeft w:val="0"/>
      <w:marRight w:val="0"/>
      <w:marTop w:val="0"/>
      <w:marBottom w:val="0"/>
      <w:divBdr>
        <w:top w:val="none" w:sz="0" w:space="0" w:color="auto"/>
        <w:left w:val="none" w:sz="0" w:space="0" w:color="auto"/>
        <w:bottom w:val="none" w:sz="0" w:space="0" w:color="auto"/>
        <w:right w:val="none" w:sz="0" w:space="0" w:color="auto"/>
      </w:divBdr>
    </w:div>
    <w:div w:id="642198933">
      <w:bodyDiv w:val="1"/>
      <w:marLeft w:val="0"/>
      <w:marRight w:val="0"/>
      <w:marTop w:val="0"/>
      <w:marBottom w:val="0"/>
      <w:divBdr>
        <w:top w:val="none" w:sz="0" w:space="0" w:color="auto"/>
        <w:left w:val="none" w:sz="0" w:space="0" w:color="auto"/>
        <w:bottom w:val="none" w:sz="0" w:space="0" w:color="auto"/>
        <w:right w:val="none" w:sz="0" w:space="0" w:color="auto"/>
      </w:divBdr>
    </w:div>
    <w:div w:id="647561466">
      <w:bodyDiv w:val="1"/>
      <w:marLeft w:val="0"/>
      <w:marRight w:val="0"/>
      <w:marTop w:val="0"/>
      <w:marBottom w:val="0"/>
      <w:divBdr>
        <w:top w:val="none" w:sz="0" w:space="0" w:color="auto"/>
        <w:left w:val="none" w:sz="0" w:space="0" w:color="auto"/>
        <w:bottom w:val="none" w:sz="0" w:space="0" w:color="auto"/>
        <w:right w:val="none" w:sz="0" w:space="0" w:color="auto"/>
      </w:divBdr>
    </w:div>
    <w:div w:id="669255590">
      <w:bodyDiv w:val="1"/>
      <w:marLeft w:val="0"/>
      <w:marRight w:val="0"/>
      <w:marTop w:val="0"/>
      <w:marBottom w:val="0"/>
      <w:divBdr>
        <w:top w:val="none" w:sz="0" w:space="0" w:color="auto"/>
        <w:left w:val="none" w:sz="0" w:space="0" w:color="auto"/>
        <w:bottom w:val="none" w:sz="0" w:space="0" w:color="auto"/>
        <w:right w:val="none" w:sz="0" w:space="0" w:color="auto"/>
      </w:divBdr>
    </w:div>
    <w:div w:id="682440355">
      <w:bodyDiv w:val="1"/>
      <w:marLeft w:val="0"/>
      <w:marRight w:val="0"/>
      <w:marTop w:val="0"/>
      <w:marBottom w:val="0"/>
      <w:divBdr>
        <w:top w:val="none" w:sz="0" w:space="0" w:color="auto"/>
        <w:left w:val="none" w:sz="0" w:space="0" w:color="auto"/>
        <w:bottom w:val="none" w:sz="0" w:space="0" w:color="auto"/>
        <w:right w:val="none" w:sz="0" w:space="0" w:color="auto"/>
      </w:divBdr>
    </w:div>
    <w:div w:id="687759315">
      <w:bodyDiv w:val="1"/>
      <w:marLeft w:val="0"/>
      <w:marRight w:val="0"/>
      <w:marTop w:val="0"/>
      <w:marBottom w:val="0"/>
      <w:divBdr>
        <w:top w:val="none" w:sz="0" w:space="0" w:color="auto"/>
        <w:left w:val="none" w:sz="0" w:space="0" w:color="auto"/>
        <w:bottom w:val="none" w:sz="0" w:space="0" w:color="auto"/>
        <w:right w:val="none" w:sz="0" w:space="0" w:color="auto"/>
      </w:divBdr>
    </w:div>
    <w:div w:id="689988418">
      <w:bodyDiv w:val="1"/>
      <w:marLeft w:val="0"/>
      <w:marRight w:val="0"/>
      <w:marTop w:val="0"/>
      <w:marBottom w:val="0"/>
      <w:divBdr>
        <w:top w:val="none" w:sz="0" w:space="0" w:color="auto"/>
        <w:left w:val="none" w:sz="0" w:space="0" w:color="auto"/>
        <w:bottom w:val="none" w:sz="0" w:space="0" w:color="auto"/>
        <w:right w:val="none" w:sz="0" w:space="0" w:color="auto"/>
      </w:divBdr>
    </w:div>
    <w:div w:id="691147287">
      <w:bodyDiv w:val="1"/>
      <w:marLeft w:val="0"/>
      <w:marRight w:val="0"/>
      <w:marTop w:val="0"/>
      <w:marBottom w:val="0"/>
      <w:divBdr>
        <w:top w:val="none" w:sz="0" w:space="0" w:color="auto"/>
        <w:left w:val="none" w:sz="0" w:space="0" w:color="auto"/>
        <w:bottom w:val="none" w:sz="0" w:space="0" w:color="auto"/>
        <w:right w:val="none" w:sz="0" w:space="0" w:color="auto"/>
      </w:divBdr>
    </w:div>
    <w:div w:id="696934149">
      <w:bodyDiv w:val="1"/>
      <w:marLeft w:val="0"/>
      <w:marRight w:val="0"/>
      <w:marTop w:val="0"/>
      <w:marBottom w:val="0"/>
      <w:divBdr>
        <w:top w:val="none" w:sz="0" w:space="0" w:color="auto"/>
        <w:left w:val="none" w:sz="0" w:space="0" w:color="auto"/>
        <w:bottom w:val="none" w:sz="0" w:space="0" w:color="auto"/>
        <w:right w:val="none" w:sz="0" w:space="0" w:color="auto"/>
      </w:divBdr>
    </w:div>
    <w:div w:id="730348521">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35250598">
      <w:bodyDiv w:val="1"/>
      <w:marLeft w:val="0"/>
      <w:marRight w:val="0"/>
      <w:marTop w:val="0"/>
      <w:marBottom w:val="0"/>
      <w:divBdr>
        <w:top w:val="none" w:sz="0" w:space="0" w:color="auto"/>
        <w:left w:val="none" w:sz="0" w:space="0" w:color="auto"/>
        <w:bottom w:val="none" w:sz="0" w:space="0" w:color="auto"/>
        <w:right w:val="none" w:sz="0" w:space="0" w:color="auto"/>
      </w:divBdr>
    </w:div>
    <w:div w:id="773939275">
      <w:bodyDiv w:val="1"/>
      <w:marLeft w:val="0"/>
      <w:marRight w:val="0"/>
      <w:marTop w:val="0"/>
      <w:marBottom w:val="0"/>
      <w:divBdr>
        <w:top w:val="none" w:sz="0" w:space="0" w:color="auto"/>
        <w:left w:val="none" w:sz="0" w:space="0" w:color="auto"/>
        <w:bottom w:val="none" w:sz="0" w:space="0" w:color="auto"/>
        <w:right w:val="none" w:sz="0" w:space="0" w:color="auto"/>
      </w:divBdr>
    </w:div>
    <w:div w:id="799612501">
      <w:bodyDiv w:val="1"/>
      <w:marLeft w:val="0"/>
      <w:marRight w:val="0"/>
      <w:marTop w:val="0"/>
      <w:marBottom w:val="0"/>
      <w:divBdr>
        <w:top w:val="none" w:sz="0" w:space="0" w:color="auto"/>
        <w:left w:val="none" w:sz="0" w:space="0" w:color="auto"/>
        <w:bottom w:val="none" w:sz="0" w:space="0" w:color="auto"/>
        <w:right w:val="none" w:sz="0" w:space="0" w:color="auto"/>
      </w:divBdr>
      <w:divsChild>
        <w:div w:id="977883156">
          <w:marLeft w:val="0"/>
          <w:marRight w:val="0"/>
          <w:marTop w:val="0"/>
          <w:marBottom w:val="0"/>
          <w:divBdr>
            <w:top w:val="none" w:sz="0" w:space="0" w:color="auto"/>
            <w:left w:val="none" w:sz="0" w:space="0" w:color="auto"/>
            <w:bottom w:val="none" w:sz="0" w:space="0" w:color="auto"/>
            <w:right w:val="none" w:sz="0" w:space="0" w:color="auto"/>
          </w:divBdr>
          <w:divsChild>
            <w:div w:id="1724717880">
              <w:marLeft w:val="0"/>
              <w:marRight w:val="0"/>
              <w:marTop w:val="0"/>
              <w:marBottom w:val="0"/>
              <w:divBdr>
                <w:top w:val="none" w:sz="0" w:space="0" w:color="auto"/>
                <w:left w:val="none" w:sz="0" w:space="0" w:color="auto"/>
                <w:bottom w:val="none" w:sz="0" w:space="0" w:color="auto"/>
                <w:right w:val="none" w:sz="0" w:space="0" w:color="auto"/>
              </w:divBdr>
              <w:divsChild>
                <w:div w:id="1445727532">
                  <w:marLeft w:val="0"/>
                  <w:marRight w:val="0"/>
                  <w:marTop w:val="0"/>
                  <w:marBottom w:val="0"/>
                  <w:divBdr>
                    <w:top w:val="none" w:sz="0" w:space="0" w:color="auto"/>
                    <w:left w:val="none" w:sz="0" w:space="0" w:color="auto"/>
                    <w:bottom w:val="none" w:sz="0" w:space="0" w:color="auto"/>
                    <w:right w:val="none" w:sz="0" w:space="0" w:color="auto"/>
                  </w:divBdr>
                  <w:divsChild>
                    <w:div w:id="1527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2637">
      <w:bodyDiv w:val="1"/>
      <w:marLeft w:val="0"/>
      <w:marRight w:val="0"/>
      <w:marTop w:val="0"/>
      <w:marBottom w:val="0"/>
      <w:divBdr>
        <w:top w:val="none" w:sz="0" w:space="0" w:color="auto"/>
        <w:left w:val="none" w:sz="0" w:space="0" w:color="auto"/>
        <w:bottom w:val="none" w:sz="0" w:space="0" w:color="auto"/>
        <w:right w:val="none" w:sz="0" w:space="0" w:color="auto"/>
      </w:divBdr>
    </w:div>
    <w:div w:id="807477833">
      <w:bodyDiv w:val="1"/>
      <w:marLeft w:val="0"/>
      <w:marRight w:val="0"/>
      <w:marTop w:val="0"/>
      <w:marBottom w:val="0"/>
      <w:divBdr>
        <w:top w:val="none" w:sz="0" w:space="0" w:color="auto"/>
        <w:left w:val="none" w:sz="0" w:space="0" w:color="auto"/>
        <w:bottom w:val="none" w:sz="0" w:space="0" w:color="auto"/>
        <w:right w:val="none" w:sz="0" w:space="0" w:color="auto"/>
      </w:divBdr>
    </w:div>
    <w:div w:id="812678322">
      <w:bodyDiv w:val="1"/>
      <w:marLeft w:val="0"/>
      <w:marRight w:val="0"/>
      <w:marTop w:val="0"/>
      <w:marBottom w:val="0"/>
      <w:divBdr>
        <w:top w:val="none" w:sz="0" w:space="0" w:color="auto"/>
        <w:left w:val="none" w:sz="0" w:space="0" w:color="auto"/>
        <w:bottom w:val="none" w:sz="0" w:space="0" w:color="auto"/>
        <w:right w:val="none" w:sz="0" w:space="0" w:color="auto"/>
      </w:divBdr>
      <w:divsChild>
        <w:div w:id="1596522875">
          <w:marLeft w:val="0"/>
          <w:marRight w:val="0"/>
          <w:marTop w:val="0"/>
          <w:marBottom w:val="0"/>
          <w:divBdr>
            <w:top w:val="none" w:sz="0" w:space="0" w:color="auto"/>
            <w:left w:val="none" w:sz="0" w:space="0" w:color="auto"/>
            <w:bottom w:val="none" w:sz="0" w:space="0" w:color="auto"/>
            <w:right w:val="none" w:sz="0" w:space="0" w:color="auto"/>
          </w:divBdr>
        </w:div>
        <w:div w:id="1100876248">
          <w:marLeft w:val="0"/>
          <w:marRight w:val="0"/>
          <w:marTop w:val="0"/>
          <w:marBottom w:val="0"/>
          <w:divBdr>
            <w:top w:val="none" w:sz="0" w:space="0" w:color="auto"/>
            <w:left w:val="none" w:sz="0" w:space="0" w:color="auto"/>
            <w:bottom w:val="none" w:sz="0" w:space="0" w:color="auto"/>
            <w:right w:val="none" w:sz="0" w:space="0" w:color="auto"/>
          </w:divBdr>
        </w:div>
      </w:divsChild>
    </w:div>
    <w:div w:id="815222109">
      <w:bodyDiv w:val="1"/>
      <w:marLeft w:val="0"/>
      <w:marRight w:val="0"/>
      <w:marTop w:val="0"/>
      <w:marBottom w:val="0"/>
      <w:divBdr>
        <w:top w:val="none" w:sz="0" w:space="0" w:color="auto"/>
        <w:left w:val="none" w:sz="0" w:space="0" w:color="auto"/>
        <w:bottom w:val="none" w:sz="0" w:space="0" w:color="auto"/>
        <w:right w:val="none" w:sz="0" w:space="0" w:color="auto"/>
      </w:divBdr>
    </w:div>
    <w:div w:id="830144684">
      <w:bodyDiv w:val="1"/>
      <w:marLeft w:val="0"/>
      <w:marRight w:val="0"/>
      <w:marTop w:val="0"/>
      <w:marBottom w:val="0"/>
      <w:divBdr>
        <w:top w:val="none" w:sz="0" w:space="0" w:color="auto"/>
        <w:left w:val="none" w:sz="0" w:space="0" w:color="auto"/>
        <w:bottom w:val="none" w:sz="0" w:space="0" w:color="auto"/>
        <w:right w:val="none" w:sz="0" w:space="0" w:color="auto"/>
      </w:divBdr>
    </w:div>
    <w:div w:id="839124200">
      <w:bodyDiv w:val="1"/>
      <w:marLeft w:val="0"/>
      <w:marRight w:val="0"/>
      <w:marTop w:val="0"/>
      <w:marBottom w:val="0"/>
      <w:divBdr>
        <w:top w:val="none" w:sz="0" w:space="0" w:color="auto"/>
        <w:left w:val="none" w:sz="0" w:space="0" w:color="auto"/>
        <w:bottom w:val="none" w:sz="0" w:space="0" w:color="auto"/>
        <w:right w:val="none" w:sz="0" w:space="0" w:color="auto"/>
      </w:divBdr>
    </w:div>
    <w:div w:id="841312960">
      <w:bodyDiv w:val="1"/>
      <w:marLeft w:val="0"/>
      <w:marRight w:val="0"/>
      <w:marTop w:val="0"/>
      <w:marBottom w:val="0"/>
      <w:divBdr>
        <w:top w:val="none" w:sz="0" w:space="0" w:color="auto"/>
        <w:left w:val="none" w:sz="0" w:space="0" w:color="auto"/>
        <w:bottom w:val="none" w:sz="0" w:space="0" w:color="auto"/>
        <w:right w:val="none" w:sz="0" w:space="0" w:color="auto"/>
      </w:divBdr>
    </w:div>
    <w:div w:id="845706729">
      <w:bodyDiv w:val="1"/>
      <w:marLeft w:val="0"/>
      <w:marRight w:val="0"/>
      <w:marTop w:val="0"/>
      <w:marBottom w:val="0"/>
      <w:divBdr>
        <w:top w:val="none" w:sz="0" w:space="0" w:color="auto"/>
        <w:left w:val="none" w:sz="0" w:space="0" w:color="auto"/>
        <w:bottom w:val="none" w:sz="0" w:space="0" w:color="auto"/>
        <w:right w:val="none" w:sz="0" w:space="0" w:color="auto"/>
      </w:divBdr>
    </w:div>
    <w:div w:id="875314107">
      <w:bodyDiv w:val="1"/>
      <w:marLeft w:val="0"/>
      <w:marRight w:val="0"/>
      <w:marTop w:val="0"/>
      <w:marBottom w:val="0"/>
      <w:divBdr>
        <w:top w:val="none" w:sz="0" w:space="0" w:color="auto"/>
        <w:left w:val="none" w:sz="0" w:space="0" w:color="auto"/>
        <w:bottom w:val="none" w:sz="0" w:space="0" w:color="auto"/>
        <w:right w:val="none" w:sz="0" w:space="0" w:color="auto"/>
      </w:divBdr>
    </w:div>
    <w:div w:id="885986622">
      <w:bodyDiv w:val="1"/>
      <w:marLeft w:val="0"/>
      <w:marRight w:val="0"/>
      <w:marTop w:val="0"/>
      <w:marBottom w:val="0"/>
      <w:divBdr>
        <w:top w:val="none" w:sz="0" w:space="0" w:color="auto"/>
        <w:left w:val="none" w:sz="0" w:space="0" w:color="auto"/>
        <w:bottom w:val="none" w:sz="0" w:space="0" w:color="auto"/>
        <w:right w:val="none" w:sz="0" w:space="0" w:color="auto"/>
      </w:divBdr>
    </w:div>
    <w:div w:id="893810730">
      <w:bodyDiv w:val="1"/>
      <w:marLeft w:val="0"/>
      <w:marRight w:val="0"/>
      <w:marTop w:val="0"/>
      <w:marBottom w:val="0"/>
      <w:divBdr>
        <w:top w:val="none" w:sz="0" w:space="0" w:color="auto"/>
        <w:left w:val="none" w:sz="0" w:space="0" w:color="auto"/>
        <w:bottom w:val="none" w:sz="0" w:space="0" w:color="auto"/>
        <w:right w:val="none" w:sz="0" w:space="0" w:color="auto"/>
      </w:divBdr>
      <w:divsChild>
        <w:div w:id="390495991">
          <w:marLeft w:val="0"/>
          <w:marRight w:val="0"/>
          <w:marTop w:val="0"/>
          <w:marBottom w:val="0"/>
          <w:divBdr>
            <w:top w:val="none" w:sz="0" w:space="0" w:color="auto"/>
            <w:left w:val="none" w:sz="0" w:space="0" w:color="auto"/>
            <w:bottom w:val="none" w:sz="0" w:space="0" w:color="auto"/>
            <w:right w:val="none" w:sz="0" w:space="0" w:color="auto"/>
          </w:divBdr>
        </w:div>
        <w:div w:id="2140146483">
          <w:marLeft w:val="0"/>
          <w:marRight w:val="0"/>
          <w:marTop w:val="0"/>
          <w:marBottom w:val="0"/>
          <w:divBdr>
            <w:top w:val="none" w:sz="0" w:space="0" w:color="auto"/>
            <w:left w:val="none" w:sz="0" w:space="0" w:color="auto"/>
            <w:bottom w:val="none" w:sz="0" w:space="0" w:color="auto"/>
            <w:right w:val="none" w:sz="0" w:space="0" w:color="auto"/>
          </w:divBdr>
        </w:div>
      </w:divsChild>
    </w:div>
    <w:div w:id="907229469">
      <w:bodyDiv w:val="1"/>
      <w:marLeft w:val="0"/>
      <w:marRight w:val="0"/>
      <w:marTop w:val="0"/>
      <w:marBottom w:val="0"/>
      <w:divBdr>
        <w:top w:val="none" w:sz="0" w:space="0" w:color="auto"/>
        <w:left w:val="none" w:sz="0" w:space="0" w:color="auto"/>
        <w:bottom w:val="none" w:sz="0" w:space="0" w:color="auto"/>
        <w:right w:val="none" w:sz="0" w:space="0" w:color="auto"/>
      </w:divBdr>
    </w:div>
    <w:div w:id="928537570">
      <w:bodyDiv w:val="1"/>
      <w:marLeft w:val="0"/>
      <w:marRight w:val="0"/>
      <w:marTop w:val="0"/>
      <w:marBottom w:val="0"/>
      <w:divBdr>
        <w:top w:val="none" w:sz="0" w:space="0" w:color="auto"/>
        <w:left w:val="none" w:sz="0" w:space="0" w:color="auto"/>
        <w:bottom w:val="none" w:sz="0" w:space="0" w:color="auto"/>
        <w:right w:val="none" w:sz="0" w:space="0" w:color="auto"/>
      </w:divBdr>
    </w:div>
    <w:div w:id="945963580">
      <w:bodyDiv w:val="1"/>
      <w:marLeft w:val="0"/>
      <w:marRight w:val="0"/>
      <w:marTop w:val="0"/>
      <w:marBottom w:val="0"/>
      <w:divBdr>
        <w:top w:val="none" w:sz="0" w:space="0" w:color="auto"/>
        <w:left w:val="none" w:sz="0" w:space="0" w:color="auto"/>
        <w:bottom w:val="none" w:sz="0" w:space="0" w:color="auto"/>
        <w:right w:val="none" w:sz="0" w:space="0" w:color="auto"/>
      </w:divBdr>
    </w:div>
    <w:div w:id="960963813">
      <w:bodyDiv w:val="1"/>
      <w:marLeft w:val="0"/>
      <w:marRight w:val="0"/>
      <w:marTop w:val="0"/>
      <w:marBottom w:val="0"/>
      <w:divBdr>
        <w:top w:val="none" w:sz="0" w:space="0" w:color="auto"/>
        <w:left w:val="none" w:sz="0" w:space="0" w:color="auto"/>
        <w:bottom w:val="none" w:sz="0" w:space="0" w:color="auto"/>
        <w:right w:val="none" w:sz="0" w:space="0" w:color="auto"/>
      </w:divBdr>
    </w:div>
    <w:div w:id="984817621">
      <w:bodyDiv w:val="1"/>
      <w:marLeft w:val="0"/>
      <w:marRight w:val="0"/>
      <w:marTop w:val="0"/>
      <w:marBottom w:val="0"/>
      <w:divBdr>
        <w:top w:val="none" w:sz="0" w:space="0" w:color="auto"/>
        <w:left w:val="none" w:sz="0" w:space="0" w:color="auto"/>
        <w:bottom w:val="none" w:sz="0" w:space="0" w:color="auto"/>
        <w:right w:val="none" w:sz="0" w:space="0" w:color="auto"/>
      </w:divBdr>
    </w:div>
    <w:div w:id="989283548">
      <w:bodyDiv w:val="1"/>
      <w:marLeft w:val="0"/>
      <w:marRight w:val="0"/>
      <w:marTop w:val="0"/>
      <w:marBottom w:val="0"/>
      <w:divBdr>
        <w:top w:val="none" w:sz="0" w:space="0" w:color="auto"/>
        <w:left w:val="none" w:sz="0" w:space="0" w:color="auto"/>
        <w:bottom w:val="none" w:sz="0" w:space="0" w:color="auto"/>
        <w:right w:val="none" w:sz="0" w:space="0" w:color="auto"/>
      </w:divBdr>
    </w:div>
    <w:div w:id="995454921">
      <w:bodyDiv w:val="1"/>
      <w:marLeft w:val="0"/>
      <w:marRight w:val="0"/>
      <w:marTop w:val="0"/>
      <w:marBottom w:val="0"/>
      <w:divBdr>
        <w:top w:val="none" w:sz="0" w:space="0" w:color="auto"/>
        <w:left w:val="none" w:sz="0" w:space="0" w:color="auto"/>
        <w:bottom w:val="none" w:sz="0" w:space="0" w:color="auto"/>
        <w:right w:val="none" w:sz="0" w:space="0" w:color="auto"/>
      </w:divBdr>
    </w:div>
    <w:div w:id="995568720">
      <w:bodyDiv w:val="1"/>
      <w:marLeft w:val="0"/>
      <w:marRight w:val="0"/>
      <w:marTop w:val="0"/>
      <w:marBottom w:val="0"/>
      <w:divBdr>
        <w:top w:val="none" w:sz="0" w:space="0" w:color="auto"/>
        <w:left w:val="none" w:sz="0" w:space="0" w:color="auto"/>
        <w:bottom w:val="none" w:sz="0" w:space="0" w:color="auto"/>
        <w:right w:val="none" w:sz="0" w:space="0" w:color="auto"/>
      </w:divBdr>
    </w:div>
    <w:div w:id="1004016076">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26565405">
      <w:bodyDiv w:val="1"/>
      <w:marLeft w:val="0"/>
      <w:marRight w:val="0"/>
      <w:marTop w:val="0"/>
      <w:marBottom w:val="0"/>
      <w:divBdr>
        <w:top w:val="none" w:sz="0" w:space="0" w:color="auto"/>
        <w:left w:val="none" w:sz="0" w:space="0" w:color="auto"/>
        <w:bottom w:val="none" w:sz="0" w:space="0" w:color="auto"/>
        <w:right w:val="none" w:sz="0" w:space="0" w:color="auto"/>
      </w:divBdr>
    </w:div>
    <w:div w:id="1029186999">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89910">
      <w:bodyDiv w:val="1"/>
      <w:marLeft w:val="0"/>
      <w:marRight w:val="0"/>
      <w:marTop w:val="0"/>
      <w:marBottom w:val="0"/>
      <w:divBdr>
        <w:top w:val="none" w:sz="0" w:space="0" w:color="auto"/>
        <w:left w:val="none" w:sz="0" w:space="0" w:color="auto"/>
        <w:bottom w:val="none" w:sz="0" w:space="0" w:color="auto"/>
        <w:right w:val="none" w:sz="0" w:space="0" w:color="auto"/>
      </w:divBdr>
    </w:div>
    <w:div w:id="1116369574">
      <w:bodyDiv w:val="1"/>
      <w:marLeft w:val="0"/>
      <w:marRight w:val="0"/>
      <w:marTop w:val="0"/>
      <w:marBottom w:val="0"/>
      <w:divBdr>
        <w:top w:val="none" w:sz="0" w:space="0" w:color="auto"/>
        <w:left w:val="none" w:sz="0" w:space="0" w:color="auto"/>
        <w:bottom w:val="none" w:sz="0" w:space="0" w:color="auto"/>
        <w:right w:val="none" w:sz="0" w:space="0" w:color="auto"/>
      </w:divBdr>
    </w:div>
    <w:div w:id="1137383311">
      <w:bodyDiv w:val="1"/>
      <w:marLeft w:val="0"/>
      <w:marRight w:val="0"/>
      <w:marTop w:val="0"/>
      <w:marBottom w:val="0"/>
      <w:divBdr>
        <w:top w:val="none" w:sz="0" w:space="0" w:color="auto"/>
        <w:left w:val="none" w:sz="0" w:space="0" w:color="auto"/>
        <w:bottom w:val="none" w:sz="0" w:space="0" w:color="auto"/>
        <w:right w:val="none" w:sz="0" w:space="0" w:color="auto"/>
      </w:divBdr>
    </w:div>
    <w:div w:id="1160003868">
      <w:bodyDiv w:val="1"/>
      <w:marLeft w:val="0"/>
      <w:marRight w:val="0"/>
      <w:marTop w:val="0"/>
      <w:marBottom w:val="0"/>
      <w:divBdr>
        <w:top w:val="none" w:sz="0" w:space="0" w:color="auto"/>
        <w:left w:val="none" w:sz="0" w:space="0" w:color="auto"/>
        <w:bottom w:val="none" w:sz="0" w:space="0" w:color="auto"/>
        <w:right w:val="none" w:sz="0" w:space="0" w:color="auto"/>
      </w:divBdr>
      <w:divsChild>
        <w:div w:id="472721206">
          <w:marLeft w:val="0"/>
          <w:marRight w:val="0"/>
          <w:marTop w:val="0"/>
          <w:marBottom w:val="0"/>
          <w:divBdr>
            <w:top w:val="none" w:sz="0" w:space="0" w:color="auto"/>
            <w:left w:val="none" w:sz="0" w:space="0" w:color="auto"/>
            <w:bottom w:val="none" w:sz="0" w:space="0" w:color="auto"/>
            <w:right w:val="none" w:sz="0" w:space="0" w:color="auto"/>
          </w:divBdr>
          <w:divsChild>
            <w:div w:id="1495410391">
              <w:marLeft w:val="0"/>
              <w:marRight w:val="0"/>
              <w:marTop w:val="0"/>
              <w:marBottom w:val="0"/>
              <w:divBdr>
                <w:top w:val="none" w:sz="0" w:space="0" w:color="auto"/>
                <w:left w:val="none" w:sz="0" w:space="0" w:color="auto"/>
                <w:bottom w:val="none" w:sz="0" w:space="0" w:color="auto"/>
                <w:right w:val="none" w:sz="0" w:space="0" w:color="auto"/>
              </w:divBdr>
              <w:divsChild>
                <w:div w:id="308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2428">
      <w:bodyDiv w:val="1"/>
      <w:marLeft w:val="0"/>
      <w:marRight w:val="0"/>
      <w:marTop w:val="0"/>
      <w:marBottom w:val="0"/>
      <w:divBdr>
        <w:top w:val="none" w:sz="0" w:space="0" w:color="auto"/>
        <w:left w:val="none" w:sz="0" w:space="0" w:color="auto"/>
        <w:bottom w:val="none" w:sz="0" w:space="0" w:color="auto"/>
        <w:right w:val="none" w:sz="0" w:space="0" w:color="auto"/>
      </w:divBdr>
    </w:div>
    <w:div w:id="1173496153">
      <w:bodyDiv w:val="1"/>
      <w:marLeft w:val="0"/>
      <w:marRight w:val="0"/>
      <w:marTop w:val="0"/>
      <w:marBottom w:val="0"/>
      <w:divBdr>
        <w:top w:val="none" w:sz="0" w:space="0" w:color="auto"/>
        <w:left w:val="none" w:sz="0" w:space="0" w:color="auto"/>
        <w:bottom w:val="none" w:sz="0" w:space="0" w:color="auto"/>
        <w:right w:val="none" w:sz="0" w:space="0" w:color="auto"/>
      </w:divBdr>
    </w:div>
    <w:div w:id="1175993480">
      <w:bodyDiv w:val="1"/>
      <w:marLeft w:val="0"/>
      <w:marRight w:val="0"/>
      <w:marTop w:val="0"/>
      <w:marBottom w:val="0"/>
      <w:divBdr>
        <w:top w:val="none" w:sz="0" w:space="0" w:color="auto"/>
        <w:left w:val="none" w:sz="0" w:space="0" w:color="auto"/>
        <w:bottom w:val="none" w:sz="0" w:space="0" w:color="auto"/>
        <w:right w:val="none" w:sz="0" w:space="0" w:color="auto"/>
      </w:divBdr>
    </w:div>
    <w:div w:id="1180588284">
      <w:bodyDiv w:val="1"/>
      <w:marLeft w:val="0"/>
      <w:marRight w:val="0"/>
      <w:marTop w:val="0"/>
      <w:marBottom w:val="0"/>
      <w:divBdr>
        <w:top w:val="none" w:sz="0" w:space="0" w:color="auto"/>
        <w:left w:val="none" w:sz="0" w:space="0" w:color="auto"/>
        <w:bottom w:val="none" w:sz="0" w:space="0" w:color="auto"/>
        <w:right w:val="none" w:sz="0" w:space="0" w:color="auto"/>
      </w:divBdr>
    </w:div>
    <w:div w:id="1182745783">
      <w:bodyDiv w:val="1"/>
      <w:marLeft w:val="0"/>
      <w:marRight w:val="0"/>
      <w:marTop w:val="0"/>
      <w:marBottom w:val="0"/>
      <w:divBdr>
        <w:top w:val="none" w:sz="0" w:space="0" w:color="auto"/>
        <w:left w:val="none" w:sz="0" w:space="0" w:color="auto"/>
        <w:bottom w:val="none" w:sz="0" w:space="0" w:color="auto"/>
        <w:right w:val="none" w:sz="0" w:space="0" w:color="auto"/>
      </w:divBdr>
    </w:div>
    <w:div w:id="1239100544">
      <w:bodyDiv w:val="1"/>
      <w:marLeft w:val="0"/>
      <w:marRight w:val="0"/>
      <w:marTop w:val="0"/>
      <w:marBottom w:val="0"/>
      <w:divBdr>
        <w:top w:val="none" w:sz="0" w:space="0" w:color="auto"/>
        <w:left w:val="none" w:sz="0" w:space="0" w:color="auto"/>
        <w:bottom w:val="none" w:sz="0" w:space="0" w:color="auto"/>
        <w:right w:val="none" w:sz="0" w:space="0" w:color="auto"/>
      </w:divBdr>
    </w:div>
    <w:div w:id="1248881735">
      <w:bodyDiv w:val="1"/>
      <w:marLeft w:val="0"/>
      <w:marRight w:val="0"/>
      <w:marTop w:val="0"/>
      <w:marBottom w:val="0"/>
      <w:divBdr>
        <w:top w:val="none" w:sz="0" w:space="0" w:color="auto"/>
        <w:left w:val="none" w:sz="0" w:space="0" w:color="auto"/>
        <w:bottom w:val="none" w:sz="0" w:space="0" w:color="auto"/>
        <w:right w:val="none" w:sz="0" w:space="0" w:color="auto"/>
      </w:divBdr>
    </w:div>
    <w:div w:id="1259219966">
      <w:bodyDiv w:val="1"/>
      <w:marLeft w:val="0"/>
      <w:marRight w:val="0"/>
      <w:marTop w:val="0"/>
      <w:marBottom w:val="0"/>
      <w:divBdr>
        <w:top w:val="none" w:sz="0" w:space="0" w:color="auto"/>
        <w:left w:val="none" w:sz="0" w:space="0" w:color="auto"/>
        <w:bottom w:val="none" w:sz="0" w:space="0" w:color="auto"/>
        <w:right w:val="none" w:sz="0" w:space="0" w:color="auto"/>
      </w:divBdr>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267735650">
      <w:bodyDiv w:val="1"/>
      <w:marLeft w:val="0"/>
      <w:marRight w:val="0"/>
      <w:marTop w:val="0"/>
      <w:marBottom w:val="0"/>
      <w:divBdr>
        <w:top w:val="none" w:sz="0" w:space="0" w:color="auto"/>
        <w:left w:val="none" w:sz="0" w:space="0" w:color="auto"/>
        <w:bottom w:val="none" w:sz="0" w:space="0" w:color="auto"/>
        <w:right w:val="none" w:sz="0" w:space="0" w:color="auto"/>
      </w:divBdr>
    </w:div>
    <w:div w:id="1295216616">
      <w:bodyDiv w:val="1"/>
      <w:marLeft w:val="0"/>
      <w:marRight w:val="0"/>
      <w:marTop w:val="0"/>
      <w:marBottom w:val="0"/>
      <w:divBdr>
        <w:top w:val="none" w:sz="0" w:space="0" w:color="auto"/>
        <w:left w:val="none" w:sz="0" w:space="0" w:color="auto"/>
        <w:bottom w:val="none" w:sz="0" w:space="0" w:color="auto"/>
        <w:right w:val="none" w:sz="0" w:space="0" w:color="auto"/>
      </w:divBdr>
    </w:div>
    <w:div w:id="1297760585">
      <w:bodyDiv w:val="1"/>
      <w:marLeft w:val="0"/>
      <w:marRight w:val="0"/>
      <w:marTop w:val="0"/>
      <w:marBottom w:val="0"/>
      <w:divBdr>
        <w:top w:val="none" w:sz="0" w:space="0" w:color="auto"/>
        <w:left w:val="none" w:sz="0" w:space="0" w:color="auto"/>
        <w:bottom w:val="none" w:sz="0" w:space="0" w:color="auto"/>
        <w:right w:val="none" w:sz="0" w:space="0" w:color="auto"/>
      </w:divBdr>
    </w:div>
    <w:div w:id="1298223512">
      <w:bodyDiv w:val="1"/>
      <w:marLeft w:val="0"/>
      <w:marRight w:val="0"/>
      <w:marTop w:val="0"/>
      <w:marBottom w:val="0"/>
      <w:divBdr>
        <w:top w:val="none" w:sz="0" w:space="0" w:color="auto"/>
        <w:left w:val="none" w:sz="0" w:space="0" w:color="auto"/>
        <w:bottom w:val="none" w:sz="0" w:space="0" w:color="auto"/>
        <w:right w:val="none" w:sz="0" w:space="0" w:color="auto"/>
      </w:divBdr>
    </w:div>
    <w:div w:id="1299342875">
      <w:bodyDiv w:val="1"/>
      <w:marLeft w:val="0"/>
      <w:marRight w:val="0"/>
      <w:marTop w:val="0"/>
      <w:marBottom w:val="0"/>
      <w:divBdr>
        <w:top w:val="none" w:sz="0" w:space="0" w:color="auto"/>
        <w:left w:val="none" w:sz="0" w:space="0" w:color="auto"/>
        <w:bottom w:val="none" w:sz="0" w:space="0" w:color="auto"/>
        <w:right w:val="none" w:sz="0" w:space="0" w:color="auto"/>
      </w:divBdr>
    </w:div>
    <w:div w:id="1304656346">
      <w:bodyDiv w:val="1"/>
      <w:marLeft w:val="0"/>
      <w:marRight w:val="0"/>
      <w:marTop w:val="0"/>
      <w:marBottom w:val="0"/>
      <w:divBdr>
        <w:top w:val="none" w:sz="0" w:space="0" w:color="auto"/>
        <w:left w:val="none" w:sz="0" w:space="0" w:color="auto"/>
        <w:bottom w:val="none" w:sz="0" w:space="0" w:color="auto"/>
        <w:right w:val="none" w:sz="0" w:space="0" w:color="auto"/>
      </w:divBdr>
    </w:div>
    <w:div w:id="1311058849">
      <w:bodyDiv w:val="1"/>
      <w:marLeft w:val="0"/>
      <w:marRight w:val="0"/>
      <w:marTop w:val="0"/>
      <w:marBottom w:val="0"/>
      <w:divBdr>
        <w:top w:val="none" w:sz="0" w:space="0" w:color="auto"/>
        <w:left w:val="none" w:sz="0" w:space="0" w:color="auto"/>
        <w:bottom w:val="none" w:sz="0" w:space="0" w:color="auto"/>
        <w:right w:val="none" w:sz="0" w:space="0" w:color="auto"/>
      </w:divBdr>
    </w:div>
    <w:div w:id="1315798920">
      <w:bodyDiv w:val="1"/>
      <w:marLeft w:val="0"/>
      <w:marRight w:val="0"/>
      <w:marTop w:val="0"/>
      <w:marBottom w:val="0"/>
      <w:divBdr>
        <w:top w:val="none" w:sz="0" w:space="0" w:color="auto"/>
        <w:left w:val="none" w:sz="0" w:space="0" w:color="auto"/>
        <w:bottom w:val="none" w:sz="0" w:space="0" w:color="auto"/>
        <w:right w:val="none" w:sz="0" w:space="0" w:color="auto"/>
      </w:divBdr>
      <w:divsChild>
        <w:div w:id="1493792596">
          <w:marLeft w:val="0"/>
          <w:marRight w:val="0"/>
          <w:marTop w:val="0"/>
          <w:marBottom w:val="0"/>
          <w:divBdr>
            <w:top w:val="none" w:sz="0" w:space="0" w:color="auto"/>
            <w:left w:val="none" w:sz="0" w:space="0" w:color="auto"/>
            <w:bottom w:val="none" w:sz="0" w:space="0" w:color="auto"/>
            <w:right w:val="none" w:sz="0" w:space="0" w:color="auto"/>
          </w:divBdr>
        </w:div>
        <w:div w:id="50274809">
          <w:marLeft w:val="0"/>
          <w:marRight w:val="0"/>
          <w:marTop w:val="0"/>
          <w:marBottom w:val="0"/>
          <w:divBdr>
            <w:top w:val="none" w:sz="0" w:space="0" w:color="auto"/>
            <w:left w:val="none" w:sz="0" w:space="0" w:color="auto"/>
            <w:bottom w:val="none" w:sz="0" w:space="0" w:color="auto"/>
            <w:right w:val="none" w:sz="0" w:space="0" w:color="auto"/>
          </w:divBdr>
        </w:div>
      </w:divsChild>
    </w:div>
    <w:div w:id="1321737408">
      <w:bodyDiv w:val="1"/>
      <w:marLeft w:val="0"/>
      <w:marRight w:val="0"/>
      <w:marTop w:val="0"/>
      <w:marBottom w:val="0"/>
      <w:divBdr>
        <w:top w:val="none" w:sz="0" w:space="0" w:color="auto"/>
        <w:left w:val="none" w:sz="0" w:space="0" w:color="auto"/>
        <w:bottom w:val="none" w:sz="0" w:space="0" w:color="auto"/>
        <w:right w:val="none" w:sz="0" w:space="0" w:color="auto"/>
      </w:divBdr>
    </w:div>
    <w:div w:id="1345327691">
      <w:bodyDiv w:val="1"/>
      <w:marLeft w:val="0"/>
      <w:marRight w:val="0"/>
      <w:marTop w:val="0"/>
      <w:marBottom w:val="0"/>
      <w:divBdr>
        <w:top w:val="none" w:sz="0" w:space="0" w:color="auto"/>
        <w:left w:val="none" w:sz="0" w:space="0" w:color="auto"/>
        <w:bottom w:val="none" w:sz="0" w:space="0" w:color="auto"/>
        <w:right w:val="none" w:sz="0" w:space="0" w:color="auto"/>
      </w:divBdr>
      <w:divsChild>
        <w:div w:id="1171410931">
          <w:marLeft w:val="0"/>
          <w:marRight w:val="0"/>
          <w:marTop w:val="0"/>
          <w:marBottom w:val="0"/>
          <w:divBdr>
            <w:top w:val="none" w:sz="0" w:space="0" w:color="auto"/>
            <w:left w:val="none" w:sz="0" w:space="0" w:color="auto"/>
            <w:bottom w:val="none" w:sz="0" w:space="0" w:color="auto"/>
            <w:right w:val="none" w:sz="0" w:space="0" w:color="auto"/>
          </w:divBdr>
          <w:divsChild>
            <w:div w:id="1488283670">
              <w:marLeft w:val="0"/>
              <w:marRight w:val="0"/>
              <w:marTop w:val="0"/>
              <w:marBottom w:val="0"/>
              <w:divBdr>
                <w:top w:val="none" w:sz="0" w:space="0" w:color="auto"/>
                <w:left w:val="none" w:sz="0" w:space="0" w:color="auto"/>
                <w:bottom w:val="none" w:sz="0" w:space="0" w:color="auto"/>
                <w:right w:val="none" w:sz="0" w:space="0" w:color="auto"/>
              </w:divBdr>
              <w:divsChild>
                <w:div w:id="551232216">
                  <w:marLeft w:val="0"/>
                  <w:marRight w:val="0"/>
                  <w:marTop w:val="0"/>
                  <w:marBottom w:val="0"/>
                  <w:divBdr>
                    <w:top w:val="none" w:sz="0" w:space="0" w:color="auto"/>
                    <w:left w:val="none" w:sz="0" w:space="0" w:color="auto"/>
                    <w:bottom w:val="none" w:sz="0" w:space="0" w:color="auto"/>
                    <w:right w:val="none" w:sz="0" w:space="0" w:color="auto"/>
                  </w:divBdr>
                  <w:divsChild>
                    <w:div w:id="21056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99583">
      <w:bodyDiv w:val="1"/>
      <w:marLeft w:val="0"/>
      <w:marRight w:val="0"/>
      <w:marTop w:val="0"/>
      <w:marBottom w:val="0"/>
      <w:divBdr>
        <w:top w:val="none" w:sz="0" w:space="0" w:color="auto"/>
        <w:left w:val="none" w:sz="0" w:space="0" w:color="auto"/>
        <w:bottom w:val="none" w:sz="0" w:space="0" w:color="auto"/>
        <w:right w:val="none" w:sz="0" w:space="0" w:color="auto"/>
      </w:divBdr>
    </w:div>
    <w:div w:id="1350185189">
      <w:bodyDiv w:val="1"/>
      <w:marLeft w:val="0"/>
      <w:marRight w:val="0"/>
      <w:marTop w:val="0"/>
      <w:marBottom w:val="0"/>
      <w:divBdr>
        <w:top w:val="none" w:sz="0" w:space="0" w:color="auto"/>
        <w:left w:val="none" w:sz="0" w:space="0" w:color="auto"/>
        <w:bottom w:val="none" w:sz="0" w:space="0" w:color="auto"/>
        <w:right w:val="none" w:sz="0" w:space="0" w:color="auto"/>
      </w:divBdr>
    </w:div>
    <w:div w:id="1359282955">
      <w:bodyDiv w:val="1"/>
      <w:marLeft w:val="0"/>
      <w:marRight w:val="0"/>
      <w:marTop w:val="0"/>
      <w:marBottom w:val="0"/>
      <w:divBdr>
        <w:top w:val="none" w:sz="0" w:space="0" w:color="auto"/>
        <w:left w:val="none" w:sz="0" w:space="0" w:color="auto"/>
        <w:bottom w:val="none" w:sz="0" w:space="0" w:color="auto"/>
        <w:right w:val="none" w:sz="0" w:space="0" w:color="auto"/>
      </w:divBdr>
    </w:div>
    <w:div w:id="1392074563">
      <w:bodyDiv w:val="1"/>
      <w:marLeft w:val="0"/>
      <w:marRight w:val="0"/>
      <w:marTop w:val="0"/>
      <w:marBottom w:val="0"/>
      <w:divBdr>
        <w:top w:val="none" w:sz="0" w:space="0" w:color="auto"/>
        <w:left w:val="none" w:sz="0" w:space="0" w:color="auto"/>
        <w:bottom w:val="none" w:sz="0" w:space="0" w:color="auto"/>
        <w:right w:val="none" w:sz="0" w:space="0" w:color="auto"/>
      </w:divBdr>
    </w:div>
    <w:div w:id="1413939509">
      <w:bodyDiv w:val="1"/>
      <w:marLeft w:val="0"/>
      <w:marRight w:val="0"/>
      <w:marTop w:val="0"/>
      <w:marBottom w:val="0"/>
      <w:divBdr>
        <w:top w:val="none" w:sz="0" w:space="0" w:color="auto"/>
        <w:left w:val="none" w:sz="0" w:space="0" w:color="auto"/>
        <w:bottom w:val="none" w:sz="0" w:space="0" w:color="auto"/>
        <w:right w:val="none" w:sz="0" w:space="0" w:color="auto"/>
      </w:divBdr>
    </w:div>
    <w:div w:id="1416125132">
      <w:bodyDiv w:val="1"/>
      <w:marLeft w:val="0"/>
      <w:marRight w:val="0"/>
      <w:marTop w:val="0"/>
      <w:marBottom w:val="0"/>
      <w:divBdr>
        <w:top w:val="none" w:sz="0" w:space="0" w:color="auto"/>
        <w:left w:val="none" w:sz="0" w:space="0" w:color="auto"/>
        <w:bottom w:val="none" w:sz="0" w:space="0" w:color="auto"/>
        <w:right w:val="none" w:sz="0" w:space="0" w:color="auto"/>
      </w:divBdr>
    </w:div>
    <w:div w:id="1427115780">
      <w:bodyDiv w:val="1"/>
      <w:marLeft w:val="0"/>
      <w:marRight w:val="0"/>
      <w:marTop w:val="0"/>
      <w:marBottom w:val="0"/>
      <w:divBdr>
        <w:top w:val="none" w:sz="0" w:space="0" w:color="auto"/>
        <w:left w:val="none" w:sz="0" w:space="0" w:color="auto"/>
        <w:bottom w:val="none" w:sz="0" w:space="0" w:color="auto"/>
        <w:right w:val="none" w:sz="0" w:space="0" w:color="auto"/>
      </w:divBdr>
    </w:div>
    <w:div w:id="1438210269">
      <w:bodyDiv w:val="1"/>
      <w:marLeft w:val="0"/>
      <w:marRight w:val="0"/>
      <w:marTop w:val="0"/>
      <w:marBottom w:val="0"/>
      <w:divBdr>
        <w:top w:val="none" w:sz="0" w:space="0" w:color="auto"/>
        <w:left w:val="none" w:sz="0" w:space="0" w:color="auto"/>
        <w:bottom w:val="none" w:sz="0" w:space="0" w:color="auto"/>
        <w:right w:val="none" w:sz="0" w:space="0" w:color="auto"/>
      </w:divBdr>
    </w:div>
    <w:div w:id="1445661307">
      <w:bodyDiv w:val="1"/>
      <w:marLeft w:val="0"/>
      <w:marRight w:val="0"/>
      <w:marTop w:val="0"/>
      <w:marBottom w:val="0"/>
      <w:divBdr>
        <w:top w:val="none" w:sz="0" w:space="0" w:color="auto"/>
        <w:left w:val="none" w:sz="0" w:space="0" w:color="auto"/>
        <w:bottom w:val="none" w:sz="0" w:space="0" w:color="auto"/>
        <w:right w:val="none" w:sz="0" w:space="0" w:color="auto"/>
      </w:divBdr>
    </w:div>
    <w:div w:id="1453864482">
      <w:bodyDiv w:val="1"/>
      <w:marLeft w:val="0"/>
      <w:marRight w:val="0"/>
      <w:marTop w:val="0"/>
      <w:marBottom w:val="0"/>
      <w:divBdr>
        <w:top w:val="none" w:sz="0" w:space="0" w:color="auto"/>
        <w:left w:val="none" w:sz="0" w:space="0" w:color="auto"/>
        <w:bottom w:val="none" w:sz="0" w:space="0" w:color="auto"/>
        <w:right w:val="none" w:sz="0" w:space="0" w:color="auto"/>
      </w:divBdr>
    </w:div>
    <w:div w:id="1460109162">
      <w:bodyDiv w:val="1"/>
      <w:marLeft w:val="0"/>
      <w:marRight w:val="0"/>
      <w:marTop w:val="0"/>
      <w:marBottom w:val="0"/>
      <w:divBdr>
        <w:top w:val="none" w:sz="0" w:space="0" w:color="auto"/>
        <w:left w:val="none" w:sz="0" w:space="0" w:color="auto"/>
        <w:bottom w:val="none" w:sz="0" w:space="0" w:color="auto"/>
        <w:right w:val="none" w:sz="0" w:space="0" w:color="auto"/>
      </w:divBdr>
    </w:div>
    <w:div w:id="1475685504">
      <w:bodyDiv w:val="1"/>
      <w:marLeft w:val="0"/>
      <w:marRight w:val="0"/>
      <w:marTop w:val="0"/>
      <w:marBottom w:val="0"/>
      <w:divBdr>
        <w:top w:val="none" w:sz="0" w:space="0" w:color="auto"/>
        <w:left w:val="none" w:sz="0" w:space="0" w:color="auto"/>
        <w:bottom w:val="none" w:sz="0" w:space="0" w:color="auto"/>
        <w:right w:val="none" w:sz="0" w:space="0" w:color="auto"/>
      </w:divBdr>
    </w:div>
    <w:div w:id="1492259375">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24589408">
      <w:bodyDiv w:val="1"/>
      <w:marLeft w:val="0"/>
      <w:marRight w:val="0"/>
      <w:marTop w:val="0"/>
      <w:marBottom w:val="0"/>
      <w:divBdr>
        <w:top w:val="none" w:sz="0" w:space="0" w:color="auto"/>
        <w:left w:val="none" w:sz="0" w:space="0" w:color="auto"/>
        <w:bottom w:val="none" w:sz="0" w:space="0" w:color="auto"/>
        <w:right w:val="none" w:sz="0" w:space="0" w:color="auto"/>
      </w:divBdr>
    </w:div>
    <w:div w:id="1541749160">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545411666">
      <w:bodyDiv w:val="1"/>
      <w:marLeft w:val="0"/>
      <w:marRight w:val="0"/>
      <w:marTop w:val="0"/>
      <w:marBottom w:val="0"/>
      <w:divBdr>
        <w:top w:val="none" w:sz="0" w:space="0" w:color="auto"/>
        <w:left w:val="none" w:sz="0" w:space="0" w:color="auto"/>
        <w:bottom w:val="none" w:sz="0" w:space="0" w:color="auto"/>
        <w:right w:val="none" w:sz="0" w:space="0" w:color="auto"/>
      </w:divBdr>
      <w:divsChild>
        <w:div w:id="1176655687">
          <w:marLeft w:val="0"/>
          <w:marRight w:val="0"/>
          <w:marTop w:val="0"/>
          <w:marBottom w:val="0"/>
          <w:divBdr>
            <w:top w:val="none" w:sz="0" w:space="0" w:color="auto"/>
            <w:left w:val="none" w:sz="0" w:space="0" w:color="auto"/>
            <w:bottom w:val="none" w:sz="0" w:space="0" w:color="auto"/>
            <w:right w:val="none" w:sz="0" w:space="0" w:color="auto"/>
          </w:divBdr>
          <w:divsChild>
            <w:div w:id="1211379467">
              <w:marLeft w:val="0"/>
              <w:marRight w:val="0"/>
              <w:marTop w:val="0"/>
              <w:marBottom w:val="0"/>
              <w:divBdr>
                <w:top w:val="none" w:sz="0" w:space="0" w:color="auto"/>
                <w:left w:val="none" w:sz="0" w:space="0" w:color="auto"/>
                <w:bottom w:val="none" w:sz="0" w:space="0" w:color="auto"/>
                <w:right w:val="none" w:sz="0" w:space="0" w:color="auto"/>
              </w:divBdr>
              <w:divsChild>
                <w:div w:id="1064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7092">
      <w:bodyDiv w:val="1"/>
      <w:marLeft w:val="0"/>
      <w:marRight w:val="0"/>
      <w:marTop w:val="0"/>
      <w:marBottom w:val="0"/>
      <w:divBdr>
        <w:top w:val="none" w:sz="0" w:space="0" w:color="auto"/>
        <w:left w:val="none" w:sz="0" w:space="0" w:color="auto"/>
        <w:bottom w:val="none" w:sz="0" w:space="0" w:color="auto"/>
        <w:right w:val="none" w:sz="0" w:space="0" w:color="auto"/>
      </w:divBdr>
    </w:div>
    <w:div w:id="1575428701">
      <w:bodyDiv w:val="1"/>
      <w:marLeft w:val="0"/>
      <w:marRight w:val="0"/>
      <w:marTop w:val="0"/>
      <w:marBottom w:val="0"/>
      <w:divBdr>
        <w:top w:val="none" w:sz="0" w:space="0" w:color="auto"/>
        <w:left w:val="none" w:sz="0" w:space="0" w:color="auto"/>
        <w:bottom w:val="none" w:sz="0" w:space="0" w:color="auto"/>
        <w:right w:val="none" w:sz="0" w:space="0" w:color="auto"/>
      </w:divBdr>
    </w:div>
    <w:div w:id="1580561506">
      <w:bodyDiv w:val="1"/>
      <w:marLeft w:val="0"/>
      <w:marRight w:val="0"/>
      <w:marTop w:val="0"/>
      <w:marBottom w:val="0"/>
      <w:divBdr>
        <w:top w:val="none" w:sz="0" w:space="0" w:color="auto"/>
        <w:left w:val="none" w:sz="0" w:space="0" w:color="auto"/>
        <w:bottom w:val="none" w:sz="0" w:space="0" w:color="auto"/>
        <w:right w:val="none" w:sz="0" w:space="0" w:color="auto"/>
      </w:divBdr>
    </w:div>
    <w:div w:id="1607224780">
      <w:bodyDiv w:val="1"/>
      <w:marLeft w:val="0"/>
      <w:marRight w:val="0"/>
      <w:marTop w:val="0"/>
      <w:marBottom w:val="0"/>
      <w:divBdr>
        <w:top w:val="none" w:sz="0" w:space="0" w:color="auto"/>
        <w:left w:val="none" w:sz="0" w:space="0" w:color="auto"/>
        <w:bottom w:val="none" w:sz="0" w:space="0" w:color="auto"/>
        <w:right w:val="none" w:sz="0" w:space="0" w:color="auto"/>
      </w:divBdr>
      <w:divsChild>
        <w:div w:id="1951350410">
          <w:marLeft w:val="0"/>
          <w:marRight w:val="0"/>
          <w:marTop w:val="0"/>
          <w:marBottom w:val="0"/>
          <w:divBdr>
            <w:top w:val="none" w:sz="0" w:space="0" w:color="auto"/>
            <w:left w:val="none" w:sz="0" w:space="0" w:color="auto"/>
            <w:bottom w:val="none" w:sz="0" w:space="0" w:color="auto"/>
            <w:right w:val="none" w:sz="0" w:space="0" w:color="auto"/>
          </w:divBdr>
          <w:divsChild>
            <w:div w:id="1038820371">
              <w:marLeft w:val="0"/>
              <w:marRight w:val="0"/>
              <w:marTop w:val="0"/>
              <w:marBottom w:val="0"/>
              <w:divBdr>
                <w:top w:val="none" w:sz="0" w:space="0" w:color="auto"/>
                <w:left w:val="none" w:sz="0" w:space="0" w:color="auto"/>
                <w:bottom w:val="none" w:sz="0" w:space="0" w:color="auto"/>
                <w:right w:val="none" w:sz="0" w:space="0" w:color="auto"/>
              </w:divBdr>
              <w:divsChild>
                <w:div w:id="1520581654">
                  <w:marLeft w:val="0"/>
                  <w:marRight w:val="0"/>
                  <w:marTop w:val="0"/>
                  <w:marBottom w:val="0"/>
                  <w:divBdr>
                    <w:top w:val="none" w:sz="0" w:space="0" w:color="auto"/>
                    <w:left w:val="none" w:sz="0" w:space="0" w:color="auto"/>
                    <w:bottom w:val="none" w:sz="0" w:space="0" w:color="auto"/>
                    <w:right w:val="none" w:sz="0" w:space="0" w:color="auto"/>
                  </w:divBdr>
                  <w:divsChild>
                    <w:div w:id="926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10958">
      <w:bodyDiv w:val="1"/>
      <w:marLeft w:val="0"/>
      <w:marRight w:val="0"/>
      <w:marTop w:val="0"/>
      <w:marBottom w:val="0"/>
      <w:divBdr>
        <w:top w:val="none" w:sz="0" w:space="0" w:color="auto"/>
        <w:left w:val="none" w:sz="0" w:space="0" w:color="auto"/>
        <w:bottom w:val="none" w:sz="0" w:space="0" w:color="auto"/>
        <w:right w:val="none" w:sz="0" w:space="0" w:color="auto"/>
      </w:divBdr>
    </w:div>
    <w:div w:id="1619797403">
      <w:bodyDiv w:val="1"/>
      <w:marLeft w:val="0"/>
      <w:marRight w:val="0"/>
      <w:marTop w:val="0"/>
      <w:marBottom w:val="0"/>
      <w:divBdr>
        <w:top w:val="none" w:sz="0" w:space="0" w:color="auto"/>
        <w:left w:val="none" w:sz="0" w:space="0" w:color="auto"/>
        <w:bottom w:val="none" w:sz="0" w:space="0" w:color="auto"/>
        <w:right w:val="none" w:sz="0" w:space="0" w:color="auto"/>
      </w:divBdr>
    </w:div>
    <w:div w:id="1626962302">
      <w:bodyDiv w:val="1"/>
      <w:marLeft w:val="0"/>
      <w:marRight w:val="0"/>
      <w:marTop w:val="0"/>
      <w:marBottom w:val="0"/>
      <w:divBdr>
        <w:top w:val="none" w:sz="0" w:space="0" w:color="auto"/>
        <w:left w:val="none" w:sz="0" w:space="0" w:color="auto"/>
        <w:bottom w:val="none" w:sz="0" w:space="0" w:color="auto"/>
        <w:right w:val="none" w:sz="0" w:space="0" w:color="auto"/>
      </w:divBdr>
    </w:div>
    <w:div w:id="1630554061">
      <w:bodyDiv w:val="1"/>
      <w:marLeft w:val="0"/>
      <w:marRight w:val="0"/>
      <w:marTop w:val="0"/>
      <w:marBottom w:val="0"/>
      <w:divBdr>
        <w:top w:val="none" w:sz="0" w:space="0" w:color="auto"/>
        <w:left w:val="none" w:sz="0" w:space="0" w:color="auto"/>
        <w:bottom w:val="none" w:sz="0" w:space="0" w:color="auto"/>
        <w:right w:val="none" w:sz="0" w:space="0" w:color="auto"/>
      </w:divBdr>
      <w:divsChild>
        <w:div w:id="1409572953">
          <w:marLeft w:val="0"/>
          <w:marRight w:val="0"/>
          <w:marTop w:val="0"/>
          <w:marBottom w:val="0"/>
          <w:divBdr>
            <w:top w:val="none" w:sz="0" w:space="0" w:color="auto"/>
            <w:left w:val="none" w:sz="0" w:space="0" w:color="auto"/>
            <w:bottom w:val="none" w:sz="0" w:space="0" w:color="auto"/>
            <w:right w:val="none" w:sz="0" w:space="0" w:color="auto"/>
          </w:divBdr>
          <w:divsChild>
            <w:div w:id="1746801387">
              <w:marLeft w:val="0"/>
              <w:marRight w:val="0"/>
              <w:marTop w:val="0"/>
              <w:marBottom w:val="0"/>
              <w:divBdr>
                <w:top w:val="none" w:sz="0" w:space="0" w:color="auto"/>
                <w:left w:val="none" w:sz="0" w:space="0" w:color="auto"/>
                <w:bottom w:val="none" w:sz="0" w:space="0" w:color="auto"/>
                <w:right w:val="none" w:sz="0" w:space="0" w:color="auto"/>
              </w:divBdr>
              <w:divsChild>
                <w:div w:id="1020593088">
                  <w:marLeft w:val="0"/>
                  <w:marRight w:val="0"/>
                  <w:marTop w:val="0"/>
                  <w:marBottom w:val="0"/>
                  <w:divBdr>
                    <w:top w:val="none" w:sz="0" w:space="0" w:color="auto"/>
                    <w:left w:val="none" w:sz="0" w:space="0" w:color="auto"/>
                    <w:bottom w:val="none" w:sz="0" w:space="0" w:color="auto"/>
                    <w:right w:val="none" w:sz="0" w:space="0" w:color="auto"/>
                  </w:divBdr>
                  <w:divsChild>
                    <w:div w:id="16895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20680">
      <w:bodyDiv w:val="1"/>
      <w:marLeft w:val="0"/>
      <w:marRight w:val="0"/>
      <w:marTop w:val="0"/>
      <w:marBottom w:val="0"/>
      <w:divBdr>
        <w:top w:val="none" w:sz="0" w:space="0" w:color="auto"/>
        <w:left w:val="none" w:sz="0" w:space="0" w:color="auto"/>
        <w:bottom w:val="none" w:sz="0" w:space="0" w:color="auto"/>
        <w:right w:val="none" w:sz="0" w:space="0" w:color="auto"/>
      </w:divBdr>
    </w:div>
    <w:div w:id="1691566978">
      <w:bodyDiv w:val="1"/>
      <w:marLeft w:val="0"/>
      <w:marRight w:val="0"/>
      <w:marTop w:val="0"/>
      <w:marBottom w:val="0"/>
      <w:divBdr>
        <w:top w:val="none" w:sz="0" w:space="0" w:color="auto"/>
        <w:left w:val="none" w:sz="0" w:space="0" w:color="auto"/>
        <w:bottom w:val="none" w:sz="0" w:space="0" w:color="auto"/>
        <w:right w:val="none" w:sz="0" w:space="0" w:color="auto"/>
      </w:divBdr>
    </w:div>
    <w:div w:id="1698117724">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1704407177">
      <w:bodyDiv w:val="1"/>
      <w:marLeft w:val="0"/>
      <w:marRight w:val="0"/>
      <w:marTop w:val="0"/>
      <w:marBottom w:val="0"/>
      <w:divBdr>
        <w:top w:val="none" w:sz="0" w:space="0" w:color="auto"/>
        <w:left w:val="none" w:sz="0" w:space="0" w:color="auto"/>
        <w:bottom w:val="none" w:sz="0" w:space="0" w:color="auto"/>
        <w:right w:val="none" w:sz="0" w:space="0" w:color="auto"/>
      </w:divBdr>
    </w:div>
    <w:div w:id="1707439048">
      <w:bodyDiv w:val="1"/>
      <w:marLeft w:val="0"/>
      <w:marRight w:val="0"/>
      <w:marTop w:val="0"/>
      <w:marBottom w:val="0"/>
      <w:divBdr>
        <w:top w:val="none" w:sz="0" w:space="0" w:color="auto"/>
        <w:left w:val="none" w:sz="0" w:space="0" w:color="auto"/>
        <w:bottom w:val="none" w:sz="0" w:space="0" w:color="auto"/>
        <w:right w:val="none" w:sz="0" w:space="0" w:color="auto"/>
      </w:divBdr>
    </w:div>
    <w:div w:id="1721129335">
      <w:bodyDiv w:val="1"/>
      <w:marLeft w:val="0"/>
      <w:marRight w:val="0"/>
      <w:marTop w:val="0"/>
      <w:marBottom w:val="0"/>
      <w:divBdr>
        <w:top w:val="none" w:sz="0" w:space="0" w:color="auto"/>
        <w:left w:val="none" w:sz="0" w:space="0" w:color="auto"/>
        <w:bottom w:val="none" w:sz="0" w:space="0" w:color="auto"/>
        <w:right w:val="none" w:sz="0" w:space="0" w:color="auto"/>
      </w:divBdr>
    </w:div>
    <w:div w:id="1723821033">
      <w:bodyDiv w:val="1"/>
      <w:marLeft w:val="0"/>
      <w:marRight w:val="0"/>
      <w:marTop w:val="0"/>
      <w:marBottom w:val="0"/>
      <w:divBdr>
        <w:top w:val="none" w:sz="0" w:space="0" w:color="auto"/>
        <w:left w:val="none" w:sz="0" w:space="0" w:color="auto"/>
        <w:bottom w:val="none" w:sz="0" w:space="0" w:color="auto"/>
        <w:right w:val="none" w:sz="0" w:space="0" w:color="auto"/>
      </w:divBdr>
    </w:div>
    <w:div w:id="1725449189">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50733727">
      <w:bodyDiv w:val="1"/>
      <w:marLeft w:val="0"/>
      <w:marRight w:val="0"/>
      <w:marTop w:val="0"/>
      <w:marBottom w:val="0"/>
      <w:divBdr>
        <w:top w:val="none" w:sz="0" w:space="0" w:color="auto"/>
        <w:left w:val="none" w:sz="0" w:space="0" w:color="auto"/>
        <w:bottom w:val="none" w:sz="0" w:space="0" w:color="auto"/>
        <w:right w:val="none" w:sz="0" w:space="0" w:color="auto"/>
      </w:divBdr>
    </w:div>
    <w:div w:id="1757633256">
      <w:bodyDiv w:val="1"/>
      <w:marLeft w:val="0"/>
      <w:marRight w:val="0"/>
      <w:marTop w:val="0"/>
      <w:marBottom w:val="0"/>
      <w:divBdr>
        <w:top w:val="none" w:sz="0" w:space="0" w:color="auto"/>
        <w:left w:val="none" w:sz="0" w:space="0" w:color="auto"/>
        <w:bottom w:val="none" w:sz="0" w:space="0" w:color="auto"/>
        <w:right w:val="none" w:sz="0" w:space="0" w:color="auto"/>
      </w:divBdr>
    </w:div>
    <w:div w:id="1758330911">
      <w:bodyDiv w:val="1"/>
      <w:marLeft w:val="0"/>
      <w:marRight w:val="0"/>
      <w:marTop w:val="0"/>
      <w:marBottom w:val="0"/>
      <w:divBdr>
        <w:top w:val="none" w:sz="0" w:space="0" w:color="auto"/>
        <w:left w:val="none" w:sz="0" w:space="0" w:color="auto"/>
        <w:bottom w:val="none" w:sz="0" w:space="0" w:color="auto"/>
        <w:right w:val="none" w:sz="0" w:space="0" w:color="auto"/>
      </w:divBdr>
    </w:div>
    <w:div w:id="1799029262">
      <w:bodyDiv w:val="1"/>
      <w:marLeft w:val="0"/>
      <w:marRight w:val="0"/>
      <w:marTop w:val="0"/>
      <w:marBottom w:val="0"/>
      <w:divBdr>
        <w:top w:val="none" w:sz="0" w:space="0" w:color="auto"/>
        <w:left w:val="none" w:sz="0" w:space="0" w:color="auto"/>
        <w:bottom w:val="none" w:sz="0" w:space="0" w:color="auto"/>
        <w:right w:val="none" w:sz="0" w:space="0" w:color="auto"/>
      </w:divBdr>
    </w:div>
    <w:div w:id="1810442374">
      <w:bodyDiv w:val="1"/>
      <w:marLeft w:val="0"/>
      <w:marRight w:val="0"/>
      <w:marTop w:val="0"/>
      <w:marBottom w:val="0"/>
      <w:divBdr>
        <w:top w:val="none" w:sz="0" w:space="0" w:color="auto"/>
        <w:left w:val="none" w:sz="0" w:space="0" w:color="auto"/>
        <w:bottom w:val="none" w:sz="0" w:space="0" w:color="auto"/>
        <w:right w:val="none" w:sz="0" w:space="0" w:color="auto"/>
      </w:divBdr>
    </w:div>
    <w:div w:id="1835563568">
      <w:bodyDiv w:val="1"/>
      <w:marLeft w:val="0"/>
      <w:marRight w:val="0"/>
      <w:marTop w:val="0"/>
      <w:marBottom w:val="0"/>
      <w:divBdr>
        <w:top w:val="none" w:sz="0" w:space="0" w:color="auto"/>
        <w:left w:val="none" w:sz="0" w:space="0" w:color="auto"/>
        <w:bottom w:val="none" w:sz="0" w:space="0" w:color="auto"/>
        <w:right w:val="none" w:sz="0" w:space="0" w:color="auto"/>
      </w:divBdr>
    </w:div>
    <w:div w:id="1864004838">
      <w:bodyDiv w:val="1"/>
      <w:marLeft w:val="0"/>
      <w:marRight w:val="0"/>
      <w:marTop w:val="0"/>
      <w:marBottom w:val="0"/>
      <w:divBdr>
        <w:top w:val="none" w:sz="0" w:space="0" w:color="auto"/>
        <w:left w:val="none" w:sz="0" w:space="0" w:color="auto"/>
        <w:bottom w:val="none" w:sz="0" w:space="0" w:color="auto"/>
        <w:right w:val="none" w:sz="0" w:space="0" w:color="auto"/>
      </w:divBdr>
    </w:div>
    <w:div w:id="1885215677">
      <w:bodyDiv w:val="1"/>
      <w:marLeft w:val="0"/>
      <w:marRight w:val="0"/>
      <w:marTop w:val="0"/>
      <w:marBottom w:val="0"/>
      <w:divBdr>
        <w:top w:val="none" w:sz="0" w:space="0" w:color="auto"/>
        <w:left w:val="none" w:sz="0" w:space="0" w:color="auto"/>
        <w:bottom w:val="none" w:sz="0" w:space="0" w:color="auto"/>
        <w:right w:val="none" w:sz="0" w:space="0" w:color="auto"/>
      </w:divBdr>
    </w:div>
    <w:div w:id="1937983317">
      <w:bodyDiv w:val="1"/>
      <w:marLeft w:val="0"/>
      <w:marRight w:val="0"/>
      <w:marTop w:val="0"/>
      <w:marBottom w:val="0"/>
      <w:divBdr>
        <w:top w:val="none" w:sz="0" w:space="0" w:color="auto"/>
        <w:left w:val="none" w:sz="0" w:space="0" w:color="auto"/>
        <w:bottom w:val="none" w:sz="0" w:space="0" w:color="auto"/>
        <w:right w:val="none" w:sz="0" w:space="0" w:color="auto"/>
      </w:divBdr>
    </w:div>
    <w:div w:id="1940211080">
      <w:bodyDiv w:val="1"/>
      <w:marLeft w:val="0"/>
      <w:marRight w:val="0"/>
      <w:marTop w:val="0"/>
      <w:marBottom w:val="0"/>
      <w:divBdr>
        <w:top w:val="none" w:sz="0" w:space="0" w:color="auto"/>
        <w:left w:val="none" w:sz="0" w:space="0" w:color="auto"/>
        <w:bottom w:val="none" w:sz="0" w:space="0" w:color="auto"/>
        <w:right w:val="none" w:sz="0" w:space="0" w:color="auto"/>
      </w:divBdr>
    </w:div>
    <w:div w:id="1958027767">
      <w:bodyDiv w:val="1"/>
      <w:marLeft w:val="0"/>
      <w:marRight w:val="0"/>
      <w:marTop w:val="0"/>
      <w:marBottom w:val="0"/>
      <w:divBdr>
        <w:top w:val="none" w:sz="0" w:space="0" w:color="auto"/>
        <w:left w:val="none" w:sz="0" w:space="0" w:color="auto"/>
        <w:bottom w:val="none" w:sz="0" w:space="0" w:color="auto"/>
        <w:right w:val="none" w:sz="0" w:space="0" w:color="auto"/>
      </w:divBdr>
    </w:div>
    <w:div w:id="2001157218">
      <w:bodyDiv w:val="1"/>
      <w:marLeft w:val="0"/>
      <w:marRight w:val="0"/>
      <w:marTop w:val="0"/>
      <w:marBottom w:val="0"/>
      <w:divBdr>
        <w:top w:val="none" w:sz="0" w:space="0" w:color="auto"/>
        <w:left w:val="none" w:sz="0" w:space="0" w:color="auto"/>
        <w:bottom w:val="none" w:sz="0" w:space="0" w:color="auto"/>
        <w:right w:val="none" w:sz="0" w:space="0" w:color="auto"/>
      </w:divBdr>
    </w:div>
    <w:div w:id="2012369085">
      <w:bodyDiv w:val="1"/>
      <w:marLeft w:val="0"/>
      <w:marRight w:val="0"/>
      <w:marTop w:val="0"/>
      <w:marBottom w:val="0"/>
      <w:divBdr>
        <w:top w:val="none" w:sz="0" w:space="0" w:color="auto"/>
        <w:left w:val="none" w:sz="0" w:space="0" w:color="auto"/>
        <w:bottom w:val="none" w:sz="0" w:space="0" w:color="auto"/>
        <w:right w:val="none" w:sz="0" w:space="0" w:color="auto"/>
      </w:divBdr>
    </w:div>
    <w:div w:id="2017344151">
      <w:bodyDiv w:val="1"/>
      <w:marLeft w:val="0"/>
      <w:marRight w:val="0"/>
      <w:marTop w:val="0"/>
      <w:marBottom w:val="0"/>
      <w:divBdr>
        <w:top w:val="none" w:sz="0" w:space="0" w:color="auto"/>
        <w:left w:val="none" w:sz="0" w:space="0" w:color="auto"/>
        <w:bottom w:val="none" w:sz="0" w:space="0" w:color="auto"/>
        <w:right w:val="none" w:sz="0" w:space="0" w:color="auto"/>
      </w:divBdr>
    </w:div>
    <w:div w:id="2037849373">
      <w:bodyDiv w:val="1"/>
      <w:marLeft w:val="0"/>
      <w:marRight w:val="0"/>
      <w:marTop w:val="0"/>
      <w:marBottom w:val="0"/>
      <w:divBdr>
        <w:top w:val="none" w:sz="0" w:space="0" w:color="auto"/>
        <w:left w:val="none" w:sz="0" w:space="0" w:color="auto"/>
        <w:bottom w:val="none" w:sz="0" w:space="0" w:color="auto"/>
        <w:right w:val="none" w:sz="0" w:space="0" w:color="auto"/>
      </w:divBdr>
    </w:div>
    <w:div w:id="2062552391">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 w:id="207087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carsongroup.com/hubfs/WMC-Source/2021/11-22-21_Surveys%20of%20Consumers_2.pdf" TargetMode="External"/><Relationship Id="rId13" Type="http://schemas.openxmlformats.org/officeDocument/2006/relationships/hyperlink" Target="https://resources.carsongroup.com/hubfs/WMC-Source/2021/11-22-21_Barrons_Oil%20Prices%20Drop%20on%20Bearish%20Supply%20and%20Demand%20Signals_6.pdf" TargetMode="External"/><Relationship Id="rId18" Type="http://schemas.openxmlformats.org/officeDocument/2006/relationships/hyperlink" Target="https://www.moodysanalytics.com/-/media/article/2021/macroeconomic-consequences-infrastructure.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resources.carsongroup.com/hubfs/WMC-Source/2021/11-22-21_The%20Economist_What%20an%20Infrastructure%20Bonanza%20Could%20Mean%20for%20Americas%20Economy_13.pdf" TargetMode="External"/><Relationship Id="rId7" Type="http://schemas.openxmlformats.org/officeDocument/2006/relationships/hyperlink" Target="http://www.sca.isr.umich.edu" TargetMode="External"/><Relationship Id="rId12" Type="http://schemas.openxmlformats.org/officeDocument/2006/relationships/hyperlink" Target="https://www.barrons.com/articles/oil-prices-drop-on-bearish-supply-and-demand-signals-51637336738" TargetMode="External"/><Relationship Id="rId17" Type="http://schemas.openxmlformats.org/officeDocument/2006/relationships/hyperlink" Target="https://www.cnbc.com/2021/11/19/house-passes-build-back-better-act-what-happens-next-in-the-senate.html" TargetMode="External"/><Relationship Id="rId25" Type="http://schemas.openxmlformats.org/officeDocument/2006/relationships/hyperlink" Target="https://www.thebalance.com/who-owns-the-u-s-national-debt-3306124" TargetMode="External"/><Relationship Id="rId2" Type="http://schemas.openxmlformats.org/officeDocument/2006/relationships/styles" Target="styles.xml"/><Relationship Id="rId16" Type="http://schemas.openxmlformats.org/officeDocument/2006/relationships/hyperlink" Target="https://www.natlawreview.com/article/biden-signs-largest-climate-and-resiliency-infrastructure-bill-us-history" TargetMode="External"/><Relationship Id="rId20" Type="http://schemas.openxmlformats.org/officeDocument/2006/relationships/hyperlink" Target="https://www.economist.com/finance-and-economics/2021/04/29/what-an-infrastructure-bonanza-could-mean-for-americas-economy" TargetMode="External"/><Relationship Id="rId1" Type="http://schemas.openxmlformats.org/officeDocument/2006/relationships/numbering" Target="numbering.xml"/><Relationship Id="rId6" Type="http://schemas.openxmlformats.org/officeDocument/2006/relationships/hyperlink" Target="https://resources.carsongroup.com/hubfs/WMC-Source/2021/11-22-21_Barrons_Stocks%20Are%20Up%208%20%25%20Since%20Earnings%20Season%20Started_1.pdf" TargetMode="External"/><Relationship Id="rId11" Type="http://schemas.openxmlformats.org/officeDocument/2006/relationships/hyperlink" Target="https://insight.factset.com/highest-number-of-sp-500-cos.-citing-supply-chain-on-q3-earnings-calls-in-over-10-years" TargetMode="External"/><Relationship Id="rId24" Type="http://schemas.openxmlformats.org/officeDocument/2006/relationships/hyperlink" Target="https://www.cbo.gov/publication/57406" TargetMode="External"/><Relationship Id="rId5" Type="http://schemas.openxmlformats.org/officeDocument/2006/relationships/hyperlink" Target="https://www.barrons.com/articles/stock-market-earnings-season-inflation-51637374587?refsec=the-trader" TargetMode="External"/><Relationship Id="rId15" Type="http://schemas.openxmlformats.org/officeDocument/2006/relationships/hyperlink" Target="https://www.treasury.gov/resource-center/data-chart-center/interest-rates/pages/textview.aspx?data=yield" TargetMode="External"/><Relationship Id="rId23" Type="http://schemas.openxmlformats.org/officeDocument/2006/relationships/hyperlink" Target="https://www.jdsupra.com/legalnews/infrastructure-investment-and-jobs-act-2678111/" TargetMode="External"/><Relationship Id="rId10" Type="http://schemas.openxmlformats.org/officeDocument/2006/relationships/hyperlink" Target="https://insight.factset.com/earnings-insight-q3-21-by-the-numbers-infographic" TargetMode="External"/><Relationship Id="rId19" Type="http://schemas.openxmlformats.org/officeDocument/2006/relationships/hyperlink" Target="https://www.aei.org/economics/the-limits-of-infrastructure-spending-to-boost-economic-growth/" TargetMode="External"/><Relationship Id="rId4" Type="http://schemas.openxmlformats.org/officeDocument/2006/relationships/webSettings" Target="webSettings.xml"/><Relationship Id="rId9" Type="http://schemas.openxmlformats.org/officeDocument/2006/relationships/hyperlink" Target="https://www.cnbc.com/2021/11/16/retail-sales-rise-faster-than-expected-in-october-even-as-inflation-pushes-prices-higher.html" TargetMode="External"/><Relationship Id="rId14" Type="http://schemas.openxmlformats.org/officeDocument/2006/relationships/hyperlink" Target="https://www.eia.gov/energyexplained/gasoline/factors-affecting-gasoline-prices.php" TargetMode="External"/><Relationship Id="rId22" Type="http://schemas.openxmlformats.org/officeDocument/2006/relationships/hyperlink" Target="https://www.brookings.edu/research/how-federal-infrastructure-investment-can-put-america-to-wor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2288</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Toole</dc:creator>
  <cp:keywords/>
  <dc:description/>
  <cp:lastModifiedBy>Kam Schaefer</cp:lastModifiedBy>
  <cp:revision>2</cp:revision>
  <dcterms:created xsi:type="dcterms:W3CDTF">2021-11-22T20:18:00Z</dcterms:created>
  <dcterms:modified xsi:type="dcterms:W3CDTF">2021-11-22T20:18:00Z</dcterms:modified>
</cp:coreProperties>
</file>