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DEDED"/>
        <w:tblCellMar>
          <w:left w:w="0" w:type="dxa"/>
          <w:right w:w="0" w:type="dxa"/>
        </w:tblCellMar>
        <w:tblLook w:val="04A0" w:firstRow="1" w:lastRow="0" w:firstColumn="1" w:lastColumn="0" w:noHBand="0" w:noVBand="1"/>
      </w:tblPr>
      <w:tblGrid>
        <w:gridCol w:w="9360"/>
      </w:tblGrid>
      <w:tr w:rsidR="003F48EC" w:rsidRPr="003F48EC" w14:paraId="008A795A" w14:textId="77777777" w:rsidTr="003F48EC">
        <w:trPr>
          <w:tblCellSpacing w:w="0" w:type="dxa"/>
        </w:trPr>
        <w:tc>
          <w:tcPr>
            <w:tcW w:w="0" w:type="auto"/>
            <w:shd w:val="clear" w:color="auto" w:fill="EDEDED"/>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3F48EC" w:rsidRPr="003F48EC" w14:paraId="4E5EDC8D" w14:textId="77777777">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3F48EC" w:rsidRPr="003F48EC" w14:paraId="1B010E72" w14:textId="77777777">
                    <w:trPr>
                      <w:tblCellSpacing w:w="0" w:type="dxa"/>
                    </w:trPr>
                    <w:tc>
                      <w:tcPr>
                        <w:tcW w:w="5970" w:type="dxa"/>
                        <w:hideMark/>
                      </w:tcPr>
                      <w:p w14:paraId="3F5EFB5E" w14:textId="77777777" w:rsidR="003F48EC" w:rsidRPr="003F48EC" w:rsidRDefault="003F48EC" w:rsidP="003F48EC">
                        <w:pPr>
                          <w:spacing w:after="0" w:line="300" w:lineRule="atLeast"/>
                          <w:rPr>
                            <w:rFonts w:ascii="Arial" w:eastAsia="Times New Roman" w:hAnsi="Arial" w:cs="Arial"/>
                            <w:color w:val="999999"/>
                            <w:sz w:val="21"/>
                            <w:szCs w:val="21"/>
                          </w:rPr>
                        </w:pPr>
                        <w:r w:rsidRPr="003F48EC">
                          <w:rPr>
                            <w:rFonts w:ascii="Arial" w:eastAsia="Times New Roman" w:hAnsi="Arial" w:cs="Arial"/>
                            <w:color w:val="999999"/>
                            <w:sz w:val="21"/>
                            <w:szCs w:val="21"/>
                          </w:rPr>
                          <w:t>AUG 2019</w:t>
                        </w:r>
                      </w:p>
                    </w:tc>
                    <w:tc>
                      <w:tcPr>
                        <w:tcW w:w="2895" w:type="dxa"/>
                        <w:hideMark/>
                      </w:tcPr>
                      <w:p w14:paraId="39DE2A14" w14:textId="5357010A" w:rsidR="003F48EC" w:rsidRPr="003F48EC" w:rsidRDefault="003F48EC" w:rsidP="003F48EC">
                        <w:pPr>
                          <w:spacing w:after="0" w:line="300" w:lineRule="atLeast"/>
                          <w:rPr>
                            <w:rFonts w:ascii="Arial" w:eastAsia="Times New Roman" w:hAnsi="Arial" w:cs="Arial"/>
                            <w:color w:val="999999"/>
                            <w:sz w:val="21"/>
                            <w:szCs w:val="21"/>
                          </w:rPr>
                        </w:pPr>
                        <w:r w:rsidRPr="003F48EC">
                          <w:rPr>
                            <w:rFonts w:ascii="Arial" w:eastAsia="Times New Roman" w:hAnsi="Arial" w:cs="Arial"/>
                            <w:noProof/>
                            <w:color w:val="999999"/>
                            <w:sz w:val="21"/>
                            <w:szCs w:val="21"/>
                          </w:rPr>
                          <w:drawing>
                            <wp:anchor distT="0" distB="0" distL="0" distR="0" simplePos="0" relativeHeight="251659264" behindDoc="0" locked="0" layoutInCell="1" allowOverlap="0" wp14:anchorId="6AE41332" wp14:editId="09D88AF1">
                              <wp:simplePos x="0" y="0"/>
                              <wp:positionH relativeFrom="column">
                                <wp:align>right</wp:align>
                              </wp:positionH>
                              <wp:positionV relativeFrom="line">
                                <wp:posOffset>0</wp:posOffset>
                              </wp:positionV>
                              <wp:extent cx="1476375" cy="962025"/>
                              <wp:effectExtent l="0" t="0" r="9525" b="9525"/>
                              <wp:wrapSquare wrapText="bothSides"/>
                              <wp:docPr id="7" name="Picture 7" descr="Midwest Money Managemen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 Money Management In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293E257" w14:textId="77777777" w:rsidR="003F48EC" w:rsidRPr="003F48EC" w:rsidRDefault="003F48EC" w:rsidP="003F48EC">
                  <w:pPr>
                    <w:spacing w:after="0" w:line="240" w:lineRule="auto"/>
                    <w:rPr>
                      <w:rFonts w:ascii="Times New Roman" w:eastAsia="Times New Roman" w:hAnsi="Times New Roman" w:cs="Times New Roman"/>
                      <w:sz w:val="24"/>
                      <w:szCs w:val="24"/>
                    </w:rPr>
                  </w:pPr>
                </w:p>
              </w:tc>
            </w:tr>
            <w:tr w:rsidR="003F48EC" w:rsidRPr="003F48EC" w14:paraId="00F447F4" w14:textId="77777777">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3F48EC" w:rsidRPr="003F48EC" w14:paraId="74AAE492" w14:textId="77777777">
                    <w:trPr>
                      <w:tblCellSpacing w:w="0" w:type="dxa"/>
                    </w:trPr>
                    <w:tc>
                      <w:tcPr>
                        <w:tcW w:w="120" w:type="dxa"/>
                        <w:shd w:val="clear" w:color="auto" w:fill="FFFFFF"/>
                        <w:vAlign w:val="center"/>
                        <w:hideMark/>
                      </w:tcPr>
                      <w:p w14:paraId="283FE8DD" w14:textId="25D23DAB" w:rsidR="003F48EC" w:rsidRPr="003F48EC" w:rsidRDefault="003F48EC" w:rsidP="003F48EC">
                        <w:pPr>
                          <w:spacing w:after="0" w:line="240" w:lineRule="auto"/>
                          <w:rPr>
                            <w:rFonts w:ascii="Times New Roman" w:eastAsia="Times New Roman" w:hAnsi="Times New Roman" w:cs="Times New Roman"/>
                            <w:sz w:val="20"/>
                            <w:szCs w:val="20"/>
                          </w:rPr>
                        </w:pPr>
                        <w:r w:rsidRPr="003F48EC">
                          <w:rPr>
                            <w:rFonts w:ascii="Times New Roman" w:eastAsia="Times New Roman" w:hAnsi="Times New Roman" w:cs="Times New Roman"/>
                            <w:noProof/>
                            <w:sz w:val="20"/>
                            <w:szCs w:val="20"/>
                          </w:rPr>
                          <w:drawing>
                            <wp:anchor distT="0" distB="0" distL="0" distR="0" simplePos="0" relativeHeight="251660288" behindDoc="0" locked="0" layoutInCell="1" allowOverlap="0" wp14:anchorId="4AC14AFE" wp14:editId="29FE8F75">
                              <wp:simplePos x="0" y="0"/>
                              <wp:positionH relativeFrom="column">
                                <wp:align>left</wp:align>
                              </wp:positionH>
                              <wp:positionV relativeFrom="line">
                                <wp:posOffset>0</wp:posOffset>
                              </wp:positionV>
                              <wp:extent cx="7620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3F48EC" w:rsidRPr="003F48EC" w14:paraId="2921B5D0" w14:textId="77777777">
                          <w:trPr>
                            <w:tblCellSpacing w:w="0" w:type="dxa"/>
                          </w:trPr>
                          <w:tc>
                            <w:tcPr>
                              <w:tcW w:w="0" w:type="auto"/>
                              <w:tcMar>
                                <w:top w:w="60" w:type="dxa"/>
                                <w:left w:w="225" w:type="dxa"/>
                                <w:bottom w:w="0" w:type="dxa"/>
                                <w:right w:w="210" w:type="dxa"/>
                              </w:tcMar>
                              <w:vAlign w:val="center"/>
                              <w:hideMark/>
                            </w:tcPr>
                            <w:p w14:paraId="36D51F62" w14:textId="77777777" w:rsidR="003F48EC" w:rsidRPr="003F48EC" w:rsidRDefault="003F48EC" w:rsidP="003F48EC">
                              <w:pPr>
                                <w:spacing w:after="0" w:line="360" w:lineRule="atLeast"/>
                                <w:rPr>
                                  <w:rFonts w:ascii="Georgia" w:eastAsia="Times New Roman" w:hAnsi="Georgia" w:cs="Times New Roman"/>
                                  <w:color w:val="999999"/>
                                  <w:sz w:val="30"/>
                                  <w:szCs w:val="30"/>
                                </w:rPr>
                              </w:pPr>
                              <w:r w:rsidRPr="003F48EC">
                                <w:rPr>
                                  <w:rFonts w:ascii="Georgia" w:eastAsia="Times New Roman" w:hAnsi="Georgia" w:cs="Times New Roman"/>
                                  <w:color w:val="999999"/>
                                  <w:sz w:val="30"/>
                                  <w:szCs w:val="30"/>
                                </w:rPr>
                                <w:t>Commentary</w:t>
                              </w:r>
                            </w:p>
                          </w:tc>
                        </w:tr>
                      </w:tbl>
                      <w:p w14:paraId="0D48C3C8" w14:textId="77777777" w:rsidR="003F48EC" w:rsidRPr="003F48EC" w:rsidRDefault="003F48EC" w:rsidP="003F48EC">
                        <w:pPr>
                          <w:spacing w:after="0" w:line="240" w:lineRule="auto"/>
                          <w:rPr>
                            <w:rFonts w:ascii="Times New Roman" w:eastAsia="Times New Roman" w:hAnsi="Times New Roman" w:cs="Times New Roman"/>
                            <w:sz w:val="24"/>
                            <w:szCs w:val="24"/>
                          </w:rPr>
                        </w:pPr>
                      </w:p>
                    </w:tc>
                    <w:tc>
                      <w:tcPr>
                        <w:tcW w:w="120" w:type="dxa"/>
                        <w:shd w:val="clear" w:color="auto" w:fill="FFFFFF"/>
                        <w:vAlign w:val="center"/>
                        <w:hideMark/>
                      </w:tcPr>
                      <w:p w14:paraId="3B8B939E" w14:textId="7551FFBD" w:rsidR="003F48EC" w:rsidRPr="003F48EC" w:rsidRDefault="003F48EC" w:rsidP="003F48EC">
                        <w:pPr>
                          <w:spacing w:after="0" w:line="240" w:lineRule="auto"/>
                          <w:rPr>
                            <w:rFonts w:ascii="Times New Roman" w:eastAsia="Times New Roman" w:hAnsi="Times New Roman" w:cs="Times New Roman"/>
                            <w:sz w:val="20"/>
                            <w:szCs w:val="20"/>
                          </w:rPr>
                        </w:pPr>
                        <w:r w:rsidRPr="003F48EC">
                          <w:rPr>
                            <w:rFonts w:ascii="Times New Roman" w:eastAsia="Times New Roman" w:hAnsi="Times New Roman" w:cs="Times New Roman"/>
                            <w:noProof/>
                            <w:sz w:val="20"/>
                            <w:szCs w:val="20"/>
                          </w:rPr>
                          <w:drawing>
                            <wp:anchor distT="0" distB="0" distL="0" distR="0" simplePos="0" relativeHeight="251661312" behindDoc="0" locked="0" layoutInCell="1" allowOverlap="0" wp14:anchorId="7466C66A" wp14:editId="129B928E">
                              <wp:simplePos x="0" y="0"/>
                              <wp:positionH relativeFrom="column">
                                <wp:align>left</wp:align>
                              </wp:positionH>
                              <wp:positionV relativeFrom="line">
                                <wp:posOffset>0</wp:posOffset>
                              </wp:positionV>
                              <wp:extent cx="7620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0F9C84" w14:textId="77777777" w:rsidR="003F48EC" w:rsidRPr="003F48EC" w:rsidRDefault="003F48EC" w:rsidP="003F48EC">
                  <w:pPr>
                    <w:spacing w:after="0" w:line="240" w:lineRule="auto"/>
                    <w:rPr>
                      <w:rFonts w:ascii="Times New Roman" w:eastAsia="Times New Roman" w:hAnsi="Times New Roman" w:cs="Times New Roman"/>
                      <w:sz w:val="24"/>
                      <w:szCs w:val="24"/>
                    </w:rPr>
                  </w:pPr>
                </w:p>
              </w:tc>
            </w:tr>
            <w:tr w:rsidR="003F48EC" w:rsidRPr="003F48EC" w14:paraId="5B153CCA" w14:textId="77777777">
              <w:trPr>
                <w:tblCellSpacing w:w="0" w:type="dxa"/>
                <w:jc w:val="center"/>
              </w:trPr>
              <w:tc>
                <w:tcPr>
                  <w:tcW w:w="0" w:type="auto"/>
                  <w:vAlign w:val="center"/>
                  <w:hideMark/>
                </w:tcPr>
                <w:p w14:paraId="36790082" w14:textId="62E3B3CD" w:rsidR="003F48EC" w:rsidRPr="003F48EC" w:rsidRDefault="003F48EC" w:rsidP="003F48EC">
                  <w:pPr>
                    <w:spacing w:after="0" w:line="240" w:lineRule="auto"/>
                    <w:rPr>
                      <w:rFonts w:ascii="Times New Roman" w:eastAsia="Times New Roman" w:hAnsi="Times New Roman" w:cs="Times New Roman"/>
                      <w:sz w:val="20"/>
                      <w:szCs w:val="20"/>
                    </w:rPr>
                  </w:pPr>
                  <w:r w:rsidRPr="003F48EC">
                    <w:rPr>
                      <w:rFonts w:ascii="Times New Roman" w:eastAsia="Times New Roman" w:hAnsi="Times New Roman" w:cs="Times New Roman"/>
                      <w:noProof/>
                      <w:sz w:val="20"/>
                      <w:szCs w:val="20"/>
                    </w:rPr>
                    <w:drawing>
                      <wp:anchor distT="0" distB="0" distL="0" distR="0" simplePos="0" relativeHeight="251662336" behindDoc="0" locked="0" layoutInCell="1" allowOverlap="0" wp14:anchorId="25D6D00A" wp14:editId="10568973">
                        <wp:simplePos x="0" y="0"/>
                        <wp:positionH relativeFrom="column">
                          <wp:align>left</wp:align>
                        </wp:positionH>
                        <wp:positionV relativeFrom="line">
                          <wp:posOffset>0</wp:posOffset>
                        </wp:positionV>
                        <wp:extent cx="5715000" cy="114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48EC" w:rsidRPr="003F48EC" w14:paraId="3EF2EA5B" w14:textId="77777777">
              <w:trPr>
                <w:tblCellSpacing w:w="0" w:type="dxa"/>
                <w:jc w:val="center"/>
              </w:trPr>
              <w:tc>
                <w:tcPr>
                  <w:tcW w:w="0" w:type="auto"/>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3F48EC" w:rsidRPr="003F48EC" w14:paraId="35B0A22C" w14:textId="77777777">
                    <w:trPr>
                      <w:tblCellSpacing w:w="0" w:type="dxa"/>
                    </w:trPr>
                    <w:tc>
                      <w:tcPr>
                        <w:tcW w:w="0" w:type="auto"/>
                        <w:tcMar>
                          <w:top w:w="0" w:type="dxa"/>
                          <w:left w:w="0" w:type="dxa"/>
                          <w:bottom w:w="855" w:type="dxa"/>
                          <w:right w:w="0" w:type="dxa"/>
                        </w:tcMar>
                        <w:vAlign w:val="center"/>
                        <w:hideMark/>
                      </w:tcPr>
                      <w:p w14:paraId="58C9F436"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August 26, 2019</w:t>
                        </w:r>
                      </w:p>
                      <w:p w14:paraId="56AAABDC"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b/>
                            <w:bCs/>
                            <w:sz w:val="24"/>
                            <w:szCs w:val="24"/>
                          </w:rPr>
                          <w:t>The Markets</w:t>
                        </w:r>
                      </w:p>
                      <w:p w14:paraId="6C8FF481"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Have you ever watched a lake in a thunderstorm?</w:t>
                        </w:r>
                      </w:p>
                      <w:p w14:paraId="69A3F40B"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Heavy rain pummels the surface. Dark clouds drop the sky closer to the water. Gusty winds crash waves ashore. Up top, on land, damage may occur. Underneath, in the deeper water, things often remain pretty much the same.</w:t>
                        </w:r>
                      </w:p>
                      <w:p w14:paraId="51D63B83"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Last week’s stock market volatility was like a thunderstorm on a lake. Markets were doing well until the squall brewed up on Friday. Ben Levisohn of </w:t>
                        </w:r>
                        <w:r w:rsidRPr="003F48EC">
                          <w:rPr>
                            <w:rFonts w:ascii="Times New Roman" w:eastAsia="Times New Roman" w:hAnsi="Times New Roman" w:cs="Times New Roman"/>
                            <w:i/>
                            <w:iCs/>
                            <w:sz w:val="24"/>
                            <w:szCs w:val="24"/>
                          </w:rPr>
                          <w:t>Barron’s</w:t>
                        </w:r>
                        <w:r w:rsidRPr="003F48EC">
                          <w:rPr>
                            <w:rFonts w:ascii="Times New Roman" w:eastAsia="Times New Roman" w:hAnsi="Times New Roman" w:cs="Times New Roman"/>
                            <w:sz w:val="24"/>
                            <w:szCs w:val="24"/>
                          </w:rPr>
                          <w:t> described it like this:</w:t>
                        </w:r>
                      </w:p>
                      <w:p w14:paraId="22B5F18D" w14:textId="77777777" w:rsidR="003F48EC" w:rsidRPr="003F48EC" w:rsidRDefault="003F48EC" w:rsidP="003F48EC">
                        <w:pPr>
                          <w:spacing w:before="100" w:beforeAutospacing="1" w:after="100" w:afterAutospacing="1" w:line="240" w:lineRule="auto"/>
                          <w:ind w:left="600"/>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“The fun started on Friday morning, when China announced new tariffs on $75 billion of U.S. goods and a resumption of penalties on U.S. cars. Surprisingly, the market handled it pretty well. U.S. futures markets dipped into the red, but only a bit, and the market appeared ready to shrug off the news, particularly after [Federal Reserve Chair] Powell stuck to his message: The Fed will ‘act as appropriate to sustain the expansion’…That wasn’t enough for the president…he turned his wrath on China and ‘ordered’ U.S. companies to ‘immediately start looking for an alternative to China.’ Now that’s escalation – even if it’s unclear whether the president can legally do that.”</w:t>
                        </w:r>
                      </w:p>
                      <w:p w14:paraId="39006359"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Unsettled, stock markets seethed and stormed. By the end of the day, major U.S. stock indices were lower, and that’s how they finished the week.</w:t>
                        </w:r>
                      </w:p>
                      <w:p w14:paraId="5EF01EDA"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The U.S. economy, which is the deep water under the U.S. stock market, continued along as usual. On Friday, </w:t>
                        </w:r>
                        <w:r w:rsidRPr="003F48EC">
                          <w:rPr>
                            <w:rFonts w:ascii="Times New Roman" w:eastAsia="Times New Roman" w:hAnsi="Times New Roman" w:cs="Times New Roman"/>
                            <w:i/>
                            <w:iCs/>
                            <w:sz w:val="24"/>
                            <w:szCs w:val="24"/>
                          </w:rPr>
                          <w:t>The Economist</w:t>
                        </w:r>
                        <w:r w:rsidRPr="003F48EC">
                          <w:rPr>
                            <w:rFonts w:ascii="Times New Roman" w:eastAsia="Times New Roman" w:hAnsi="Times New Roman" w:cs="Times New Roman"/>
                            <w:sz w:val="24"/>
                            <w:szCs w:val="24"/>
                          </w:rPr>
                          <w:t xml:space="preserve"> reported, “…economic data do not suggest that America is sliding into recession. Although inflation remains low and </w:t>
                        </w:r>
                        <w:r w:rsidRPr="003F48EC">
                          <w:rPr>
                            <w:rFonts w:ascii="Times New Roman" w:eastAsia="Times New Roman" w:hAnsi="Times New Roman" w:cs="Times New Roman"/>
                            <w:sz w:val="24"/>
                            <w:szCs w:val="24"/>
                          </w:rPr>
                          <w:lastRenderedPageBreak/>
                          <w:t>manufacturing activity is weakening, consumers keep spending and there is little sign that unemployment is about to rise.”</w:t>
                        </w:r>
                      </w:p>
                      <w:p w14:paraId="3CDC8303"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The economy isn’t moving fast, but it’s moving steady. Stock markets, on the other hand, are suffering the storms of investor sentiment and anxiety.</w:t>
                        </w:r>
                      </w:p>
                      <w:p w14:paraId="729AE08E" w14:textId="2F832E7F"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 </w:t>
                        </w:r>
                        <w:r w:rsidRPr="003F48EC">
                          <w:rPr>
                            <w:rFonts w:ascii="Times New Roman" w:eastAsia="Times New Roman" w:hAnsi="Times New Roman" w:cs="Times New Roman"/>
                            <w:noProof/>
                            <w:sz w:val="24"/>
                            <w:szCs w:val="24"/>
                          </w:rPr>
                          <w:drawing>
                            <wp:inline distT="0" distB="0" distL="0" distR="0" wp14:anchorId="334D811D" wp14:editId="0CB5A4E2">
                              <wp:extent cx="5943600"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02435"/>
                                      </a:xfrm>
                                      <a:prstGeom prst="rect">
                                        <a:avLst/>
                                      </a:prstGeom>
                                      <a:noFill/>
                                      <a:ln>
                                        <a:noFill/>
                                      </a:ln>
                                    </pic:spPr>
                                  </pic:pic>
                                </a:graphicData>
                              </a:graphic>
                            </wp:inline>
                          </w:drawing>
                        </w:r>
                      </w:p>
                      <w:p w14:paraId="3AA598F4"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b/>
                            <w:bCs/>
                            <w:sz w:val="24"/>
                            <w:szCs w:val="24"/>
                          </w:rPr>
                          <w:t>HAPPY ANNIVERSARY!</w:t>
                        </w:r>
                        <w:r w:rsidRPr="003F48EC">
                          <w:rPr>
                            <w:rFonts w:ascii="Times New Roman" w:eastAsia="Times New Roman" w:hAnsi="Times New Roman" w:cs="Times New Roman"/>
                            <w:sz w:val="24"/>
                            <w:szCs w:val="24"/>
                          </w:rPr>
                          <w:t> You’ve probably been hearing and reading a lot about Woodstock, the iconic 1969 music festival. Americans have been celebrating the event’s 50th anniversary. In August 1969, Woodstock staged 32 acts, attracted 400,000 attendees (without social media), and featured intermittent downpours.</w:t>
                        </w:r>
                      </w:p>
                      <w:p w14:paraId="7DE99BBC"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Rain-soaked performers, including The Who, Janis Joplin, Creedence Clearwater Revival, Joe Cocker, Sly and the Family Stone, Jimi Hendrix, and Crosby, Stills, Nash and Young, braved “…the danger of electrical shocks and general backstage anarchy,” wrote </w:t>
                        </w:r>
                        <w:r w:rsidRPr="003F48EC">
                          <w:rPr>
                            <w:rFonts w:ascii="Times New Roman" w:eastAsia="Times New Roman" w:hAnsi="Times New Roman" w:cs="Times New Roman"/>
                            <w:i/>
                            <w:iCs/>
                            <w:sz w:val="24"/>
                            <w:szCs w:val="24"/>
                          </w:rPr>
                          <w:t>Rolling Stone Magazine</w:t>
                        </w:r>
                        <w:r w:rsidRPr="003F48EC">
                          <w:rPr>
                            <w:rFonts w:ascii="Times New Roman" w:eastAsia="Times New Roman" w:hAnsi="Times New Roman" w:cs="Times New Roman"/>
                            <w:sz w:val="24"/>
                            <w:szCs w:val="24"/>
                          </w:rPr>
                          <w:t>.</w:t>
                        </w:r>
                      </w:p>
                      <w:p w14:paraId="06086600"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Woodstock made </w:t>
                        </w:r>
                        <w:r w:rsidRPr="003F48EC">
                          <w:rPr>
                            <w:rFonts w:ascii="Times New Roman" w:eastAsia="Times New Roman" w:hAnsi="Times New Roman" w:cs="Times New Roman"/>
                            <w:i/>
                            <w:iCs/>
                            <w:sz w:val="24"/>
                            <w:szCs w:val="24"/>
                          </w:rPr>
                          <w:t>Rolling Stone’s</w:t>
                        </w:r>
                        <w:r w:rsidRPr="003F48EC">
                          <w:rPr>
                            <w:rFonts w:ascii="Times New Roman" w:eastAsia="Times New Roman" w:hAnsi="Times New Roman" w:cs="Times New Roman"/>
                            <w:sz w:val="24"/>
                            <w:szCs w:val="24"/>
                          </w:rPr>
                          <w:t> 2004 list of </w:t>
                        </w:r>
                        <w:r w:rsidRPr="003F48EC">
                          <w:rPr>
                            <w:rFonts w:ascii="Times New Roman" w:eastAsia="Times New Roman" w:hAnsi="Times New Roman" w:cs="Times New Roman"/>
                            <w:i/>
                            <w:iCs/>
                            <w:sz w:val="24"/>
                            <w:szCs w:val="24"/>
                          </w:rPr>
                          <w:t>50 Moments That Changed Rock and Roll</w:t>
                        </w:r>
                        <w:r w:rsidRPr="003F48EC">
                          <w:rPr>
                            <w:rFonts w:ascii="Times New Roman" w:eastAsia="Times New Roman" w:hAnsi="Times New Roman" w:cs="Times New Roman"/>
                            <w:sz w:val="24"/>
                            <w:szCs w:val="24"/>
                          </w:rPr>
                          <w:t>, along with the evolution of Chess Records, the death of John Lennon, and the invention of the iPod.</w:t>
                        </w:r>
                      </w:p>
                      <w:p w14:paraId="0B3DB44B"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Since 1969, music festivals have become a staple of summertime entertainment. </w:t>
                        </w:r>
                        <w:r w:rsidRPr="003F48EC">
                          <w:rPr>
                            <w:rFonts w:ascii="Times New Roman" w:eastAsia="Times New Roman" w:hAnsi="Times New Roman" w:cs="Times New Roman"/>
                            <w:i/>
                            <w:iCs/>
                            <w:sz w:val="24"/>
                            <w:szCs w:val="24"/>
                          </w:rPr>
                          <w:t>Planet Money</w:t>
                        </w:r>
                        <w:r w:rsidRPr="003F48EC">
                          <w:rPr>
                            <w:rFonts w:ascii="Times New Roman" w:eastAsia="Times New Roman" w:hAnsi="Times New Roman" w:cs="Times New Roman"/>
                            <w:sz w:val="24"/>
                            <w:szCs w:val="24"/>
                          </w:rPr>
                          <w:t> reported about 100 events will have been scheduled in the United States this year. Most will have production standards far superior to those at Woodstock.</w:t>
                        </w:r>
                      </w:p>
                      <w:p w14:paraId="593A4DC1"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They also cost a lot more.</w:t>
                        </w:r>
                      </w:p>
                      <w:p w14:paraId="2CC5BAE8"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lastRenderedPageBreak/>
                          <w:t>If festival ticket prices increased with inflation, they would cost about five times what they did in the late 70s, reported </w:t>
                        </w:r>
                        <w:r w:rsidRPr="003F48EC">
                          <w:rPr>
                            <w:rFonts w:ascii="Times New Roman" w:eastAsia="Times New Roman" w:hAnsi="Times New Roman" w:cs="Times New Roman"/>
                            <w:i/>
                            <w:iCs/>
                            <w:sz w:val="24"/>
                            <w:szCs w:val="24"/>
                          </w:rPr>
                          <w:t>The Economist.</w:t>
                        </w:r>
                        <w:r w:rsidRPr="003F48EC">
                          <w:rPr>
                            <w:rFonts w:ascii="Times New Roman" w:eastAsia="Times New Roman" w:hAnsi="Times New Roman" w:cs="Times New Roman"/>
                            <w:sz w:val="24"/>
                            <w:szCs w:val="24"/>
                          </w:rPr>
                          <w:t> Instead, tickets cost about 50 times more.</w:t>
                        </w:r>
                      </w:p>
                      <w:p w14:paraId="38A02F4C"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Attendees are getting a lot more for their money. A festival organizer in Britain said arranging a music festival is akin to setting up a small town with scaffolding and a crew to build it. Festival goers need water, food, drinks, Wi-Fi, security, and bathrooms.</w:t>
                        </w:r>
                      </w:p>
                      <w:p w14:paraId="7443485A"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Oh! And music.</w:t>
                        </w:r>
                      </w:p>
                      <w:p w14:paraId="543BAB6A"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The economics of the music industry have changed dramatically. At one time, performers made most of their money selling records and would tour to promote newly released songs. Today, artists make most of their money going on tour and new releases are a way to attract fans to a show.</w:t>
                        </w:r>
                      </w:p>
                      <w:p w14:paraId="102BF221"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Today, succeeding in the music industry is all about making the fan experience worth the price.</w:t>
                        </w:r>
                      </w:p>
                      <w:p w14:paraId="00F48FB1"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b/>
                            <w:bCs/>
                            <w:sz w:val="24"/>
                            <w:szCs w:val="24"/>
                          </w:rPr>
                          <w:t>Weekly Focus – Think About It</w:t>
                        </w:r>
                      </w:p>
                      <w:p w14:paraId="41393984"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rPr>
                          <w:t>“We feared that the music which had given us sustenance was in danger of spiritual starvation. We feared it losing its sense of purpose, we feared it falling into fattened hands, we feared it floundering in a mire of spectacle, finance, and vapid technical complexity. We would call forth in our minds the image of Paul Revere, riding through the American night, petitioning the people to wake up, to take up arms. We, too, would take up arms, the arms of our generation, the electric guitar and the microphone.”</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i/>
                            <w:iCs/>
                            <w:sz w:val="24"/>
                            <w:szCs w:val="24"/>
                          </w:rPr>
                          <w:t>--Patti Smith, Singer and songwriter</w:t>
                        </w:r>
                      </w:p>
                      <w:p w14:paraId="4B6049FB"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vertAlign w:val="subscript"/>
                          </w:rPr>
                          <w:t>* These views are those of Carson Coaching, and not the presenting Representative or the Representative’s Broker/Dealer, and should not be construed as investment advice.</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This newsletter was prepared by Carson Coaching. Carson Coaching is not affiliated with the named broker/dealer.</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 Standard &amp; Poor's 500 (S&amp;P 500) is an unmanaged group of securities considered to be representative of the stock market in general. You cannot invest directly in this index.</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lastRenderedPageBreak/>
                          <w:t>* All indexes referenced are unmanaged. Unmanaged index returns do not reflect fees, expenses, or sales charges. Index performance is not indicative of the performance of any investment.</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 Dow Jones Global ex-U.S. Index covers approximately 95% of the market capitalization of the 45 developed and emerging countries included in the Index.</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 Bloomberg Commodity Index is designed to be a highly liquid and diversified benchmark for the commodity futures market. The Index is composed of futures contracts on 19 physical commodities and was launched on July 14, 1998.</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 Dow Jones Industrial Average (DJIA), commonly known as “The Dow,” is an index representing 30 stock of companies maintained and reviewed by the editors of The Wall Street Journal.</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 NASDAQ Composite is an unmanaged index of securities traded on the NASDAQ system.</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International investing involves special risks such as currency fluctuation and political instability and may not be suitable for all investors. These risks are often heightened for investments in emerging markets.</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Yahoo! Finance is the source for any reference to the performance of an index between two specific periods.</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Opinions expressed are subject to change without notice and are not intended as investment advice or to predict future performance.</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Economic forecasts set forth may not develop as predicted and there can be no guarantee that strategies promoted will be successful.</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Past performance does not guarantee future results. Investing involves risk, including loss of principal.</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You cannot invest directly in an index.</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Stock investing involves risk including loss of principal.</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 foregoing information has been obtained from sources considered to be reliable, but we do not guarantee it is accurate or complete.</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There is no guarantee a diversified portfolio will enhance overall returns or outperform a non-diversified portfolio. Diversification does not protect against market risk.</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Asset allocation does not ensure a profit or protect against a loss.</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 Consult your financial professional before making any investment decision.</w:t>
                        </w:r>
                      </w:p>
                      <w:p w14:paraId="4802FCFF" w14:textId="77777777" w:rsidR="003F48EC" w:rsidRPr="003F48EC" w:rsidRDefault="003F48EC" w:rsidP="003F48EC">
                        <w:pPr>
                          <w:spacing w:before="100" w:beforeAutospacing="1" w:after="100" w:afterAutospacing="1" w:line="240" w:lineRule="auto"/>
                          <w:rPr>
                            <w:rFonts w:ascii="Times New Roman" w:eastAsia="Times New Roman" w:hAnsi="Times New Roman" w:cs="Times New Roman"/>
                            <w:sz w:val="24"/>
                            <w:szCs w:val="24"/>
                          </w:rPr>
                        </w:pPr>
                        <w:r w:rsidRPr="003F48EC">
                          <w:rPr>
                            <w:rFonts w:ascii="Times New Roman" w:eastAsia="Times New Roman" w:hAnsi="Times New Roman" w:cs="Times New Roman"/>
                            <w:sz w:val="24"/>
                            <w:szCs w:val="24"/>
                            <w:vertAlign w:val="subscript"/>
                          </w:rPr>
                          <w:t>Sources:</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https://www.barrons.com/articles/dow-jones-industrial-average-drops-as-donald-trump-tweets-spook-market-51566607558?mod=hp_DAY_3 (or go to https://peakcontent.s3-us-west-2.amazonaws.com/+Peak+Commentary/08-26-19_Barrons-The_Dows_Week_Turned_Ugly_After_Trump_Sparred_with_China_and_Powell-Footnote_1.pdf)</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https://www.economist.com/finance-and-economics/2019/08/23/now-donald-trump-calls-the-feds-chairman-an-enemy (or go to https://peakcontent.s3-us-west-2.amazonaws.com/+Peak+Commentary/08-26-19_TheEconomist-Now_Donald_Trump_Calls_the_Feds_Chairman_an_Enemy-Footnote_2.pdf)</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https://www.washingtonpost.com/outlook/2019/08/22/this-month-people-are-remembering-woodstock-long-forgotten-music-festival-had-more-impact/?noredirect=on</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lastRenderedPageBreak/>
                          <w:t>https://en.wikipedia.org/wiki/Woodstock</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https://web.archive.org/web/20070209163601/http://www.rollingstone.com/news/story/6085488/woodstock_in_1969</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https://www.today.com/news/greatest-moments-rock-n-roll-history-wbna5156694</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https://www.npr.org/templates/transcript/transcript.php?storyId=753506457</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https://www.youtube.com/watch?v=PMfkO3Pv4VQ (Timestamp 0:35 through 2:18 minutes)</w:t>
                        </w:r>
                        <w:r w:rsidRPr="003F48EC">
                          <w:rPr>
                            <w:rFonts w:ascii="Times New Roman" w:eastAsia="Times New Roman" w:hAnsi="Times New Roman" w:cs="Times New Roman"/>
                            <w:sz w:val="24"/>
                            <w:szCs w:val="24"/>
                          </w:rPr>
                          <w:br/>
                        </w:r>
                        <w:r w:rsidRPr="003F48EC">
                          <w:rPr>
                            <w:rFonts w:ascii="Times New Roman" w:eastAsia="Times New Roman" w:hAnsi="Times New Roman" w:cs="Times New Roman"/>
                            <w:sz w:val="24"/>
                            <w:szCs w:val="24"/>
                            <w:vertAlign w:val="subscript"/>
                          </w:rPr>
                          <w:t>https://www.goodreads.com/quotes/tag/rock-and-roll</w:t>
                        </w:r>
                      </w:p>
                    </w:tc>
                  </w:tr>
                </w:tbl>
                <w:p w14:paraId="544A3C2A" w14:textId="77777777" w:rsidR="003F48EC" w:rsidRPr="003F48EC" w:rsidRDefault="003F48EC" w:rsidP="003F48EC">
                  <w:pPr>
                    <w:spacing w:after="0" w:line="240" w:lineRule="auto"/>
                    <w:rPr>
                      <w:rFonts w:ascii="Times New Roman" w:eastAsia="Times New Roman" w:hAnsi="Times New Roman" w:cs="Times New Roman"/>
                      <w:sz w:val="24"/>
                      <w:szCs w:val="24"/>
                    </w:rPr>
                  </w:pPr>
                </w:p>
              </w:tc>
            </w:tr>
            <w:tr w:rsidR="003F48EC" w:rsidRPr="003F48EC" w14:paraId="38791458" w14:textId="77777777">
              <w:trPr>
                <w:tblCellSpacing w:w="0" w:type="dxa"/>
                <w:jc w:val="center"/>
              </w:trPr>
              <w:tc>
                <w:tcPr>
                  <w:tcW w:w="0" w:type="auto"/>
                  <w:tcMar>
                    <w:top w:w="0" w:type="dxa"/>
                    <w:left w:w="0" w:type="dxa"/>
                    <w:bottom w:w="450" w:type="dxa"/>
                    <w:right w:w="0" w:type="dxa"/>
                  </w:tcMar>
                  <w:vAlign w:val="center"/>
                  <w:hideMark/>
                </w:tcPr>
                <w:p w14:paraId="08156966" w14:textId="059AD4CA" w:rsidR="003F48EC" w:rsidRPr="003F48EC" w:rsidRDefault="003F48EC" w:rsidP="003F48EC">
                  <w:pPr>
                    <w:spacing w:after="0" w:line="240" w:lineRule="auto"/>
                    <w:rPr>
                      <w:rFonts w:ascii="Times New Roman" w:eastAsia="Times New Roman" w:hAnsi="Times New Roman" w:cs="Times New Roman"/>
                      <w:sz w:val="20"/>
                      <w:szCs w:val="20"/>
                    </w:rPr>
                  </w:pPr>
                  <w:r w:rsidRPr="003F48EC">
                    <w:rPr>
                      <w:rFonts w:ascii="Times New Roman" w:eastAsia="Times New Roman" w:hAnsi="Times New Roman" w:cs="Times New Roman"/>
                      <w:noProof/>
                      <w:sz w:val="20"/>
                      <w:szCs w:val="20"/>
                    </w:rPr>
                    <w:lastRenderedPageBreak/>
                    <w:drawing>
                      <wp:anchor distT="0" distB="0" distL="0" distR="0" simplePos="0" relativeHeight="251663360" behindDoc="0" locked="0" layoutInCell="1" allowOverlap="0" wp14:anchorId="3CF7C91A" wp14:editId="09290469">
                        <wp:simplePos x="0" y="0"/>
                        <wp:positionH relativeFrom="column">
                          <wp:align>left</wp:align>
                        </wp:positionH>
                        <wp:positionV relativeFrom="line">
                          <wp:posOffset>0</wp:posOffset>
                        </wp:positionV>
                        <wp:extent cx="5715000" cy="66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6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48EC" w:rsidRPr="003F48EC" w14:paraId="36548032"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84"/>
                    <w:gridCol w:w="3336"/>
                    <w:gridCol w:w="398"/>
                    <w:gridCol w:w="3542"/>
                  </w:tblGrid>
                  <w:tr w:rsidR="003F48EC" w:rsidRPr="003F48EC" w14:paraId="64E7E068" w14:textId="77777777">
                    <w:trPr>
                      <w:tblCellSpacing w:w="0" w:type="dxa"/>
                    </w:trPr>
                    <w:tc>
                      <w:tcPr>
                        <w:tcW w:w="2430" w:type="dxa"/>
                        <w:hideMark/>
                      </w:tcPr>
                      <w:p w14:paraId="180E46D8" w14:textId="31CD7715" w:rsidR="003F48EC" w:rsidRPr="003F48EC" w:rsidRDefault="003F48EC" w:rsidP="003F48EC">
                        <w:pPr>
                          <w:spacing w:after="0" w:line="0" w:lineRule="auto"/>
                          <w:rPr>
                            <w:rFonts w:ascii="Times New Roman" w:eastAsia="Times New Roman" w:hAnsi="Times New Roman" w:cs="Times New Roman"/>
                            <w:sz w:val="20"/>
                            <w:szCs w:val="20"/>
                          </w:rPr>
                        </w:pPr>
                        <w:r w:rsidRPr="003F48EC">
                          <w:rPr>
                            <w:rFonts w:ascii="Times New Roman" w:eastAsia="Times New Roman" w:hAnsi="Times New Roman" w:cs="Times New Roman"/>
                            <w:noProof/>
                            <w:sz w:val="20"/>
                            <w:szCs w:val="20"/>
                          </w:rPr>
                          <w:drawing>
                            <wp:anchor distT="0" distB="0" distL="0" distR="0" simplePos="0" relativeHeight="251664384" behindDoc="0" locked="0" layoutInCell="1" allowOverlap="0" wp14:anchorId="08EAD080" wp14:editId="5A094CA0">
                              <wp:simplePos x="0" y="0"/>
                              <wp:positionH relativeFrom="column">
                                <wp:align>left</wp:align>
                              </wp:positionH>
                              <wp:positionV relativeFrom="line">
                                <wp:posOffset>0</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95" w:type="dxa"/>
                        <w:hideMark/>
                      </w:tcPr>
                      <w:tbl>
                        <w:tblPr>
                          <w:tblW w:w="5000" w:type="pct"/>
                          <w:tblCellSpacing w:w="0" w:type="dxa"/>
                          <w:tblCellMar>
                            <w:left w:w="0" w:type="dxa"/>
                            <w:right w:w="0" w:type="dxa"/>
                          </w:tblCellMar>
                          <w:tblLook w:val="04A0" w:firstRow="1" w:lastRow="0" w:firstColumn="1" w:lastColumn="0" w:noHBand="0" w:noVBand="1"/>
                        </w:tblPr>
                        <w:tblGrid>
                          <w:gridCol w:w="3336"/>
                        </w:tblGrid>
                        <w:tr w:rsidR="003F48EC" w:rsidRPr="003F48EC" w14:paraId="515DFF92" w14:textId="77777777">
                          <w:trPr>
                            <w:tblCellSpacing w:w="0" w:type="dxa"/>
                          </w:trPr>
                          <w:tc>
                            <w:tcPr>
                              <w:tcW w:w="0" w:type="auto"/>
                              <w:tcMar>
                                <w:top w:w="0" w:type="dxa"/>
                                <w:left w:w="0" w:type="dxa"/>
                                <w:bottom w:w="150" w:type="dxa"/>
                                <w:right w:w="0" w:type="dxa"/>
                              </w:tcMar>
                              <w:vAlign w:val="center"/>
                              <w:hideMark/>
                            </w:tcPr>
                            <w:p w14:paraId="76C07BE5" w14:textId="77777777" w:rsidR="003F48EC" w:rsidRPr="003F48EC" w:rsidRDefault="003F48EC" w:rsidP="003F48EC">
                              <w:pPr>
                                <w:spacing w:after="0" w:line="195" w:lineRule="atLeast"/>
                                <w:rPr>
                                  <w:rFonts w:ascii="Arial" w:eastAsia="Times New Roman" w:hAnsi="Arial" w:cs="Arial"/>
                                  <w:color w:val="777777"/>
                                  <w:sz w:val="17"/>
                                  <w:szCs w:val="17"/>
                                </w:rPr>
                              </w:pPr>
                              <w:r w:rsidRPr="003F48EC">
                                <w:rPr>
                                  <w:rFonts w:ascii="Arial" w:eastAsia="Times New Roman" w:hAnsi="Arial" w:cs="Arial"/>
                                  <w:color w:val="777777"/>
                                  <w:sz w:val="17"/>
                                  <w:szCs w:val="17"/>
                                </w:rPr>
                                <w:t>Midwest Money Management Inc.</w:t>
                              </w:r>
                              <w:r w:rsidRPr="003F48EC">
                                <w:rPr>
                                  <w:rFonts w:ascii="Arial" w:eastAsia="Times New Roman" w:hAnsi="Arial" w:cs="Arial"/>
                                  <w:color w:val="777777"/>
                                  <w:sz w:val="17"/>
                                  <w:szCs w:val="17"/>
                                </w:rPr>
                                <w:br/>
                                <w:t>17316 Kenyon Ave</w:t>
                              </w:r>
                              <w:r w:rsidRPr="003F48EC">
                                <w:rPr>
                                  <w:rFonts w:ascii="Arial" w:eastAsia="Times New Roman" w:hAnsi="Arial" w:cs="Arial"/>
                                  <w:color w:val="777777"/>
                                  <w:sz w:val="17"/>
                                  <w:szCs w:val="17"/>
                                </w:rPr>
                                <w:br/>
                                <w:t>Suite 104</w:t>
                              </w:r>
                              <w:r w:rsidRPr="003F48EC">
                                <w:rPr>
                                  <w:rFonts w:ascii="Arial" w:eastAsia="Times New Roman" w:hAnsi="Arial" w:cs="Arial"/>
                                  <w:color w:val="777777"/>
                                  <w:sz w:val="17"/>
                                  <w:szCs w:val="17"/>
                                </w:rPr>
                                <w:br/>
                                <w:t>Lakeville, MN</w:t>
                              </w:r>
                              <w:r w:rsidRPr="003F48EC">
                                <w:rPr>
                                  <w:rFonts w:ascii="Arial" w:eastAsia="Times New Roman" w:hAnsi="Arial" w:cs="Arial"/>
                                  <w:color w:val="777777"/>
                                  <w:sz w:val="17"/>
                                  <w:szCs w:val="17"/>
                                </w:rPr>
                                <w:br/>
                                <w:t>55044</w:t>
                              </w:r>
                              <w:r w:rsidRPr="003F48EC">
                                <w:rPr>
                                  <w:rFonts w:ascii="Arial" w:eastAsia="Times New Roman" w:hAnsi="Arial" w:cs="Arial"/>
                                  <w:color w:val="777777"/>
                                  <w:sz w:val="17"/>
                                  <w:szCs w:val="17"/>
                                </w:rPr>
                                <w:br/>
                              </w:r>
                              <w:r w:rsidRPr="003F48EC">
                                <w:rPr>
                                  <w:rFonts w:ascii="Arial" w:eastAsia="Times New Roman" w:hAnsi="Arial" w:cs="Arial"/>
                                  <w:color w:val="777777"/>
                                  <w:sz w:val="17"/>
                                  <w:szCs w:val="17"/>
                                </w:rPr>
                                <w:br/>
                              </w:r>
                              <w:hyperlink r:id="rId11" w:tgtFrame="_blank" w:history="1">
                                <w:r w:rsidRPr="003F48EC">
                                  <w:rPr>
                                    <w:rFonts w:ascii="Arial" w:eastAsia="Times New Roman" w:hAnsi="Arial" w:cs="Arial"/>
                                    <w:color w:val="777777"/>
                                    <w:sz w:val="17"/>
                                    <w:szCs w:val="17"/>
                                    <w:u w:val="single"/>
                                  </w:rPr>
                                  <w:t>http://www.midwestmoneymanagement.com</w:t>
                                </w:r>
                              </w:hyperlink>
                            </w:p>
                          </w:tc>
                        </w:tr>
                        <w:tr w:rsidR="003F48EC" w:rsidRPr="003F48EC" w14:paraId="2641E061" w14:textId="77777777">
                          <w:trPr>
                            <w:tblCellSpacing w:w="0" w:type="dxa"/>
                          </w:trPr>
                          <w:tc>
                            <w:tcPr>
                              <w:tcW w:w="0" w:type="auto"/>
                              <w:vAlign w:val="center"/>
                              <w:hideMark/>
                            </w:tcPr>
                            <w:p w14:paraId="1E2255CA" w14:textId="77777777" w:rsidR="003F48EC" w:rsidRPr="003F48EC" w:rsidRDefault="003F48EC" w:rsidP="003F48EC">
                              <w:pPr>
                                <w:spacing w:after="0" w:line="195" w:lineRule="atLeast"/>
                                <w:rPr>
                                  <w:rFonts w:ascii="Arial" w:eastAsia="Times New Roman" w:hAnsi="Arial" w:cs="Arial"/>
                                  <w:color w:val="777777"/>
                                  <w:sz w:val="17"/>
                                  <w:szCs w:val="17"/>
                                </w:rPr>
                              </w:pPr>
                              <w:hyperlink r:id="rId12" w:tgtFrame="_blank" w:history="1">
                                <w:r w:rsidRPr="003F48EC">
                                  <w:rPr>
                                    <w:rFonts w:ascii="Arial" w:eastAsia="Times New Roman" w:hAnsi="Arial" w:cs="Arial"/>
                                    <w:color w:val="007292"/>
                                    <w:sz w:val="17"/>
                                    <w:szCs w:val="17"/>
                                    <w:u w:val="single"/>
                                  </w:rPr>
                                  <w:t>Unsubscribe</w:t>
                                </w:r>
                              </w:hyperlink>
                            </w:p>
                          </w:tc>
                        </w:tr>
                      </w:tbl>
                      <w:p w14:paraId="4849B358" w14:textId="77777777" w:rsidR="003F48EC" w:rsidRPr="003F48EC" w:rsidRDefault="003F48EC" w:rsidP="003F48EC">
                        <w:pPr>
                          <w:spacing w:after="0" w:line="240" w:lineRule="auto"/>
                          <w:rPr>
                            <w:rFonts w:ascii="Times New Roman" w:eastAsia="Times New Roman" w:hAnsi="Times New Roman" w:cs="Times New Roman"/>
                            <w:sz w:val="24"/>
                            <w:szCs w:val="24"/>
                          </w:rPr>
                        </w:pPr>
                      </w:p>
                    </w:tc>
                    <w:tc>
                      <w:tcPr>
                        <w:tcW w:w="630" w:type="dxa"/>
                        <w:vAlign w:val="center"/>
                        <w:hideMark/>
                      </w:tcPr>
                      <w:p w14:paraId="4E720318" w14:textId="77777777" w:rsidR="003F48EC" w:rsidRPr="003F48EC" w:rsidRDefault="003F48EC" w:rsidP="003F48EC">
                        <w:pPr>
                          <w:spacing w:after="0" w:line="240" w:lineRule="auto"/>
                          <w:rPr>
                            <w:rFonts w:ascii="Times New Roman" w:eastAsia="Times New Roman" w:hAnsi="Times New Roman" w:cs="Times New Roman"/>
                            <w:sz w:val="20"/>
                            <w:szCs w:val="20"/>
                          </w:rPr>
                        </w:pPr>
                      </w:p>
                    </w:tc>
                    <w:tc>
                      <w:tcPr>
                        <w:tcW w:w="4245" w:type="dxa"/>
                        <w:hideMark/>
                      </w:tcPr>
                      <w:p w14:paraId="06ED9E8B" w14:textId="77777777" w:rsidR="003F48EC" w:rsidRPr="003F48EC" w:rsidRDefault="003F48EC" w:rsidP="003F48EC">
                        <w:pPr>
                          <w:spacing w:after="0" w:line="195" w:lineRule="atLeast"/>
                          <w:rPr>
                            <w:rFonts w:ascii="Arial" w:eastAsia="Times New Roman" w:hAnsi="Arial" w:cs="Arial"/>
                            <w:color w:val="777777"/>
                            <w:sz w:val="17"/>
                            <w:szCs w:val="17"/>
                          </w:rPr>
                        </w:pPr>
                        <w:r w:rsidRPr="003F48EC">
                          <w:rPr>
                            <w:rFonts w:ascii="Arial" w:eastAsia="Times New Roman" w:hAnsi="Arial" w:cs="Arial"/>
                            <w:color w:val="777777"/>
                            <w:sz w:val="17"/>
                            <w:szCs w:val="17"/>
                          </w:rPr>
                          <w:t>Securities offered through Parkland Securities, LLC., Member FINRA and </w:t>
                        </w:r>
                        <w:proofErr w:type="spellStart"/>
                        <w:r w:rsidRPr="003F48EC">
                          <w:rPr>
                            <w:rFonts w:ascii="Arial" w:eastAsia="Times New Roman" w:hAnsi="Arial" w:cs="Arial"/>
                            <w:color w:val="777777"/>
                            <w:sz w:val="17"/>
                            <w:szCs w:val="17"/>
                          </w:rPr>
                          <w:t>SIPC.Fee</w:t>
                        </w:r>
                        <w:proofErr w:type="spellEnd"/>
                        <w:r w:rsidRPr="003F48EC">
                          <w:rPr>
                            <w:rFonts w:ascii="Arial" w:eastAsia="Times New Roman" w:hAnsi="Arial" w:cs="Arial"/>
                            <w:color w:val="777777"/>
                            <w:sz w:val="17"/>
                            <w:szCs w:val="17"/>
                          </w:rPr>
                          <w:t xml:space="preserve">-based investment advisory services offered through Sigma Planning Corporation, a registered investment </w:t>
                        </w:r>
                        <w:proofErr w:type="spellStart"/>
                        <w:proofErr w:type="gramStart"/>
                        <w:r w:rsidRPr="003F48EC">
                          <w:rPr>
                            <w:rFonts w:ascii="Arial" w:eastAsia="Times New Roman" w:hAnsi="Arial" w:cs="Arial"/>
                            <w:color w:val="777777"/>
                            <w:sz w:val="17"/>
                            <w:szCs w:val="17"/>
                          </w:rPr>
                          <w:t>advisor.Midwest</w:t>
                        </w:r>
                        <w:proofErr w:type="spellEnd"/>
                        <w:proofErr w:type="gramEnd"/>
                        <w:r w:rsidRPr="003F48EC">
                          <w:rPr>
                            <w:rFonts w:ascii="Arial" w:eastAsia="Times New Roman" w:hAnsi="Arial" w:cs="Arial"/>
                            <w:color w:val="777777"/>
                            <w:sz w:val="17"/>
                            <w:szCs w:val="17"/>
                          </w:rPr>
                          <w:t xml:space="preserve"> Money Management Inc. is independent of Parkland Securities, LLC and SPC.</w:t>
                        </w:r>
                      </w:p>
                    </w:tc>
                  </w:tr>
                  <w:tr w:rsidR="003F48EC" w:rsidRPr="003F48EC" w14:paraId="3C9D5C2B" w14:textId="77777777">
                    <w:trPr>
                      <w:tblCellSpacing w:w="0" w:type="dxa"/>
                    </w:trPr>
                    <w:tc>
                      <w:tcPr>
                        <w:tcW w:w="0" w:type="auto"/>
                        <w:gridSpan w:val="4"/>
                        <w:vAlign w:val="center"/>
                        <w:hideMark/>
                      </w:tcPr>
                      <w:p w14:paraId="2E98F28A" w14:textId="77777777" w:rsidR="003F48EC" w:rsidRPr="003F48EC" w:rsidRDefault="003F48EC" w:rsidP="003F48EC">
                        <w:pPr>
                          <w:spacing w:after="0" w:line="195" w:lineRule="atLeast"/>
                          <w:jc w:val="right"/>
                          <w:rPr>
                            <w:rFonts w:ascii="Arial" w:eastAsia="Times New Roman" w:hAnsi="Arial" w:cs="Arial"/>
                            <w:color w:val="777777"/>
                            <w:sz w:val="17"/>
                            <w:szCs w:val="17"/>
                          </w:rPr>
                        </w:pPr>
                        <w:r w:rsidRPr="003F48EC">
                          <w:rPr>
                            <w:rFonts w:ascii="Arial" w:eastAsia="Times New Roman" w:hAnsi="Arial" w:cs="Arial"/>
                            <w:color w:val="777777"/>
                            <w:sz w:val="17"/>
                            <w:szCs w:val="17"/>
                          </w:rPr>
                          <w:t>8/26/19</w:t>
                        </w:r>
                      </w:p>
                    </w:tc>
                  </w:tr>
                </w:tbl>
                <w:p w14:paraId="7BE5B4C2" w14:textId="77777777" w:rsidR="003F48EC" w:rsidRPr="003F48EC" w:rsidRDefault="003F48EC" w:rsidP="003F48EC">
                  <w:pPr>
                    <w:spacing w:after="0" w:line="240" w:lineRule="auto"/>
                    <w:rPr>
                      <w:rFonts w:ascii="Times New Roman" w:eastAsia="Times New Roman" w:hAnsi="Times New Roman" w:cs="Times New Roman"/>
                      <w:sz w:val="24"/>
                      <w:szCs w:val="24"/>
                    </w:rPr>
                  </w:pPr>
                </w:p>
              </w:tc>
            </w:tr>
          </w:tbl>
          <w:p w14:paraId="62C6D29B" w14:textId="77777777" w:rsidR="003F48EC" w:rsidRPr="003F48EC" w:rsidRDefault="003F48EC" w:rsidP="003F48EC">
            <w:pPr>
              <w:spacing w:after="0" w:line="240" w:lineRule="auto"/>
              <w:rPr>
                <w:rFonts w:ascii="Segoe UI" w:eastAsia="Times New Roman" w:hAnsi="Segoe UI" w:cs="Segoe UI"/>
                <w:color w:val="212121"/>
                <w:sz w:val="23"/>
                <w:szCs w:val="23"/>
              </w:rPr>
            </w:pPr>
          </w:p>
        </w:tc>
      </w:tr>
    </w:tbl>
    <w:p w14:paraId="17ED8A3C" w14:textId="77777777" w:rsidR="003F48EC" w:rsidRDefault="003F48EC"/>
    <w:sectPr w:rsidR="003F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EC"/>
    <w:rsid w:val="003F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AEA8"/>
  <w15:chartTrackingRefBased/>
  <w15:docId w15:val="{D2E0822D-FB2D-4FCB-BEBD-E1FEBDE4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8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48EC"/>
    <w:rPr>
      <w:b/>
      <w:bCs/>
    </w:rPr>
  </w:style>
  <w:style w:type="character" w:styleId="Emphasis">
    <w:name w:val="Emphasis"/>
    <w:basedOn w:val="DefaultParagraphFont"/>
    <w:uiPriority w:val="20"/>
    <w:qFormat/>
    <w:rsid w:val="003F48EC"/>
    <w:rPr>
      <w:i/>
      <w:iCs/>
    </w:rPr>
  </w:style>
  <w:style w:type="character" w:styleId="Hyperlink">
    <w:name w:val="Hyperlink"/>
    <w:basedOn w:val="DefaultParagraphFont"/>
    <w:uiPriority w:val="99"/>
    <w:semiHidden/>
    <w:unhideWhenUsed/>
    <w:rsid w:val="003F4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2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hyperlink" Target="http://email.email01.fmgsuite.com/c/eJyNkMtqxDAMRb9msnOQH2PHCy9apoUuOv8g23JiSDxD7JDfr2fXTaGgzRWXg46iQ6-BDynvtd1xI3d_FBoCbk_Mc_mmWnGmr0il5ZRpdyLJlNSkmRJhYmQ5Z2iTYAnI-KsCLbUZshPALUxCC1Aa7MjH90neDNy0_LA3rpW5KKAN8wp8TNtcj9xoDI9tWJz0QqPBpKTiUaKelI4GQHggBGX9sLqltedFvl3EZ5_zPF-Ik3ztkPqi9C1eQ-KcTwyFD0wRF6yfh0wZ5PqKmKQMvXaUevga9uypJ4o6RQvEpBLyL7ndYcRtwb0dZe4aa56X5lesbSzUhvAoDUP79bL_UH8AOdR1z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email.email01.fmgsuite.com/c/eJx1j7tuhDAQRb8GOpBf60fhYiMSKUX2HwZ7Bixhs8Jeofx9UKo0kW597jnRw6wZ7ykdtT0go3_sBfsA-QlpKV9YKyz4GbG0RAkPL0gSKasHJYId0HE-gCMxEEMz3xTTUps-ecG4Y1ZowZRmbuTjm5WTYZOW727iWplOMcyQNsZHykt9pYZj2HO_eiPNTC6S4BGDIH2zynIVLc1RS0Wm3_za2rOT9058XDvPc8wpnlhbvty_M5RLOV_Gv8DDQ4S8wtFeZblet7Ssbd6gtrFg68NeGoT2pxCjpugYDlIJ-U_hD7KSYX0" TargetMode="External"/><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2020-08-01T20:59:00Z</dcterms:created>
  <dcterms:modified xsi:type="dcterms:W3CDTF">2020-08-01T20:59:00Z</dcterms:modified>
</cp:coreProperties>
</file>