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D6" w:rsidRPr="007103DF" w:rsidRDefault="006A4EAD"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 xml:space="preserve">stocks </w:t>
      </w:r>
      <w:r>
        <w:rPr>
          <w:rFonts w:asciiTheme="majorHAnsi" w:hAnsiTheme="majorHAnsi" w:cs="Times New Roman"/>
          <w:i/>
          <w:sz w:val="28"/>
          <w:szCs w:val="24"/>
        </w:rPr>
        <w:t>move lower</w:t>
      </w:r>
      <w:r>
        <w:rPr>
          <w:rFonts w:asciiTheme="majorHAnsi" w:hAnsiTheme="majorHAnsi" w:cs="Times New Roman"/>
          <w:i/>
          <w:sz w:val="28"/>
          <w:szCs w:val="24"/>
        </w:rPr>
        <w:t xml:space="preserve"> as traders again absorb conflicting messages about trade talks; the Federal Reserve </w:t>
      </w:r>
      <w:r>
        <w:rPr>
          <w:rFonts w:asciiTheme="majorHAnsi" w:hAnsiTheme="majorHAnsi" w:cs="Times New Roman"/>
          <w:i/>
          <w:sz w:val="28"/>
          <w:szCs w:val="24"/>
        </w:rPr>
        <w:t>shares its October meeting minutes</w:t>
      </w:r>
      <w:r>
        <w:rPr>
          <w:rFonts w:asciiTheme="majorHAnsi" w:hAnsiTheme="majorHAnsi" w:cs="Times New Roman"/>
          <w:i/>
          <w:sz w:val="28"/>
          <w:szCs w:val="24"/>
        </w:rPr>
        <w:t>; good news comes from the housing market</w:t>
      </w:r>
      <w:r w:rsidRPr="007103DF">
        <w:rPr>
          <w:rFonts w:asciiTheme="majorHAnsi" w:hAnsiTheme="majorHAnsi" w:cs="Times New Roman"/>
          <w:i/>
          <w:sz w:val="28"/>
          <w:szCs w:val="24"/>
        </w:rPr>
        <w:t>.</w:t>
      </w:r>
    </w:p>
    <w:p w:rsidR="005A4FD6" w:rsidRPr="00A56786" w:rsidRDefault="006A4EAD"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5A4FD6" w:rsidRDefault="006A4EAD"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6A4EAD" w:rsidP="005A4FD6">
      <w:pPr>
        <w:spacing w:before="160" w:line="276" w:lineRule="auto"/>
        <w:jc w:val="center"/>
        <w:rPr>
          <w:rFonts w:asciiTheme="majorHAnsi" w:hAnsiTheme="majorHAnsi" w:cs="Times New Roman"/>
          <w:color w:val="808080" w:themeColor="background1" w:themeShade="80"/>
          <w:sz w:val="2"/>
          <w:szCs w:val="24"/>
        </w:rPr>
      </w:pPr>
    </w:p>
    <w:p w:rsidR="005A4FD6" w:rsidRPr="001162D1" w:rsidRDefault="006A4EAD" w:rsidP="005A4FD6">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sidRPr="001162D1">
        <w:rPr>
          <w:rFonts w:asciiTheme="majorHAnsi" w:hAnsiTheme="majorHAnsi" w:cs="Times New Roman"/>
          <w:i/>
          <w:color w:val="646464"/>
          <w:sz w:val="24"/>
          <w:szCs w:val="24"/>
        </w:rPr>
        <w:fldChar w:fldCharType="begin"/>
      </w:r>
      <w:r w:rsidRPr="001162D1">
        <w:rPr>
          <w:rFonts w:asciiTheme="majorHAnsi" w:hAnsiTheme="majorHAnsi" w:cs="Times New Roman"/>
          <w:i/>
          <w:color w:val="646464"/>
          <w:sz w:val="24"/>
          <w:szCs w:val="24"/>
        </w:rPr>
        <w:instrText xml:space="preserve"> MERGEFIELD  representativename  \* MERGEFORMAT </w:instrText>
      </w:r>
      <w:r w:rsidRPr="001162D1">
        <w:rPr>
          <w:rFonts w:asciiTheme="majorHAnsi" w:hAnsiTheme="majorHAnsi" w:cs="Times New Roman"/>
          <w:i/>
          <w:color w:val="646464"/>
          <w:sz w:val="24"/>
          <w:szCs w:val="24"/>
        </w:rPr>
        <w:fldChar w:fldCharType="separate"/>
      </w:r>
      <w:r>
        <w:rPr>
          <w:rFonts w:asciiTheme="majorHAnsi" w:hAnsiTheme="majorHAnsi" w:cs="Times New Roman"/>
          <w:i/>
          <w:noProof/>
          <w:color w:val="646464"/>
          <w:sz w:val="24"/>
          <w:szCs w:val="24"/>
        </w:rPr>
        <w:t>Michael J. Levine</w:t>
      </w:r>
      <w:r w:rsidRPr="001162D1">
        <w:rPr>
          <w:rFonts w:asciiTheme="majorHAnsi" w:hAnsiTheme="majorHAnsi" w:cs="Times New Roman"/>
          <w:i/>
          <w:color w:val="646464"/>
          <w:sz w:val="24"/>
          <w:szCs w:val="24"/>
        </w:rPr>
        <w:fldChar w:fldCharType="end"/>
      </w:r>
      <w:r>
        <w:rPr>
          <w:rFonts w:asciiTheme="majorHAnsi" w:hAnsiTheme="majorHAnsi" w:cs="Times New Roman"/>
          <w:i/>
          <w:color w:val="646464"/>
          <w:sz w:val="24"/>
          <w:szCs w:val="24"/>
        </w:rPr>
        <w:t>,</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November</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25</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2019</w:t>
      </w:r>
    </w:p>
    <w:p w:rsidR="005A4FD6" w:rsidRPr="0043614C" w:rsidRDefault="006A4EAD" w:rsidP="005A4FD6">
      <w:pPr>
        <w:spacing w:before="160" w:line="276" w:lineRule="auto"/>
        <w:jc w:val="center"/>
        <w:rPr>
          <w:rFonts w:asciiTheme="majorHAnsi" w:hAnsiTheme="majorHAnsi" w:cs="Times New Roman"/>
          <w:color w:val="000000" w:themeColor="text1"/>
          <w:sz w:val="4"/>
          <w:szCs w:val="24"/>
        </w:rPr>
      </w:pPr>
    </w:p>
    <w:p w:rsidR="005A4FD6" w:rsidRDefault="006A4EAD"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1F73F3" w:rsidRPr="001F73F3" w:rsidRDefault="006A4EAD" w:rsidP="001F73F3">
      <w:pPr>
        <w:spacing w:line="276" w:lineRule="auto"/>
        <w:jc w:val="both"/>
        <w:rPr>
          <w:rStyle w:val="st"/>
          <w:rFonts w:asciiTheme="majorHAnsi" w:hAnsiTheme="majorHAnsi"/>
          <w:sz w:val="24"/>
        </w:rPr>
      </w:pPr>
      <w:r w:rsidRPr="001F73F3">
        <w:rPr>
          <w:rStyle w:val="st"/>
          <w:rFonts w:asciiTheme="majorHAnsi" w:hAnsiTheme="majorHAnsi"/>
          <w:sz w:val="24"/>
        </w:rPr>
        <w:t>Stocks declined last week as mixed signals emerged about the progress of U.S.-China trade negotiations.</w:t>
      </w:r>
    </w:p>
    <w:p w:rsidR="005A4FD6" w:rsidRPr="00F90FC8" w:rsidRDefault="006A4EAD" w:rsidP="001F73F3">
      <w:pPr>
        <w:spacing w:line="276" w:lineRule="auto"/>
        <w:jc w:val="both"/>
        <w:rPr>
          <w:rStyle w:val="st"/>
          <w:rFonts w:asciiTheme="majorHAnsi" w:hAnsiTheme="majorHAnsi" w:cstheme="majorHAnsi"/>
          <w:sz w:val="8"/>
        </w:rPr>
      </w:pPr>
      <w:r w:rsidRPr="001F73F3">
        <w:rPr>
          <w:rStyle w:val="st"/>
          <w:rFonts w:asciiTheme="majorHAnsi" w:hAnsiTheme="majorHAnsi"/>
          <w:sz w:val="24"/>
        </w:rPr>
        <w:t xml:space="preserve">The three major Wall Street </w:t>
      </w:r>
      <w:r w:rsidRPr="001F73F3">
        <w:rPr>
          <w:rStyle w:val="st"/>
          <w:rFonts w:asciiTheme="majorHAnsi" w:hAnsiTheme="majorHAnsi"/>
          <w:sz w:val="24"/>
        </w:rPr>
        <w:t>benchmarks all took weekly losses. The Dow Jones Industrial Average declined 0.46%</w:t>
      </w:r>
      <w:r>
        <w:rPr>
          <w:rStyle w:val="st"/>
          <w:rFonts w:asciiTheme="majorHAnsi" w:hAnsiTheme="majorHAnsi"/>
          <w:sz w:val="24"/>
        </w:rPr>
        <w:t>;</w:t>
      </w:r>
      <w:r w:rsidRPr="001F73F3">
        <w:rPr>
          <w:rStyle w:val="st"/>
          <w:rFonts w:asciiTheme="majorHAnsi" w:hAnsiTheme="majorHAnsi"/>
          <w:sz w:val="24"/>
        </w:rPr>
        <w:t xml:space="preserve"> the S&amp;P 500</w:t>
      </w:r>
      <w:r>
        <w:rPr>
          <w:rStyle w:val="st"/>
          <w:rFonts w:asciiTheme="majorHAnsi" w:hAnsiTheme="majorHAnsi"/>
          <w:sz w:val="24"/>
        </w:rPr>
        <w:t>,</w:t>
      </w:r>
      <w:r w:rsidRPr="001F73F3">
        <w:rPr>
          <w:rStyle w:val="st"/>
          <w:rFonts w:asciiTheme="majorHAnsi" w:hAnsiTheme="majorHAnsi"/>
          <w:sz w:val="24"/>
        </w:rPr>
        <w:t xml:space="preserve"> 0.33%</w:t>
      </w:r>
      <w:r>
        <w:rPr>
          <w:rStyle w:val="st"/>
          <w:rFonts w:asciiTheme="majorHAnsi" w:hAnsiTheme="majorHAnsi"/>
          <w:sz w:val="24"/>
        </w:rPr>
        <w:t>;</w:t>
      </w:r>
      <w:r w:rsidRPr="001F73F3">
        <w:rPr>
          <w:rStyle w:val="st"/>
          <w:rFonts w:asciiTheme="majorHAnsi" w:hAnsiTheme="majorHAnsi"/>
          <w:sz w:val="24"/>
        </w:rPr>
        <w:t xml:space="preserve"> </w:t>
      </w:r>
      <w:r>
        <w:rPr>
          <w:rStyle w:val="st"/>
          <w:rFonts w:asciiTheme="majorHAnsi" w:hAnsiTheme="majorHAnsi"/>
          <w:sz w:val="24"/>
        </w:rPr>
        <w:t>t</w:t>
      </w:r>
      <w:r w:rsidRPr="001F73F3">
        <w:rPr>
          <w:rStyle w:val="st"/>
          <w:rFonts w:asciiTheme="majorHAnsi" w:hAnsiTheme="majorHAnsi"/>
          <w:sz w:val="24"/>
        </w:rPr>
        <w:t>he Nasdaq Composite</w:t>
      </w:r>
      <w:r>
        <w:rPr>
          <w:rStyle w:val="st"/>
          <w:rFonts w:asciiTheme="majorHAnsi" w:hAnsiTheme="majorHAnsi"/>
          <w:sz w:val="24"/>
        </w:rPr>
        <w:t>,</w:t>
      </w:r>
      <w:r w:rsidRPr="001F73F3">
        <w:rPr>
          <w:rStyle w:val="st"/>
          <w:rFonts w:asciiTheme="majorHAnsi" w:hAnsiTheme="majorHAnsi"/>
          <w:sz w:val="24"/>
        </w:rPr>
        <w:t xml:space="preserve"> 0.25%. Also pulling back, the MSCI EAFE index</w:t>
      </w:r>
      <w:r>
        <w:rPr>
          <w:rStyle w:val="st"/>
          <w:rFonts w:asciiTheme="majorHAnsi" w:hAnsiTheme="majorHAnsi"/>
          <w:sz w:val="24"/>
        </w:rPr>
        <w:t>,</w:t>
      </w:r>
      <w:r w:rsidRPr="001F73F3">
        <w:rPr>
          <w:rStyle w:val="st"/>
          <w:rFonts w:asciiTheme="majorHAnsi" w:hAnsiTheme="majorHAnsi"/>
          <w:sz w:val="24"/>
        </w:rPr>
        <w:t xml:space="preserve"> tracking developed stock markets outside the U.S. and Canada</w:t>
      </w:r>
      <w:r>
        <w:rPr>
          <w:rStyle w:val="st"/>
          <w:rFonts w:asciiTheme="majorHAnsi" w:hAnsiTheme="majorHAnsi"/>
          <w:sz w:val="24"/>
        </w:rPr>
        <w:t>,</w:t>
      </w:r>
      <w:r w:rsidRPr="001F73F3">
        <w:rPr>
          <w:rStyle w:val="st"/>
          <w:rFonts w:asciiTheme="majorHAnsi" w:hAnsiTheme="majorHAnsi"/>
          <w:sz w:val="24"/>
        </w:rPr>
        <w:t xml:space="preserve"> retreated 0.69%</w:t>
      </w:r>
      <w:r w:rsidRPr="00F90FC8">
        <w:rPr>
          <w:rFonts w:asciiTheme="majorHAnsi" w:hAnsiTheme="majorHAnsi" w:cstheme="majorHAnsi"/>
          <w:sz w:val="17"/>
          <w:szCs w:val="17"/>
        </w:rPr>
        <w:t>.</w:t>
      </w:r>
      <w:r w:rsidRPr="001F73F3">
        <w:rPr>
          <w:rFonts w:asciiTheme="majorHAnsi" w:hAnsiTheme="majorHAnsi" w:cstheme="majorHAnsi"/>
          <w:sz w:val="24"/>
          <w:szCs w:val="24"/>
          <w:vertAlign w:val="superscript"/>
        </w:rPr>
        <w:t>1,2</w:t>
      </w:r>
    </w:p>
    <w:p w:rsidR="00F46253" w:rsidRPr="0043614C" w:rsidRDefault="006A4EAD" w:rsidP="00F46253">
      <w:pPr>
        <w:spacing w:line="276" w:lineRule="auto"/>
        <w:jc w:val="both"/>
        <w:rPr>
          <w:rStyle w:val="st"/>
          <w:rFonts w:asciiTheme="majorHAnsi" w:hAnsiTheme="majorHAnsi"/>
          <w:sz w:val="8"/>
        </w:rPr>
      </w:pPr>
    </w:p>
    <w:p w:rsidR="005A4FD6" w:rsidRPr="00E24345" w:rsidRDefault="006A4EAD" w:rsidP="005A4FD6">
      <w:pPr>
        <w:spacing w:line="276" w:lineRule="auto"/>
        <w:jc w:val="both"/>
        <w:rPr>
          <w:rFonts w:asciiTheme="majorHAnsi" w:hAnsiTheme="majorHAnsi"/>
          <w:b/>
          <w:caps/>
          <w:color w:val="E88E0A"/>
          <w:sz w:val="28"/>
        </w:rPr>
      </w:pPr>
      <w:r w:rsidRPr="001F73F3">
        <w:rPr>
          <w:rFonts w:asciiTheme="majorHAnsi" w:hAnsiTheme="majorHAnsi"/>
          <w:b/>
          <w:caps/>
          <w:color w:val="E88E0A"/>
          <w:sz w:val="28"/>
        </w:rPr>
        <w:t>Nothing Conclusive Regarding Trade</w:t>
      </w:r>
    </w:p>
    <w:p w:rsidR="001F73F3" w:rsidRPr="001F73F3" w:rsidRDefault="006A4EAD" w:rsidP="001F73F3">
      <w:pPr>
        <w:spacing w:line="276" w:lineRule="auto"/>
        <w:jc w:val="both"/>
        <w:rPr>
          <w:rStyle w:val="st"/>
          <w:rFonts w:asciiTheme="majorHAnsi" w:hAnsiTheme="majorHAnsi"/>
          <w:sz w:val="24"/>
        </w:rPr>
      </w:pPr>
      <w:r w:rsidRPr="001F73F3">
        <w:rPr>
          <w:rStyle w:val="st"/>
          <w:rFonts w:asciiTheme="majorHAnsi" w:hAnsiTheme="majorHAnsi"/>
          <w:sz w:val="24"/>
        </w:rPr>
        <w:t xml:space="preserve">As the market week ended, there was still haziness surrounding the state of U.S.-China trade discussions. Were negotiators on the cusp of a phase-one deal or further away? </w:t>
      </w:r>
    </w:p>
    <w:p w:rsidR="005A4FD6" w:rsidRPr="00ED56E3" w:rsidRDefault="006A4EAD" w:rsidP="001F73F3">
      <w:pPr>
        <w:spacing w:line="276" w:lineRule="auto"/>
        <w:jc w:val="both"/>
        <w:rPr>
          <w:rStyle w:val="st"/>
          <w:rFonts w:asciiTheme="majorHAnsi" w:hAnsiTheme="majorHAnsi"/>
          <w:sz w:val="24"/>
          <w:vertAlign w:val="superscript"/>
        </w:rPr>
      </w:pPr>
      <w:r w:rsidRPr="001F73F3">
        <w:rPr>
          <w:rStyle w:val="st"/>
          <w:rFonts w:asciiTheme="majorHAnsi" w:hAnsiTheme="majorHAnsi"/>
          <w:sz w:val="24"/>
        </w:rPr>
        <w:t>Friday, President Trump told reporters</w:t>
      </w:r>
      <w:r>
        <w:rPr>
          <w:rStyle w:val="st"/>
          <w:rFonts w:asciiTheme="majorHAnsi" w:hAnsiTheme="majorHAnsi"/>
          <w:sz w:val="24"/>
        </w:rPr>
        <w:t xml:space="preserve"> that</w:t>
      </w:r>
      <w:r w:rsidRPr="001F73F3">
        <w:rPr>
          <w:rStyle w:val="st"/>
          <w:rFonts w:asciiTheme="majorHAnsi" w:hAnsiTheme="majorHAnsi"/>
          <w:sz w:val="24"/>
        </w:rPr>
        <w:t xml:space="preserve"> a de</w:t>
      </w:r>
      <w:r w:rsidRPr="001F73F3">
        <w:rPr>
          <w:rStyle w:val="st"/>
          <w:rFonts w:asciiTheme="majorHAnsi" w:hAnsiTheme="majorHAnsi"/>
          <w:sz w:val="24"/>
        </w:rPr>
        <w:t>al was “very close,” but Chinese President Xi Jinping said that his country could decide to “fight back” against certain terms. Last week, a bill intended to support Hong Kong protesters advanced through Congress, and that development was not taken well in</w:t>
      </w:r>
      <w:r w:rsidRPr="001F73F3">
        <w:rPr>
          <w:rStyle w:val="st"/>
          <w:rFonts w:asciiTheme="majorHAnsi" w:hAnsiTheme="majorHAnsi"/>
          <w:sz w:val="24"/>
        </w:rPr>
        <w:t xml:space="preserve"> Beijing</w:t>
      </w:r>
      <w:r w:rsidRPr="00D95DF2">
        <w:rPr>
          <w:rStyle w:val="st"/>
          <w:rFonts w:asciiTheme="majorHAnsi" w:hAnsiTheme="majorHAnsi"/>
          <w:sz w:val="24"/>
        </w:rPr>
        <w:t>.</w:t>
      </w:r>
      <w:r w:rsidRPr="001F73F3">
        <w:rPr>
          <w:rStyle w:val="st"/>
          <w:rFonts w:asciiTheme="majorHAnsi" w:hAnsiTheme="majorHAnsi"/>
          <w:sz w:val="24"/>
          <w:vertAlign w:val="superscript"/>
        </w:rPr>
        <w:t>3,4</w:t>
      </w:r>
      <w:r w:rsidRPr="00ED56E3">
        <w:rPr>
          <w:rStyle w:val="st"/>
          <w:rFonts w:asciiTheme="majorHAnsi" w:hAnsiTheme="majorHAnsi"/>
          <w:sz w:val="24"/>
        </w:rPr>
        <w:t xml:space="preserve">  </w:t>
      </w:r>
    </w:p>
    <w:p w:rsidR="005A4FD6" w:rsidRPr="0043614C" w:rsidRDefault="006A4EAD" w:rsidP="005A4FD6">
      <w:pPr>
        <w:spacing w:line="276" w:lineRule="auto"/>
        <w:jc w:val="both"/>
        <w:rPr>
          <w:rStyle w:val="st"/>
          <w:rFonts w:asciiTheme="majorHAnsi" w:hAnsiTheme="majorHAnsi"/>
          <w:sz w:val="8"/>
        </w:rPr>
      </w:pPr>
    </w:p>
    <w:p w:rsidR="005A4FD6" w:rsidRPr="00E24345" w:rsidRDefault="006A4EAD" w:rsidP="005A4FD6">
      <w:pPr>
        <w:spacing w:line="276" w:lineRule="auto"/>
        <w:jc w:val="both"/>
        <w:rPr>
          <w:rFonts w:asciiTheme="majorHAnsi" w:hAnsiTheme="majorHAnsi"/>
          <w:b/>
          <w:caps/>
          <w:color w:val="E88E0A"/>
          <w:sz w:val="28"/>
        </w:rPr>
      </w:pPr>
      <w:r w:rsidRPr="001F73F3">
        <w:rPr>
          <w:rFonts w:asciiTheme="majorHAnsi" w:hAnsiTheme="majorHAnsi"/>
          <w:b/>
          <w:caps/>
          <w:color w:val="E88E0A"/>
          <w:sz w:val="28"/>
        </w:rPr>
        <w:t>The Fed Assesses the Economy</w:t>
      </w:r>
    </w:p>
    <w:p w:rsidR="001F73F3" w:rsidRPr="001F73F3" w:rsidRDefault="006A4EAD" w:rsidP="001F73F3">
      <w:pPr>
        <w:spacing w:line="276" w:lineRule="auto"/>
        <w:jc w:val="both"/>
        <w:rPr>
          <w:rStyle w:val="st"/>
          <w:rFonts w:asciiTheme="majorHAnsi" w:hAnsiTheme="majorHAnsi"/>
          <w:sz w:val="24"/>
        </w:rPr>
      </w:pPr>
      <w:r w:rsidRPr="00B961B6">
        <w:rPr>
          <w:rStyle w:val="st"/>
          <w:rFonts w:asciiTheme="majorHAnsi" w:hAnsiTheme="majorHAnsi"/>
          <w:sz w:val="24"/>
        </w:rPr>
        <w:t>Federal Reserve officials gathered for their October meeting “generally saw the economic outlook as positive</w:t>
      </w:r>
      <w:r>
        <w:rPr>
          <w:rStyle w:val="st"/>
          <w:rFonts w:asciiTheme="majorHAnsi" w:hAnsiTheme="majorHAnsi"/>
          <w:sz w:val="24"/>
        </w:rPr>
        <w:t>,</w:t>
      </w:r>
      <w:r w:rsidRPr="00B961B6">
        <w:rPr>
          <w:rStyle w:val="st"/>
          <w:rFonts w:asciiTheme="majorHAnsi" w:hAnsiTheme="majorHAnsi"/>
          <w:sz w:val="24"/>
        </w:rPr>
        <w:t xml:space="preserve">” according to minutes from the central bank’s October monetary policy meeting released Wednesday. </w:t>
      </w:r>
      <w:r w:rsidRPr="00B961B6">
        <w:rPr>
          <w:rStyle w:val="st"/>
          <w:rFonts w:asciiTheme="majorHAnsi" w:hAnsiTheme="majorHAnsi"/>
          <w:sz w:val="24"/>
        </w:rPr>
        <w:t>Some of them termed the economy “resilient.”</w:t>
      </w:r>
    </w:p>
    <w:p w:rsidR="005A4FD6" w:rsidRPr="00ED56E3" w:rsidRDefault="006A4EAD" w:rsidP="001F73F3">
      <w:pPr>
        <w:spacing w:line="276" w:lineRule="auto"/>
        <w:jc w:val="both"/>
        <w:rPr>
          <w:rStyle w:val="st"/>
          <w:rFonts w:asciiTheme="majorHAnsi" w:hAnsiTheme="majorHAnsi"/>
          <w:sz w:val="24"/>
        </w:rPr>
      </w:pPr>
      <w:r w:rsidRPr="001F73F3">
        <w:rPr>
          <w:rStyle w:val="st"/>
          <w:rFonts w:asciiTheme="majorHAnsi" w:hAnsiTheme="majorHAnsi"/>
          <w:sz w:val="24"/>
        </w:rPr>
        <w:t xml:space="preserve">The minutes also </w:t>
      </w:r>
      <w:r>
        <w:rPr>
          <w:rStyle w:val="st"/>
          <w:rFonts w:asciiTheme="majorHAnsi" w:hAnsiTheme="majorHAnsi"/>
          <w:sz w:val="24"/>
        </w:rPr>
        <w:t>noted</w:t>
      </w:r>
      <w:r w:rsidRPr="001F73F3">
        <w:rPr>
          <w:rStyle w:val="st"/>
          <w:rFonts w:asciiTheme="majorHAnsi" w:hAnsiTheme="majorHAnsi"/>
          <w:sz w:val="24"/>
        </w:rPr>
        <w:t xml:space="preserve"> that the Fed would wait to assess the impact of its recent interest rate cuts and that any upcoming policy decisions </w:t>
      </w:r>
      <w:r>
        <w:rPr>
          <w:rStyle w:val="st"/>
          <w:rFonts w:asciiTheme="majorHAnsi" w:hAnsiTheme="majorHAnsi"/>
          <w:sz w:val="24"/>
        </w:rPr>
        <w:t>might</w:t>
      </w:r>
      <w:r w:rsidRPr="001F73F3">
        <w:rPr>
          <w:rStyle w:val="st"/>
          <w:rFonts w:asciiTheme="majorHAnsi" w:hAnsiTheme="majorHAnsi"/>
          <w:sz w:val="24"/>
        </w:rPr>
        <w:t xml:space="preserve"> be data</w:t>
      </w:r>
      <w:r>
        <w:rPr>
          <w:rStyle w:val="st"/>
          <w:rFonts w:asciiTheme="majorHAnsi" w:hAnsiTheme="majorHAnsi"/>
          <w:sz w:val="24"/>
        </w:rPr>
        <w:t xml:space="preserve"> </w:t>
      </w:r>
      <w:r w:rsidRPr="001F73F3">
        <w:rPr>
          <w:rStyle w:val="st"/>
          <w:rFonts w:asciiTheme="majorHAnsi" w:hAnsiTheme="majorHAnsi"/>
          <w:sz w:val="24"/>
        </w:rPr>
        <w:t>dependent</w:t>
      </w:r>
      <w:r w:rsidRPr="00D95DF2">
        <w:rPr>
          <w:rStyle w:val="st"/>
          <w:rFonts w:asciiTheme="majorHAnsi" w:hAnsiTheme="majorHAnsi"/>
          <w:sz w:val="24"/>
        </w:rPr>
        <w:t>.</w:t>
      </w:r>
      <w:r w:rsidRPr="006E2F1D">
        <w:rPr>
          <w:rStyle w:val="st"/>
          <w:rFonts w:asciiTheme="majorHAnsi" w:hAnsiTheme="majorHAnsi"/>
          <w:sz w:val="24"/>
          <w:vertAlign w:val="superscript"/>
        </w:rPr>
        <w:t>5</w:t>
      </w:r>
    </w:p>
    <w:p w:rsidR="005A4FD6" w:rsidRPr="0043614C" w:rsidRDefault="006A4EAD" w:rsidP="005A4FD6">
      <w:pPr>
        <w:spacing w:line="276" w:lineRule="auto"/>
        <w:jc w:val="both"/>
        <w:rPr>
          <w:rStyle w:val="st"/>
          <w:rFonts w:asciiTheme="majorHAnsi" w:hAnsiTheme="majorHAnsi"/>
          <w:sz w:val="4"/>
        </w:rPr>
      </w:pPr>
    </w:p>
    <w:p w:rsidR="005A4FD6" w:rsidRPr="00E24345" w:rsidRDefault="006A4EAD" w:rsidP="005A4FD6">
      <w:pPr>
        <w:spacing w:line="276" w:lineRule="auto"/>
        <w:jc w:val="both"/>
        <w:rPr>
          <w:rFonts w:asciiTheme="majorHAnsi" w:hAnsiTheme="majorHAnsi"/>
          <w:b/>
          <w:caps/>
          <w:color w:val="E88E0A"/>
          <w:sz w:val="28"/>
        </w:rPr>
      </w:pPr>
      <w:r w:rsidRPr="006E2F1D">
        <w:rPr>
          <w:rFonts w:asciiTheme="majorHAnsi" w:hAnsiTheme="majorHAnsi"/>
          <w:b/>
          <w:caps/>
          <w:color w:val="E88E0A"/>
          <w:sz w:val="28"/>
        </w:rPr>
        <w:t>Strength in the Housing Sector</w:t>
      </w:r>
    </w:p>
    <w:p w:rsidR="006E2F1D" w:rsidRPr="006E2F1D" w:rsidRDefault="006A4EAD" w:rsidP="006E2F1D">
      <w:pPr>
        <w:spacing w:line="276" w:lineRule="auto"/>
        <w:jc w:val="both"/>
        <w:rPr>
          <w:rStyle w:val="st"/>
          <w:rFonts w:asciiTheme="majorHAnsi" w:hAnsiTheme="majorHAnsi"/>
          <w:sz w:val="24"/>
        </w:rPr>
      </w:pPr>
      <w:r w:rsidRPr="006E2F1D">
        <w:rPr>
          <w:rStyle w:val="st"/>
          <w:rFonts w:asciiTheme="majorHAnsi" w:hAnsiTheme="majorHAnsi"/>
          <w:sz w:val="24"/>
        </w:rPr>
        <w:lastRenderedPageBreak/>
        <w:t>Existing home</w:t>
      </w:r>
      <w:r w:rsidRPr="006E2F1D">
        <w:rPr>
          <w:rStyle w:val="st"/>
          <w:rFonts w:asciiTheme="majorHAnsi" w:hAnsiTheme="majorHAnsi"/>
          <w:sz w:val="24"/>
        </w:rPr>
        <w:t xml:space="preserve"> sales improved 1.9% last month, by the estimation of the National Association of Realtors. Year-over-year, sales were up 4.6% through October, and the median sale price was $270,900, 6.2% above where it was 12 months earlier.</w:t>
      </w:r>
    </w:p>
    <w:p w:rsidR="005A4FD6" w:rsidRDefault="006A4EAD" w:rsidP="006E2F1D">
      <w:pPr>
        <w:spacing w:line="276" w:lineRule="auto"/>
        <w:jc w:val="both"/>
        <w:rPr>
          <w:rStyle w:val="st"/>
          <w:rFonts w:asciiTheme="majorHAnsi" w:hAnsiTheme="majorHAnsi"/>
          <w:sz w:val="24"/>
          <w:vertAlign w:val="superscript"/>
        </w:rPr>
      </w:pPr>
      <w:r w:rsidRPr="006E2F1D">
        <w:rPr>
          <w:rStyle w:val="st"/>
          <w:rFonts w:asciiTheme="majorHAnsi" w:hAnsiTheme="majorHAnsi"/>
          <w:sz w:val="24"/>
        </w:rPr>
        <w:t xml:space="preserve">Wednesday, the Census Bureau </w:t>
      </w:r>
      <w:r w:rsidRPr="006E2F1D">
        <w:rPr>
          <w:rStyle w:val="st"/>
          <w:rFonts w:asciiTheme="majorHAnsi" w:hAnsiTheme="majorHAnsi"/>
          <w:sz w:val="24"/>
        </w:rPr>
        <w:t>said that single-family home construction increased for a fifth straight month in October. In addition, the pace of building permits for new homes hit a level unseen since 2007.</w:t>
      </w:r>
      <w:r w:rsidRPr="006E2F1D">
        <w:rPr>
          <w:rStyle w:val="st"/>
          <w:rFonts w:asciiTheme="majorHAnsi" w:hAnsiTheme="majorHAnsi"/>
          <w:sz w:val="24"/>
          <w:vertAlign w:val="superscript"/>
        </w:rPr>
        <w:t>6,7</w:t>
      </w:r>
    </w:p>
    <w:p w:rsidR="006E2F1D" w:rsidRPr="0043614C" w:rsidRDefault="006A4EAD" w:rsidP="006E2F1D">
      <w:pPr>
        <w:spacing w:line="276" w:lineRule="auto"/>
        <w:jc w:val="both"/>
        <w:rPr>
          <w:rStyle w:val="st"/>
          <w:rFonts w:asciiTheme="majorHAnsi" w:hAnsiTheme="majorHAnsi"/>
          <w:sz w:val="4"/>
        </w:rPr>
      </w:pPr>
    </w:p>
    <w:p w:rsidR="006E2F1D" w:rsidRPr="00E24345" w:rsidRDefault="006A4EAD" w:rsidP="006E2F1D">
      <w:pPr>
        <w:spacing w:line="276" w:lineRule="auto"/>
        <w:jc w:val="both"/>
        <w:rPr>
          <w:rFonts w:asciiTheme="majorHAnsi" w:hAnsiTheme="majorHAnsi"/>
          <w:b/>
          <w:caps/>
          <w:color w:val="E88E0A"/>
          <w:sz w:val="28"/>
        </w:rPr>
      </w:pPr>
      <w:r>
        <w:rPr>
          <w:rFonts w:asciiTheme="majorHAnsi" w:hAnsiTheme="majorHAnsi"/>
          <w:b/>
          <w:caps/>
          <w:color w:val="E88E0A"/>
          <w:sz w:val="28"/>
        </w:rPr>
        <w:t>What’s Ahead</w:t>
      </w:r>
    </w:p>
    <w:p w:rsidR="006E2F1D" w:rsidRDefault="006A4EAD" w:rsidP="006E2F1D">
      <w:pPr>
        <w:spacing w:line="276" w:lineRule="auto"/>
        <w:jc w:val="both"/>
        <w:rPr>
          <w:rStyle w:val="st"/>
          <w:rFonts w:asciiTheme="majorHAnsi" w:hAnsiTheme="majorHAnsi"/>
          <w:sz w:val="24"/>
          <w:vertAlign w:val="superscript"/>
        </w:rPr>
      </w:pPr>
      <w:r w:rsidRPr="006E2F1D">
        <w:rPr>
          <w:rStyle w:val="st"/>
          <w:rFonts w:asciiTheme="majorHAnsi" w:hAnsiTheme="majorHAnsi"/>
          <w:sz w:val="24"/>
        </w:rPr>
        <w:t>This will be an abbreviated trading week on Wall Street. U.S.</w:t>
      </w:r>
      <w:r w:rsidRPr="006E2F1D">
        <w:rPr>
          <w:rStyle w:val="st"/>
          <w:rFonts w:asciiTheme="majorHAnsi" w:hAnsiTheme="majorHAnsi"/>
          <w:sz w:val="24"/>
        </w:rPr>
        <w:t xml:space="preserve"> stock and bond markets are closed on Thanksgiving Day (Thursday) and then reopen for a half-day session on Friday</w:t>
      </w:r>
      <w:r w:rsidRPr="00EC38D4">
        <w:rPr>
          <w:rStyle w:val="st"/>
          <w:rFonts w:asciiTheme="majorHAnsi" w:hAnsiTheme="majorHAnsi"/>
          <w:sz w:val="24"/>
        </w:rPr>
        <w:t>.</w:t>
      </w:r>
    </w:p>
    <w:p w:rsidR="005A4FD6" w:rsidRDefault="006A4EA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6A4EAD" w:rsidP="005A4FD6">
      <w:pPr>
        <w:spacing w:line="276" w:lineRule="auto"/>
        <w:jc w:val="center"/>
        <w:rPr>
          <w:rStyle w:val="st"/>
          <w:rFonts w:asciiTheme="majorHAnsi" w:hAnsiTheme="majorHAnsi"/>
          <w:color w:val="E88E0A"/>
          <w:sz w:val="4"/>
        </w:rPr>
      </w:pPr>
    </w:p>
    <w:p w:rsidR="005A4FD6" w:rsidRPr="0043614C" w:rsidRDefault="006A4EAD"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5A4FD6" w:rsidRDefault="006A4EAD"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5A4FD6" w:rsidRPr="00EA0505" w:rsidRDefault="006A4EAD" w:rsidP="005A4FD6">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Looking to </w:t>
      </w:r>
      <w:r w:rsidRPr="006E2F1D">
        <w:rPr>
          <w:rStyle w:val="st"/>
          <w:rFonts w:asciiTheme="majorHAnsi" w:hAnsiTheme="majorHAnsi"/>
          <w:b/>
          <w:bCs/>
          <w:i/>
          <w:sz w:val="28"/>
        </w:rPr>
        <w:t>save a little money</w:t>
      </w:r>
      <w:r>
        <w:rPr>
          <w:rStyle w:val="st"/>
          <w:rFonts w:asciiTheme="majorHAnsi" w:hAnsiTheme="majorHAnsi"/>
          <w:i/>
          <w:sz w:val="28"/>
        </w:rPr>
        <w:t xml:space="preserve"> while </w:t>
      </w:r>
      <w:r w:rsidRPr="006E2F1D">
        <w:rPr>
          <w:rStyle w:val="st"/>
          <w:rFonts w:asciiTheme="majorHAnsi" w:hAnsiTheme="majorHAnsi"/>
          <w:b/>
          <w:bCs/>
          <w:i/>
          <w:sz w:val="28"/>
        </w:rPr>
        <w:t>traveling</w:t>
      </w:r>
      <w:r>
        <w:rPr>
          <w:rStyle w:val="st"/>
          <w:rFonts w:asciiTheme="majorHAnsi" w:hAnsiTheme="majorHAnsi"/>
          <w:i/>
          <w:sz w:val="28"/>
        </w:rPr>
        <w:t xml:space="preserve"> during the holiday season? </w:t>
      </w:r>
      <w:r>
        <w:rPr>
          <w:rStyle w:val="st"/>
          <w:rFonts w:asciiTheme="majorHAnsi" w:hAnsiTheme="majorHAnsi"/>
          <w:i/>
          <w:sz w:val="28"/>
        </w:rPr>
        <w:t>See if you can t</w:t>
      </w:r>
      <w:r>
        <w:rPr>
          <w:rStyle w:val="st"/>
          <w:rFonts w:asciiTheme="majorHAnsi" w:hAnsiTheme="majorHAnsi"/>
          <w:i/>
          <w:sz w:val="28"/>
        </w:rPr>
        <w:t xml:space="preserve">ake </w:t>
      </w:r>
      <w:r w:rsidRPr="006E2F1D">
        <w:rPr>
          <w:rStyle w:val="st"/>
          <w:rFonts w:asciiTheme="majorHAnsi" w:hAnsiTheme="majorHAnsi"/>
          <w:i/>
          <w:sz w:val="28"/>
        </w:rPr>
        <w:t xml:space="preserve">just a </w:t>
      </w:r>
      <w:r w:rsidRPr="006E2F1D">
        <w:rPr>
          <w:rStyle w:val="st"/>
          <w:rFonts w:asciiTheme="majorHAnsi" w:hAnsiTheme="majorHAnsi"/>
          <w:b/>
          <w:bCs/>
          <w:i/>
          <w:sz w:val="28"/>
        </w:rPr>
        <w:t>carry-on</w:t>
      </w:r>
      <w:r w:rsidRPr="006E2F1D">
        <w:rPr>
          <w:rStyle w:val="st"/>
          <w:rFonts w:asciiTheme="majorHAnsi" w:hAnsiTheme="majorHAnsi"/>
          <w:i/>
          <w:sz w:val="28"/>
        </w:rPr>
        <w:t xml:space="preserve"> or </w:t>
      </w:r>
      <w:r w:rsidRPr="006E2F1D">
        <w:rPr>
          <w:rStyle w:val="st"/>
          <w:rFonts w:asciiTheme="majorHAnsi" w:hAnsiTheme="majorHAnsi"/>
          <w:b/>
          <w:bCs/>
          <w:i/>
          <w:sz w:val="28"/>
        </w:rPr>
        <w:t>one checked bag</w:t>
      </w:r>
      <w:r>
        <w:rPr>
          <w:rStyle w:val="st"/>
          <w:rFonts w:asciiTheme="majorHAnsi" w:hAnsiTheme="majorHAnsi"/>
          <w:i/>
          <w:sz w:val="28"/>
        </w:rPr>
        <w:t xml:space="preserve"> to cut down on baggage fees.</w:t>
      </w:r>
    </w:p>
    <w:p w:rsidR="005A4FD6" w:rsidRPr="0043614C" w:rsidRDefault="006A4EAD" w:rsidP="005A4FD6">
      <w:pPr>
        <w:spacing w:line="276" w:lineRule="auto"/>
        <w:jc w:val="center"/>
        <w:rPr>
          <w:rStyle w:val="st"/>
          <w:rFonts w:asciiTheme="majorHAnsi" w:hAnsiTheme="majorHAnsi"/>
          <w:i/>
          <w:color w:val="E88E0A"/>
          <w:sz w:val="4"/>
        </w:rPr>
      </w:pPr>
    </w:p>
    <w:p w:rsidR="005A4FD6" w:rsidRDefault="006A4EA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6A4EAD" w:rsidP="005A4FD6">
      <w:pPr>
        <w:spacing w:line="276" w:lineRule="auto"/>
        <w:rPr>
          <w:rFonts w:asciiTheme="majorHAnsi" w:hAnsiTheme="majorHAnsi"/>
          <w:b/>
          <w:color w:val="E88E0A"/>
          <w:spacing w:val="-2"/>
          <w:sz w:val="6"/>
        </w:rPr>
      </w:pPr>
    </w:p>
    <w:p w:rsidR="005A4FD6" w:rsidRDefault="006A4EAD"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E11B0C" w:rsidRPr="00E11B0C" w:rsidRDefault="006A4EAD" w:rsidP="00E11B0C">
      <w:pPr>
        <w:spacing w:line="240" w:lineRule="auto"/>
        <w:rPr>
          <w:rFonts w:asciiTheme="majorHAnsi" w:hAnsiTheme="majorHAnsi"/>
          <w:b/>
          <w:color w:val="000000" w:themeColor="text1"/>
          <w:spacing w:val="-2"/>
          <w:sz w:val="24"/>
        </w:rPr>
      </w:pPr>
      <w:bookmarkStart w:id="0" w:name="_Hlk3729023"/>
      <w:r w:rsidRPr="00E11B0C">
        <w:rPr>
          <w:rFonts w:asciiTheme="majorHAnsi" w:hAnsiTheme="majorHAnsi"/>
          <w:b/>
          <w:color w:val="000000" w:themeColor="text1"/>
          <w:spacing w:val="-2"/>
          <w:sz w:val="24"/>
        </w:rPr>
        <w:t xml:space="preserve">Tuesday: </w:t>
      </w:r>
      <w:r w:rsidRPr="00E11B0C">
        <w:rPr>
          <w:rFonts w:asciiTheme="majorHAnsi" w:hAnsiTheme="majorHAnsi"/>
          <w:bCs/>
          <w:color w:val="000000" w:themeColor="text1"/>
          <w:spacing w:val="-2"/>
          <w:sz w:val="24"/>
        </w:rPr>
        <w:t xml:space="preserve">The Census Bureau issues its latest new home sales snapshot, and the Conference Board releases its November </w:t>
      </w:r>
      <w:r>
        <w:rPr>
          <w:rFonts w:asciiTheme="majorHAnsi" w:hAnsiTheme="majorHAnsi"/>
          <w:bCs/>
          <w:color w:val="000000" w:themeColor="text1"/>
          <w:spacing w:val="-2"/>
          <w:sz w:val="24"/>
        </w:rPr>
        <w:t>C</w:t>
      </w:r>
      <w:r w:rsidRPr="00E11B0C">
        <w:rPr>
          <w:rFonts w:asciiTheme="majorHAnsi" w:hAnsiTheme="majorHAnsi"/>
          <w:bCs/>
          <w:color w:val="000000" w:themeColor="text1"/>
          <w:spacing w:val="-2"/>
          <w:sz w:val="24"/>
        </w:rPr>
        <w:t xml:space="preserve">onsumer </w:t>
      </w:r>
      <w:r>
        <w:rPr>
          <w:rFonts w:asciiTheme="majorHAnsi" w:hAnsiTheme="majorHAnsi"/>
          <w:bCs/>
          <w:color w:val="000000" w:themeColor="text1"/>
          <w:spacing w:val="-2"/>
          <w:sz w:val="24"/>
        </w:rPr>
        <w:t>C</w:t>
      </w:r>
      <w:r w:rsidRPr="00E11B0C">
        <w:rPr>
          <w:rFonts w:asciiTheme="majorHAnsi" w:hAnsiTheme="majorHAnsi"/>
          <w:bCs/>
          <w:color w:val="000000" w:themeColor="text1"/>
          <w:spacing w:val="-2"/>
          <w:sz w:val="24"/>
        </w:rPr>
        <w:t xml:space="preserve">onfidence </w:t>
      </w:r>
      <w:r>
        <w:rPr>
          <w:rFonts w:asciiTheme="majorHAnsi" w:hAnsiTheme="majorHAnsi"/>
          <w:bCs/>
          <w:color w:val="000000" w:themeColor="text1"/>
          <w:spacing w:val="-2"/>
          <w:sz w:val="24"/>
        </w:rPr>
        <w:t>I</w:t>
      </w:r>
      <w:r w:rsidRPr="00E11B0C">
        <w:rPr>
          <w:rFonts w:asciiTheme="majorHAnsi" w:hAnsiTheme="majorHAnsi"/>
          <w:bCs/>
          <w:color w:val="000000" w:themeColor="text1"/>
          <w:spacing w:val="-2"/>
          <w:sz w:val="24"/>
        </w:rPr>
        <w:t>ndex.</w:t>
      </w:r>
    </w:p>
    <w:p w:rsidR="005A4FD6" w:rsidRPr="00C0649C" w:rsidRDefault="006A4EAD" w:rsidP="00E11B0C">
      <w:pPr>
        <w:spacing w:line="240" w:lineRule="auto"/>
        <w:rPr>
          <w:rFonts w:asciiTheme="majorHAnsi" w:eastAsia="Times New Roman" w:hAnsiTheme="majorHAnsi"/>
          <w:color w:val="000000" w:themeColor="text1"/>
          <w:spacing w:val="-2"/>
          <w:sz w:val="24"/>
          <w:szCs w:val="20"/>
        </w:rPr>
      </w:pPr>
      <w:r w:rsidRPr="00E11B0C">
        <w:rPr>
          <w:rFonts w:asciiTheme="majorHAnsi" w:hAnsiTheme="majorHAnsi"/>
          <w:b/>
          <w:color w:val="000000" w:themeColor="text1"/>
          <w:spacing w:val="-2"/>
          <w:sz w:val="24"/>
        </w:rPr>
        <w:t xml:space="preserve">Wednesday: </w:t>
      </w:r>
      <w:r w:rsidRPr="00E11B0C">
        <w:rPr>
          <w:rFonts w:asciiTheme="majorHAnsi" w:hAnsiTheme="majorHAnsi"/>
          <w:bCs/>
          <w:color w:val="000000" w:themeColor="text1"/>
          <w:spacing w:val="-2"/>
          <w:sz w:val="24"/>
        </w:rPr>
        <w:t>October consumer spending numbers appear from the Department of Commerce, and the Bureau of Economic Analysis publishes a new estimate of third-quarter economic expansion.</w:t>
      </w:r>
    </w:p>
    <w:bookmarkEnd w:id="0"/>
    <w:p w:rsidR="005A4FD6" w:rsidRPr="000525F2" w:rsidRDefault="006A4EAD"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w:t>
      </w:r>
      <w:r>
        <w:rPr>
          <w:rFonts w:eastAsia="Times New Roman"/>
          <w:color w:val="000000"/>
          <w:sz w:val="18"/>
          <w:szCs w:val="20"/>
        </w:rPr>
        <w:t>November 22, 2019</w:t>
      </w:r>
    </w:p>
    <w:p w:rsidR="005A4FD6" w:rsidRPr="0043614C" w:rsidRDefault="006A4EAD" w:rsidP="005A4FD6">
      <w:pPr>
        <w:spacing w:line="240" w:lineRule="auto"/>
        <w:jc w:val="both"/>
        <w:rPr>
          <w:rFonts w:asciiTheme="majorHAnsi" w:hAnsiTheme="majorHAnsi"/>
          <w:color w:val="000000" w:themeColor="text1"/>
          <w:spacing w:val="-2"/>
          <w:sz w:val="24"/>
        </w:rPr>
      </w:pPr>
      <w:r w:rsidRPr="00BF0E6C">
        <w:rPr>
          <w:rFonts w:eastAsia="Times New Roman"/>
          <w:color w:val="000000"/>
          <w:sz w:val="18"/>
          <w:szCs w:val="20"/>
        </w:rPr>
        <w:t>The Econoday economic calendar lists upcoming U.</w:t>
      </w:r>
      <w:r w:rsidRPr="00BF0E6C">
        <w:rPr>
          <w:rFonts w:eastAsia="Times New Roman"/>
          <w:color w:val="000000"/>
          <w:sz w:val="18"/>
          <w:szCs w:val="20"/>
        </w:rPr>
        <w:t>S. economic data releases (including key economic indicators), Federal Reserve policy meetings, and speaking engagements of Federal Reserve officials. The content is developed from sources believed to be providing accurate information. The forecasts or for</w:t>
      </w:r>
      <w:r w:rsidRPr="00BF0E6C">
        <w:rPr>
          <w:rFonts w:eastAsia="Times New Roman"/>
          <w:color w:val="000000"/>
          <w:sz w:val="18"/>
          <w:szCs w:val="20"/>
        </w:rPr>
        <w:t>ward-looking statements are based on assumptions and may not materialize. The forecasts also are subject to revision</w:t>
      </w:r>
      <w:r w:rsidRPr="000525F2">
        <w:rPr>
          <w:rFonts w:eastAsia="Times New Roman"/>
          <w:color w:val="000000"/>
          <w:sz w:val="18"/>
          <w:szCs w:val="20"/>
        </w:rPr>
        <w:t>.</w:t>
      </w:r>
    </w:p>
    <w:p w:rsidR="005A4FD6" w:rsidRPr="0043614C" w:rsidRDefault="006A4EAD" w:rsidP="005A4FD6">
      <w:pPr>
        <w:spacing w:line="276" w:lineRule="auto"/>
        <w:rPr>
          <w:rFonts w:asciiTheme="majorHAnsi" w:hAnsiTheme="majorHAnsi"/>
          <w:color w:val="808080"/>
          <w:spacing w:val="-2"/>
          <w:sz w:val="4"/>
        </w:rPr>
      </w:pPr>
    </w:p>
    <w:p w:rsidR="005A4FD6" w:rsidRDefault="006A4EAD"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FC02D6" w:rsidRPr="00FC02D6" w:rsidRDefault="006A4EAD" w:rsidP="00FC02D6">
      <w:pPr>
        <w:spacing w:line="240" w:lineRule="auto"/>
        <w:rPr>
          <w:rFonts w:asciiTheme="majorHAnsi" w:hAnsiTheme="majorHAnsi"/>
          <w:b/>
          <w:color w:val="000000" w:themeColor="text1"/>
          <w:spacing w:val="-2"/>
          <w:sz w:val="24"/>
        </w:rPr>
      </w:pPr>
      <w:r w:rsidRPr="00FC02D6">
        <w:rPr>
          <w:rFonts w:asciiTheme="majorHAnsi" w:hAnsiTheme="majorHAnsi"/>
          <w:b/>
          <w:color w:val="000000" w:themeColor="text1"/>
          <w:spacing w:val="-2"/>
          <w:sz w:val="24"/>
        </w:rPr>
        <w:lastRenderedPageBreak/>
        <w:t xml:space="preserve">Monday: </w:t>
      </w:r>
      <w:r w:rsidRPr="00FC02D6">
        <w:rPr>
          <w:rFonts w:asciiTheme="majorHAnsi" w:hAnsiTheme="majorHAnsi"/>
          <w:bCs/>
          <w:color w:val="000000" w:themeColor="text1"/>
          <w:spacing w:val="-2"/>
          <w:sz w:val="24"/>
        </w:rPr>
        <w:t>Agilent (A), Hewlett-Packard (HPE), Palo Alto Networks (PANW)</w:t>
      </w:r>
    </w:p>
    <w:p w:rsidR="00FC02D6" w:rsidRPr="00FC02D6" w:rsidRDefault="006A4EAD" w:rsidP="00FC02D6">
      <w:pPr>
        <w:spacing w:line="240" w:lineRule="auto"/>
        <w:rPr>
          <w:rFonts w:asciiTheme="majorHAnsi" w:hAnsiTheme="majorHAnsi"/>
          <w:b/>
          <w:color w:val="000000" w:themeColor="text1"/>
          <w:spacing w:val="-2"/>
          <w:sz w:val="24"/>
        </w:rPr>
      </w:pPr>
      <w:r w:rsidRPr="00FC02D6">
        <w:rPr>
          <w:rFonts w:asciiTheme="majorHAnsi" w:hAnsiTheme="majorHAnsi"/>
          <w:b/>
          <w:color w:val="000000" w:themeColor="text1"/>
          <w:spacing w:val="-2"/>
          <w:sz w:val="24"/>
        </w:rPr>
        <w:t xml:space="preserve">Tuesday: </w:t>
      </w:r>
      <w:r w:rsidRPr="00FC02D6">
        <w:rPr>
          <w:rFonts w:asciiTheme="majorHAnsi" w:hAnsiTheme="majorHAnsi"/>
          <w:bCs/>
          <w:color w:val="000000" w:themeColor="text1"/>
          <w:spacing w:val="-2"/>
          <w:sz w:val="24"/>
        </w:rPr>
        <w:t xml:space="preserve">Analog </w:t>
      </w:r>
      <w:r w:rsidRPr="00FC02D6">
        <w:rPr>
          <w:rFonts w:asciiTheme="majorHAnsi" w:hAnsiTheme="majorHAnsi"/>
          <w:bCs/>
          <w:color w:val="000000" w:themeColor="text1"/>
          <w:spacing w:val="-2"/>
          <w:sz w:val="24"/>
        </w:rPr>
        <w:t>Devices (ADI), Dell Technologies (DELL), Vmware (VMW)</w:t>
      </w:r>
    </w:p>
    <w:p w:rsidR="00534997" w:rsidRPr="00C0649C" w:rsidRDefault="006A4EAD" w:rsidP="00FC02D6">
      <w:pPr>
        <w:spacing w:line="240" w:lineRule="auto"/>
        <w:rPr>
          <w:rFonts w:asciiTheme="majorHAnsi" w:eastAsia="Times New Roman" w:hAnsiTheme="majorHAnsi"/>
          <w:color w:val="000000" w:themeColor="text1"/>
          <w:spacing w:val="-2"/>
          <w:sz w:val="24"/>
          <w:szCs w:val="20"/>
        </w:rPr>
      </w:pPr>
      <w:r w:rsidRPr="00FC02D6">
        <w:rPr>
          <w:rFonts w:asciiTheme="majorHAnsi" w:hAnsiTheme="majorHAnsi"/>
          <w:b/>
          <w:color w:val="000000" w:themeColor="text1"/>
          <w:spacing w:val="-2"/>
          <w:sz w:val="24"/>
        </w:rPr>
        <w:t xml:space="preserve">Wednesday: </w:t>
      </w:r>
      <w:r w:rsidRPr="00FC02D6">
        <w:rPr>
          <w:rFonts w:asciiTheme="majorHAnsi" w:hAnsiTheme="majorHAnsi"/>
          <w:bCs/>
          <w:color w:val="000000" w:themeColor="text1"/>
          <w:spacing w:val="-2"/>
          <w:sz w:val="24"/>
        </w:rPr>
        <w:t>Deere &amp; Co. (DE)</w:t>
      </w:r>
    </w:p>
    <w:p w:rsidR="005A4FD6" w:rsidRPr="000525F2" w:rsidRDefault="006A4EAD"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.com, </w:t>
      </w:r>
      <w:r>
        <w:rPr>
          <w:rFonts w:eastAsia="Times New Roman"/>
          <w:color w:val="000000"/>
          <w:sz w:val="18"/>
          <w:szCs w:val="20"/>
        </w:rPr>
        <w:t>November 22, 2019</w:t>
      </w:r>
    </w:p>
    <w:p w:rsidR="005A4FD6" w:rsidRPr="000525F2" w:rsidRDefault="006A4EAD"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Companies mentioned are for informational purposes only. It should not be considered a solicitation for the purchase or sale of the </w:t>
      </w:r>
      <w:r w:rsidRPr="000525F2">
        <w:rPr>
          <w:rFonts w:eastAsia="Times New Roman"/>
          <w:color w:val="000000"/>
          <w:sz w:val="18"/>
          <w:szCs w:val="20"/>
        </w:rPr>
        <w:t>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investments will fluctuate as market conditions change. When sold, investments may be worth more or less than their orig</w:t>
      </w:r>
      <w:r w:rsidRPr="000525F2">
        <w:rPr>
          <w:rFonts w:eastAsia="Times New Roman"/>
          <w:color w:val="000000"/>
          <w:sz w:val="18"/>
          <w:szCs w:val="20"/>
        </w:rPr>
        <w:t>inal cost. Companies may reschedule when they report earnings without notic</w:t>
      </w:r>
      <w:r>
        <w:rPr>
          <w:rFonts w:eastAsia="Times New Roman"/>
          <w:color w:val="000000"/>
          <w:sz w:val="18"/>
          <w:szCs w:val="20"/>
        </w:rPr>
        <w:t>e.</w:t>
      </w:r>
    </w:p>
    <w:p w:rsidR="005A4FD6" w:rsidRPr="0043614C" w:rsidRDefault="006A4EAD" w:rsidP="005A4FD6">
      <w:pPr>
        <w:spacing w:line="276" w:lineRule="auto"/>
        <w:rPr>
          <w:rFonts w:asciiTheme="majorHAnsi" w:hAnsiTheme="majorHAnsi"/>
          <w:color w:val="808080"/>
          <w:spacing w:val="-2"/>
          <w:sz w:val="4"/>
        </w:rPr>
      </w:pPr>
    </w:p>
    <w:p w:rsidR="005A4FD6" w:rsidRDefault="006A4EA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6A4EAD" w:rsidP="005A4FD6">
      <w:pPr>
        <w:spacing w:line="276" w:lineRule="auto"/>
        <w:jc w:val="center"/>
        <w:rPr>
          <w:rStyle w:val="st"/>
          <w:rFonts w:asciiTheme="majorHAnsi" w:hAnsiTheme="majorHAnsi"/>
          <w:color w:val="E88E0A"/>
          <w:sz w:val="4"/>
        </w:rPr>
      </w:pPr>
    </w:p>
    <w:p w:rsidR="005A4FD6" w:rsidRPr="00B2579B" w:rsidRDefault="006A4EAD"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5A4FD6" w:rsidRPr="0043614C" w:rsidRDefault="006A4EAD" w:rsidP="005A4FD6">
      <w:pPr>
        <w:spacing w:line="276" w:lineRule="auto"/>
        <w:jc w:val="center"/>
        <w:rPr>
          <w:rStyle w:val="st"/>
          <w:rFonts w:asciiTheme="majorHAnsi" w:hAnsiTheme="majorHAnsi"/>
          <w:sz w:val="4"/>
        </w:rPr>
      </w:pPr>
    </w:p>
    <w:p w:rsidR="005A4FD6" w:rsidRDefault="006A4EAD"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5A4FD6" w:rsidRPr="00234A75" w:rsidRDefault="006A4EAD"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F17E56">
        <w:rPr>
          <w:rStyle w:val="st"/>
          <w:rFonts w:asciiTheme="majorHAnsi" w:hAnsiTheme="majorHAnsi"/>
          <w:i/>
          <w:sz w:val="36"/>
        </w:rPr>
        <w:t xml:space="preserve">The </w:t>
      </w:r>
      <w:r w:rsidRPr="00F17E56">
        <w:rPr>
          <w:rStyle w:val="st"/>
          <w:rFonts w:asciiTheme="majorHAnsi" w:hAnsiTheme="majorHAnsi"/>
          <w:b/>
          <w:bCs/>
          <w:i/>
          <w:sz w:val="36"/>
        </w:rPr>
        <w:t>bravest thing</w:t>
      </w:r>
      <w:r w:rsidRPr="00F17E56">
        <w:rPr>
          <w:rStyle w:val="st"/>
          <w:rFonts w:asciiTheme="majorHAnsi" w:hAnsiTheme="majorHAnsi"/>
          <w:i/>
          <w:sz w:val="36"/>
        </w:rPr>
        <w:t xml:space="preserve"> you can do when you are not brave is to profess </w:t>
      </w:r>
      <w:r w:rsidRPr="00F17E56">
        <w:rPr>
          <w:rStyle w:val="st"/>
          <w:rFonts w:asciiTheme="majorHAnsi" w:hAnsiTheme="majorHAnsi"/>
          <w:b/>
          <w:bCs/>
          <w:i/>
          <w:sz w:val="36"/>
        </w:rPr>
        <w:t>courage</w:t>
      </w:r>
      <w:r w:rsidRPr="00F17E56">
        <w:rPr>
          <w:rStyle w:val="st"/>
          <w:rFonts w:asciiTheme="majorHAnsi" w:hAnsiTheme="majorHAnsi"/>
          <w:i/>
          <w:sz w:val="36"/>
        </w:rPr>
        <w:t xml:space="preserve"> and </w:t>
      </w:r>
      <w:r w:rsidRPr="00F17E56">
        <w:rPr>
          <w:rStyle w:val="st"/>
          <w:rFonts w:asciiTheme="majorHAnsi" w:hAnsiTheme="majorHAnsi"/>
          <w:b/>
          <w:bCs/>
          <w:i/>
          <w:sz w:val="36"/>
        </w:rPr>
        <w:t>act accordingly</w:t>
      </w:r>
      <w:r w:rsidRPr="004F6F29">
        <w:rPr>
          <w:rStyle w:val="st"/>
          <w:rFonts w:asciiTheme="majorHAnsi" w:hAnsiTheme="majorHAnsi"/>
          <w:i/>
          <w:sz w:val="36"/>
        </w:rPr>
        <w:t>.</w:t>
      </w:r>
      <w:r w:rsidRPr="00234A75">
        <w:rPr>
          <w:rStyle w:val="st"/>
          <w:rFonts w:asciiTheme="majorHAnsi" w:hAnsiTheme="majorHAnsi"/>
          <w:i/>
          <w:sz w:val="36"/>
        </w:rPr>
        <w:t>”</w:t>
      </w:r>
    </w:p>
    <w:p w:rsidR="005A4FD6" w:rsidRPr="00552AA9" w:rsidRDefault="006A4EAD" w:rsidP="005A4FD6">
      <w:pPr>
        <w:spacing w:line="276" w:lineRule="auto"/>
        <w:jc w:val="center"/>
        <w:rPr>
          <w:rStyle w:val="st"/>
          <w:rFonts w:asciiTheme="majorHAnsi" w:hAnsiTheme="majorHAnsi"/>
          <w:sz w:val="24"/>
        </w:rPr>
      </w:pPr>
      <w:r>
        <w:rPr>
          <w:rStyle w:val="st"/>
          <w:rFonts w:asciiTheme="majorHAnsi" w:hAnsiTheme="majorHAnsi"/>
          <w:i/>
          <w:color w:val="E88E0A"/>
        </w:rPr>
        <w:t>CORA HARRIS</w:t>
      </w:r>
    </w:p>
    <w:p w:rsidR="005A4FD6" w:rsidRPr="0043614C" w:rsidRDefault="006A4EAD" w:rsidP="005A4FD6">
      <w:pPr>
        <w:spacing w:line="276" w:lineRule="auto"/>
        <w:jc w:val="center"/>
        <w:rPr>
          <w:rStyle w:val="st"/>
          <w:rFonts w:asciiTheme="majorHAnsi" w:hAnsiTheme="majorHAnsi"/>
          <w:i/>
          <w:color w:val="E88E0A"/>
          <w:sz w:val="4"/>
        </w:rPr>
      </w:pPr>
    </w:p>
    <w:p w:rsidR="005A4FD6" w:rsidRDefault="006A4EA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6A4EAD" w:rsidP="005A4FD6">
      <w:pPr>
        <w:spacing w:line="276" w:lineRule="auto"/>
        <w:rPr>
          <w:rStyle w:val="st"/>
          <w:rFonts w:asciiTheme="majorHAnsi" w:hAnsiTheme="majorHAnsi"/>
          <w:sz w:val="4"/>
        </w:rPr>
      </w:pPr>
    </w:p>
    <w:p w:rsidR="005A4FD6" w:rsidRPr="001162D1" w:rsidRDefault="006A4EAD"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5A4FD6" w:rsidRDefault="006A4EAD"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6A4EAD" w:rsidP="005A4FD6">
      <w:pPr>
        <w:spacing w:line="276" w:lineRule="auto"/>
        <w:jc w:val="center"/>
        <w:rPr>
          <w:rStyle w:val="st"/>
          <w:rFonts w:asciiTheme="majorHAnsi" w:hAnsiTheme="majorHAnsi"/>
          <w:color w:val="E88E0A"/>
          <w:sz w:val="4"/>
        </w:rPr>
      </w:pPr>
    </w:p>
    <w:p w:rsidR="005A4FD6" w:rsidRPr="00B2579B" w:rsidRDefault="006A4EAD"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w:t>
      </w:r>
      <w:r>
        <w:rPr>
          <w:rStyle w:val="st"/>
          <w:rFonts w:asciiTheme="majorHAnsi" w:hAnsiTheme="majorHAnsi"/>
          <w:color w:val="E88E0A"/>
        </w:rPr>
        <w:t xml:space="preserve">   R I D D L E</w:t>
      </w:r>
    </w:p>
    <w:p w:rsidR="005A4FD6" w:rsidRPr="0043614C" w:rsidRDefault="006A4EAD" w:rsidP="005A4FD6">
      <w:pPr>
        <w:spacing w:line="276" w:lineRule="auto"/>
        <w:jc w:val="center"/>
        <w:rPr>
          <w:rStyle w:val="st"/>
          <w:rFonts w:asciiTheme="majorHAnsi" w:hAnsiTheme="majorHAnsi"/>
          <w:sz w:val="4"/>
        </w:rPr>
      </w:pPr>
    </w:p>
    <w:p w:rsidR="005A4FD6" w:rsidRDefault="006A4EAD"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5A4FD6" w:rsidRPr="00EA0505" w:rsidRDefault="006A4EAD" w:rsidP="005A4FD6">
      <w:pPr>
        <w:spacing w:line="276" w:lineRule="auto"/>
        <w:jc w:val="center"/>
        <w:rPr>
          <w:rStyle w:val="st"/>
          <w:rFonts w:asciiTheme="majorHAnsi" w:hAnsiTheme="majorHAnsi"/>
          <w:b/>
          <w:i/>
          <w:sz w:val="36"/>
        </w:rPr>
      </w:pPr>
      <w:r w:rsidRPr="00D8181B">
        <w:rPr>
          <w:rStyle w:val="st"/>
          <w:rFonts w:asciiTheme="majorHAnsi" w:hAnsiTheme="majorHAnsi"/>
          <w:i/>
          <w:sz w:val="36"/>
        </w:rPr>
        <w:t xml:space="preserve">Two children are born in the same </w:t>
      </w:r>
      <w:r w:rsidRPr="00D8181B">
        <w:rPr>
          <w:rStyle w:val="st"/>
          <w:rFonts w:asciiTheme="majorHAnsi" w:hAnsiTheme="majorHAnsi"/>
          <w:b/>
          <w:bCs/>
          <w:i/>
          <w:sz w:val="36"/>
        </w:rPr>
        <w:t>hospital</w:t>
      </w:r>
      <w:r w:rsidRPr="00D8181B">
        <w:rPr>
          <w:rStyle w:val="st"/>
          <w:rFonts w:asciiTheme="majorHAnsi" w:hAnsiTheme="majorHAnsi"/>
          <w:i/>
          <w:sz w:val="36"/>
        </w:rPr>
        <w:t xml:space="preserve">, on the same </w:t>
      </w:r>
      <w:r w:rsidRPr="00D8181B">
        <w:rPr>
          <w:rStyle w:val="st"/>
          <w:rFonts w:asciiTheme="majorHAnsi" w:hAnsiTheme="majorHAnsi"/>
          <w:b/>
          <w:bCs/>
          <w:i/>
          <w:sz w:val="36"/>
        </w:rPr>
        <w:t>year</w:t>
      </w:r>
      <w:r w:rsidRPr="00D8181B">
        <w:rPr>
          <w:rStyle w:val="st"/>
          <w:rFonts w:asciiTheme="majorHAnsi" w:hAnsiTheme="majorHAnsi"/>
          <w:i/>
          <w:sz w:val="36"/>
        </w:rPr>
        <w:t xml:space="preserve">, on the same </w:t>
      </w:r>
      <w:r w:rsidRPr="00D8181B">
        <w:rPr>
          <w:rStyle w:val="st"/>
          <w:rFonts w:asciiTheme="majorHAnsi" w:hAnsiTheme="majorHAnsi"/>
          <w:b/>
          <w:bCs/>
          <w:i/>
          <w:sz w:val="36"/>
        </w:rPr>
        <w:t>day</w:t>
      </w:r>
      <w:r w:rsidRPr="00D8181B">
        <w:rPr>
          <w:rStyle w:val="st"/>
          <w:rFonts w:asciiTheme="majorHAnsi" w:hAnsiTheme="majorHAnsi"/>
          <w:i/>
          <w:sz w:val="36"/>
        </w:rPr>
        <w:t xml:space="preserve">, and have the same </w:t>
      </w:r>
      <w:r w:rsidRPr="00D8181B">
        <w:rPr>
          <w:rStyle w:val="st"/>
          <w:rFonts w:asciiTheme="majorHAnsi" w:hAnsiTheme="majorHAnsi"/>
          <w:b/>
          <w:bCs/>
          <w:i/>
          <w:sz w:val="36"/>
        </w:rPr>
        <w:t>father</w:t>
      </w:r>
      <w:r w:rsidRPr="00D8181B">
        <w:rPr>
          <w:rStyle w:val="st"/>
          <w:rFonts w:asciiTheme="majorHAnsi" w:hAnsiTheme="majorHAnsi"/>
          <w:i/>
          <w:sz w:val="36"/>
        </w:rPr>
        <w:t xml:space="preserve"> and </w:t>
      </w:r>
      <w:r w:rsidRPr="00D8181B">
        <w:rPr>
          <w:rStyle w:val="st"/>
          <w:rFonts w:asciiTheme="majorHAnsi" w:hAnsiTheme="majorHAnsi"/>
          <w:b/>
          <w:bCs/>
          <w:i/>
          <w:sz w:val="36"/>
        </w:rPr>
        <w:t>mother</w:t>
      </w:r>
      <w:r>
        <w:rPr>
          <w:rStyle w:val="st"/>
          <w:rFonts w:asciiTheme="majorHAnsi" w:hAnsiTheme="majorHAnsi"/>
          <w:i/>
          <w:sz w:val="36"/>
        </w:rPr>
        <w:t>…</w:t>
      </w:r>
      <w:r w:rsidRPr="00D8181B">
        <w:rPr>
          <w:rStyle w:val="st"/>
          <w:rFonts w:asciiTheme="majorHAnsi" w:hAnsiTheme="majorHAnsi"/>
          <w:i/>
          <w:sz w:val="36"/>
        </w:rPr>
        <w:t xml:space="preserve"> </w:t>
      </w:r>
      <w:r>
        <w:rPr>
          <w:rStyle w:val="st"/>
          <w:rFonts w:asciiTheme="majorHAnsi" w:hAnsiTheme="majorHAnsi"/>
          <w:i/>
          <w:sz w:val="36"/>
        </w:rPr>
        <w:t>b</w:t>
      </w:r>
      <w:r w:rsidRPr="00D8181B">
        <w:rPr>
          <w:rStyle w:val="st"/>
          <w:rFonts w:asciiTheme="majorHAnsi" w:hAnsiTheme="majorHAnsi"/>
          <w:i/>
          <w:sz w:val="36"/>
        </w:rPr>
        <w:t>ut they are not twins.</w:t>
      </w:r>
      <w:r>
        <w:rPr>
          <w:rStyle w:val="st"/>
          <w:rFonts w:asciiTheme="majorHAnsi" w:hAnsiTheme="majorHAnsi"/>
          <w:i/>
          <w:sz w:val="36"/>
        </w:rPr>
        <w:t xml:space="preserve"> How is this possible</w:t>
      </w:r>
      <w:r w:rsidRPr="003B2B01">
        <w:rPr>
          <w:rStyle w:val="st"/>
          <w:rFonts w:asciiTheme="majorHAnsi" w:hAnsiTheme="majorHAnsi"/>
          <w:i/>
          <w:sz w:val="36"/>
        </w:rPr>
        <w:t>?</w:t>
      </w:r>
    </w:p>
    <w:p w:rsidR="005A4FD6" w:rsidRPr="0043614C" w:rsidRDefault="006A4EAD" w:rsidP="005A4FD6">
      <w:pPr>
        <w:spacing w:line="276" w:lineRule="auto"/>
        <w:jc w:val="center"/>
        <w:rPr>
          <w:rStyle w:val="st"/>
          <w:rFonts w:asciiTheme="majorHAnsi" w:hAnsiTheme="majorHAnsi"/>
          <w:i/>
          <w:color w:val="A6A6A6" w:themeColor="background1" w:themeShade="A6"/>
          <w:sz w:val="4"/>
        </w:rPr>
      </w:pPr>
    </w:p>
    <w:p w:rsidR="005A4FD6" w:rsidRPr="001162D1" w:rsidRDefault="006A4EAD"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D8181B">
        <w:rPr>
          <w:rStyle w:val="st"/>
          <w:rFonts w:asciiTheme="majorHAnsi" w:hAnsiTheme="majorHAnsi"/>
          <w:i/>
          <w:color w:val="646464"/>
        </w:rPr>
        <w:t>I give light by night, but not by day. Wicked I am, but</w:t>
      </w:r>
      <w:r w:rsidRPr="00D8181B">
        <w:rPr>
          <w:rStyle w:val="st"/>
          <w:rFonts w:asciiTheme="majorHAnsi" w:hAnsiTheme="majorHAnsi"/>
          <w:i/>
          <w:color w:val="646464"/>
        </w:rPr>
        <w:t xml:space="preserve"> not evil in any way. I mostly wax, but always wane. Except when I'm out, I stay the same. What am I</w:t>
      </w:r>
      <w:r w:rsidRPr="001162D1">
        <w:rPr>
          <w:rStyle w:val="st"/>
          <w:rFonts w:asciiTheme="majorHAnsi" w:hAnsiTheme="majorHAnsi"/>
          <w:i/>
          <w:color w:val="646464"/>
        </w:rPr>
        <w:t>?</w:t>
      </w:r>
    </w:p>
    <w:p w:rsidR="005A4FD6" w:rsidRPr="001162D1" w:rsidRDefault="006A4EAD"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A candle</w:t>
      </w:r>
      <w:r>
        <w:rPr>
          <w:rStyle w:val="st"/>
          <w:rFonts w:asciiTheme="majorHAnsi" w:hAnsiTheme="majorHAnsi"/>
          <w:i/>
          <w:color w:val="646464"/>
        </w:rPr>
        <w:t>.</w:t>
      </w:r>
    </w:p>
    <w:p w:rsidR="005A4FD6" w:rsidRPr="0043614C" w:rsidRDefault="006A4EAD" w:rsidP="005A4FD6">
      <w:pPr>
        <w:spacing w:line="276" w:lineRule="auto"/>
        <w:jc w:val="center"/>
        <w:rPr>
          <w:rStyle w:val="st"/>
          <w:rFonts w:asciiTheme="majorHAnsi" w:hAnsiTheme="majorHAnsi"/>
          <w:i/>
          <w:color w:val="A6A6A6" w:themeColor="background1" w:themeShade="A6"/>
          <w:sz w:val="4"/>
        </w:rPr>
      </w:pPr>
    </w:p>
    <w:p w:rsidR="005A4FD6" w:rsidRDefault="006A4EAD"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6A4EAD" w:rsidP="005A4FD6">
      <w:pPr>
        <w:spacing w:line="276" w:lineRule="auto"/>
        <w:rPr>
          <w:rFonts w:asciiTheme="majorHAnsi" w:hAnsiTheme="majorHAnsi"/>
          <w:color w:val="A6A6A6" w:themeColor="background1" w:themeShade="A6"/>
          <w:sz w:val="4"/>
          <w:szCs w:val="20"/>
        </w:rPr>
      </w:pPr>
    </w:p>
    <w:p w:rsidR="005A4FD6" w:rsidRPr="001D46B5" w:rsidRDefault="006A4EAD" w:rsidP="005A4FD6">
      <w:pPr>
        <w:spacing w:line="276" w:lineRule="auto"/>
        <w:jc w:val="center"/>
        <w:rPr>
          <w:rFonts w:asciiTheme="majorHAnsi" w:hAnsiTheme="majorHAnsi" w:cs="Times New Roman"/>
          <w:sz w:val="24"/>
          <w:szCs w:val="32"/>
        </w:rPr>
      </w:pP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representativename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«representativename»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may be reached at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representativephone  \* MERGE</w:instrText>
      </w:r>
      <w:r w:rsidRPr="00237981">
        <w:rPr>
          <w:rFonts w:asciiTheme="majorHAnsi" w:hAnsiTheme="majorHAnsi" w:cs="Times New Roman"/>
          <w:sz w:val="24"/>
          <w:szCs w:val="32"/>
        </w:rPr>
        <w:instrText xml:space="preserv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«representativephone»</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or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representativeemail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«representativeemail»</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w:t>
      </w:r>
      <w:r>
        <w:rPr>
          <w:rFonts w:asciiTheme="majorHAnsi" w:hAnsiTheme="majorHAnsi" w:cs="Times New Roman"/>
          <w:sz w:val="24"/>
          <w:szCs w:val="32"/>
        </w:rPr>
        <w:br/>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representativewebsite  \* MERGEFORMAT </w:instrText>
      </w:r>
      <w:r w:rsidRPr="00237981">
        <w:rPr>
          <w:rFonts w:asciiTheme="majorHAnsi" w:hAnsiTheme="majorHAnsi" w:cs="Times New Roman"/>
          <w:sz w:val="24"/>
          <w:szCs w:val="32"/>
        </w:rPr>
        <w:fldChar w:fldCharType="separate"/>
      </w:r>
      <w:r w:rsidRPr="00237981">
        <w:rPr>
          <w:rFonts w:asciiTheme="majorHAnsi" w:hAnsiTheme="majorHAnsi" w:cs="Times New Roman"/>
          <w:sz w:val="24"/>
          <w:szCs w:val="32"/>
        </w:rPr>
        <w:t>«representativewebsite»</w:t>
      </w:r>
      <w:r w:rsidRPr="00237981">
        <w:rPr>
          <w:rFonts w:asciiTheme="majorHAnsi" w:hAnsiTheme="majorHAnsi" w:cs="Times New Roman"/>
          <w:sz w:val="24"/>
          <w:szCs w:val="32"/>
        </w:rPr>
        <w:fldChar w:fldCharType="end"/>
      </w:r>
      <w:r>
        <w:rPr>
          <w:rFonts w:asciiTheme="majorHAnsi" w:hAnsiTheme="majorHAnsi" w:cs="Times New Roman"/>
          <w:sz w:val="24"/>
          <w:szCs w:val="32"/>
        </w:rPr>
        <w:br/>
      </w:r>
    </w:p>
    <w:p w:rsidR="005A4FD6" w:rsidRPr="0043614C" w:rsidRDefault="006A4EAD"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 send us their contact information via phone or email. (Don’t worry – we’ll request their permission before adding them to our mailing list.)</w:t>
      </w:r>
    </w:p>
    <w:p w:rsidR="00237981" w:rsidRDefault="006A4EAD"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6A4EAD" w:rsidP="00571E5C">
      <w:pPr>
        <w:spacing w:line="276" w:lineRule="auto"/>
        <w:jc w:val="both"/>
        <w:rPr>
          <w:rFonts w:asciiTheme="majorHAnsi" w:hAnsiTheme="majorHAnsi"/>
          <w:color w:val="A6A6A6" w:themeColor="background1" w:themeShade="A6"/>
          <w:sz w:val="2"/>
          <w:szCs w:val="16"/>
        </w:rPr>
      </w:pPr>
    </w:p>
    <w:p w:rsidR="006A4EAD" w:rsidRDefault="006A4EAD" w:rsidP="006A4EAD">
      <w:pPr>
        <w:rPr>
          <w:b/>
          <w:bCs/>
          <w:u w:val="single"/>
        </w:rPr>
      </w:pPr>
      <w:r>
        <w:rPr>
          <w:b/>
          <w:bCs/>
          <w:u w:val="single"/>
        </w:rPr>
        <w:t>Disclosure:</w:t>
      </w:r>
    </w:p>
    <w:p w:rsidR="006A4EAD" w:rsidRDefault="006A4EAD" w:rsidP="006A4EAD">
      <w:pPr>
        <w:autoSpaceDE w:val="0"/>
        <w:autoSpaceDN w:val="0"/>
        <w:rPr>
          <w:rFonts w:ascii="Arial" w:hAnsi="Arial" w:cs="Arial"/>
          <w:sz w:val="16"/>
          <w:szCs w:val="16"/>
        </w:rPr>
      </w:pPr>
      <w:r>
        <w:rPr>
          <w:rFonts w:ascii="Arial" w:hAnsi="Arial" w:cs="Arial"/>
          <w:sz w:val="16"/>
          <w:szCs w:val="16"/>
        </w:rPr>
        <w:t xml:space="preserve">Securities offered through </w:t>
      </w:r>
      <w:proofErr w:type="spellStart"/>
      <w:r>
        <w:rPr>
          <w:rFonts w:ascii="Arial" w:hAnsi="Arial" w:cs="Arial"/>
          <w:sz w:val="16"/>
          <w:szCs w:val="16"/>
        </w:rPr>
        <w:t>Kestra</w:t>
      </w:r>
      <w:proofErr w:type="spellEnd"/>
      <w:r>
        <w:rPr>
          <w:rFonts w:ascii="Arial" w:hAnsi="Arial" w:cs="Arial"/>
          <w:sz w:val="16"/>
          <w:szCs w:val="16"/>
        </w:rPr>
        <w:t xml:space="preserve"> Investment Services, LLC (</w:t>
      </w:r>
      <w:proofErr w:type="spellStart"/>
      <w:r>
        <w:rPr>
          <w:rFonts w:ascii="Arial" w:hAnsi="Arial" w:cs="Arial"/>
          <w:sz w:val="16"/>
          <w:szCs w:val="16"/>
        </w:rPr>
        <w:t>Kestra</w:t>
      </w:r>
      <w:proofErr w:type="spellEnd"/>
      <w:r>
        <w:rPr>
          <w:rFonts w:ascii="Arial" w:hAnsi="Arial" w:cs="Arial"/>
          <w:sz w:val="16"/>
          <w:szCs w:val="16"/>
        </w:rPr>
        <w:t xml:space="preserve"> IS), a member FINRA/SIPC.  Investment advisory services offered through </w:t>
      </w:r>
      <w:proofErr w:type="spellStart"/>
      <w:r>
        <w:rPr>
          <w:rFonts w:ascii="Arial" w:hAnsi="Arial" w:cs="Arial"/>
          <w:sz w:val="16"/>
          <w:szCs w:val="16"/>
        </w:rPr>
        <w:t>Kestra</w:t>
      </w:r>
      <w:proofErr w:type="spellEnd"/>
      <w:r>
        <w:rPr>
          <w:rFonts w:ascii="Arial" w:hAnsi="Arial" w:cs="Arial"/>
          <w:sz w:val="16"/>
          <w:szCs w:val="16"/>
        </w:rPr>
        <w:t xml:space="preserve"> Advisory Services, LLC (</w:t>
      </w:r>
      <w:proofErr w:type="spellStart"/>
      <w:r>
        <w:rPr>
          <w:rFonts w:ascii="Arial" w:hAnsi="Arial" w:cs="Arial"/>
          <w:sz w:val="16"/>
          <w:szCs w:val="16"/>
        </w:rPr>
        <w:t>Kestra</w:t>
      </w:r>
      <w:proofErr w:type="spellEnd"/>
      <w:r>
        <w:rPr>
          <w:rFonts w:ascii="Arial" w:hAnsi="Arial" w:cs="Arial"/>
          <w:sz w:val="16"/>
          <w:szCs w:val="16"/>
        </w:rPr>
        <w:t xml:space="preserve"> AS), an affiliate of </w:t>
      </w:r>
      <w:proofErr w:type="spellStart"/>
      <w:r>
        <w:rPr>
          <w:rFonts w:ascii="Arial" w:hAnsi="Arial" w:cs="Arial"/>
          <w:sz w:val="16"/>
          <w:szCs w:val="16"/>
        </w:rPr>
        <w:t>Kestra</w:t>
      </w:r>
      <w:proofErr w:type="spellEnd"/>
      <w:r>
        <w:rPr>
          <w:rFonts w:ascii="Arial" w:hAnsi="Arial" w:cs="Arial"/>
          <w:sz w:val="16"/>
          <w:szCs w:val="16"/>
        </w:rPr>
        <w:t xml:space="preserve"> IS.  Levine Group, LLC is not affiliated with </w:t>
      </w:r>
      <w:proofErr w:type="spellStart"/>
      <w:r>
        <w:rPr>
          <w:rFonts w:ascii="Arial" w:hAnsi="Arial" w:cs="Arial"/>
          <w:sz w:val="16"/>
          <w:szCs w:val="16"/>
        </w:rPr>
        <w:t>Kestra</w:t>
      </w:r>
      <w:proofErr w:type="spellEnd"/>
      <w:r>
        <w:rPr>
          <w:rFonts w:ascii="Arial" w:hAnsi="Arial" w:cs="Arial"/>
          <w:sz w:val="16"/>
          <w:szCs w:val="16"/>
        </w:rPr>
        <w:t xml:space="preserve"> IS or </w:t>
      </w:r>
      <w:proofErr w:type="spellStart"/>
      <w:r>
        <w:rPr>
          <w:rFonts w:ascii="Arial" w:hAnsi="Arial" w:cs="Arial"/>
          <w:sz w:val="16"/>
          <w:szCs w:val="16"/>
        </w:rPr>
        <w:t>Kestra</w:t>
      </w:r>
      <w:proofErr w:type="spellEnd"/>
      <w:r>
        <w:rPr>
          <w:rFonts w:ascii="Arial" w:hAnsi="Arial" w:cs="Arial"/>
          <w:sz w:val="16"/>
          <w:szCs w:val="16"/>
        </w:rPr>
        <w:t xml:space="preserve"> AS.</w:t>
      </w:r>
    </w:p>
    <w:p w:rsidR="00613524" w:rsidRDefault="006A4EAD" w:rsidP="00E476E1">
      <w:pPr>
        <w:spacing w:line="276" w:lineRule="auto"/>
        <w:jc w:val="both"/>
        <w:rPr>
          <w:rFonts w:asciiTheme="majorHAnsi" w:hAnsiTheme="majorHAnsi" w:cs="Arial"/>
          <w:color w:val="646464"/>
          <w:sz w:val="16"/>
          <w:szCs w:val="16"/>
        </w:rPr>
      </w:pPr>
      <w:bookmarkStart w:id="1" w:name="_GoBack"/>
      <w:bookmarkEnd w:id="1"/>
      <w:r w:rsidRPr="001162D1">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1162D1">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1162D1">
        <w:rPr>
          <w:rFonts w:asciiTheme="majorHAnsi" w:hAnsiTheme="majorHAnsi" w:cs="Arial"/>
          <w:color w:val="646464"/>
          <w:sz w:val="16"/>
          <w:szCs w:val="16"/>
        </w:rPr>
        <w:t>ed on for the purpose of avoiding any Federal tax penalty. This is neither a solicitation nor recommendation to purchase or sell any investment or insurance product or service, and should not be relied upon as such. All market indices discussed are unmanag</w:t>
      </w:r>
      <w:r w:rsidRPr="001162D1">
        <w:rPr>
          <w:rFonts w:asciiTheme="majorHAnsi" w:hAnsiTheme="majorHAnsi" w:cs="Arial"/>
          <w:color w:val="646464"/>
          <w:sz w:val="16"/>
          <w:szCs w:val="16"/>
        </w:rPr>
        <w:t>ed and are not illustrative of any particular investment. Indices do not incur management fees, costs and expenses, and cannot be invested into directly. All economic and performance data is historical and not indicative of future results. The Dow Jones In</w:t>
      </w:r>
      <w:r w:rsidRPr="001162D1">
        <w:rPr>
          <w:rFonts w:asciiTheme="majorHAnsi" w:hAnsiTheme="majorHAnsi" w:cs="Arial"/>
          <w:color w:val="646464"/>
          <w:sz w:val="16"/>
          <w:szCs w:val="16"/>
        </w:rPr>
        <w:t>dustrial Average is a price-weighted index of 30 actively traded blue-chip stocks. The NASDAQ Composite Index is a market-weighted index of all over-the-counter common stocks traded on the National Association of Securities Dealers Automated Quotation Syst</w:t>
      </w:r>
      <w:r w:rsidRPr="001162D1">
        <w:rPr>
          <w:rFonts w:asciiTheme="majorHAnsi" w:hAnsiTheme="majorHAnsi" w:cs="Arial"/>
          <w:color w:val="646464"/>
          <w:sz w:val="16"/>
          <w:szCs w:val="16"/>
        </w:rPr>
        <w:t xml:space="preserve">em. The Standard &amp; Poor's 500 (S&amp;P 500) is a market-cap weighted index composed of the common stocks of 500 leading companies in leading industries of the U.S. economy. </w:t>
      </w:r>
      <w:r w:rsidRPr="00265105">
        <w:rPr>
          <w:rFonts w:asciiTheme="majorHAnsi" w:hAnsiTheme="majorHAnsi" w:cs="Arial"/>
          <w:color w:val="646464"/>
          <w:sz w:val="16"/>
          <w:szCs w:val="16"/>
        </w:rPr>
        <w:t>The MSCI EAFE Index is a stock market index that is designed to measure the equity mark</w:t>
      </w:r>
      <w:r w:rsidRPr="00265105">
        <w:rPr>
          <w:rFonts w:asciiTheme="majorHAnsi" w:hAnsiTheme="majorHAnsi" w:cs="Arial"/>
          <w:color w:val="646464"/>
          <w:sz w:val="16"/>
          <w:szCs w:val="16"/>
        </w:rPr>
        <w:t xml:space="preserve">et performance of developed markets outside of the U.S. </w:t>
      </w:r>
      <w:r>
        <w:rPr>
          <w:rFonts w:asciiTheme="majorHAnsi" w:hAnsiTheme="majorHAnsi" w:cs="Arial"/>
          <w:color w:val="646464"/>
          <w:sz w:val="16"/>
          <w:szCs w:val="16"/>
        </w:rPr>
        <w:t>and</w:t>
      </w:r>
      <w:r w:rsidRPr="00265105">
        <w:rPr>
          <w:rFonts w:asciiTheme="majorHAnsi" w:hAnsiTheme="majorHAnsi" w:cs="Arial"/>
          <w:color w:val="646464"/>
          <w:sz w:val="16"/>
          <w:szCs w:val="16"/>
        </w:rPr>
        <w:t xml:space="preserve"> Canada.</w:t>
      </w:r>
      <w:r>
        <w:rPr>
          <w:rFonts w:asciiTheme="majorHAnsi" w:hAnsiTheme="majorHAnsi" w:cs="Arial"/>
          <w:color w:val="646464"/>
          <w:sz w:val="16"/>
          <w:szCs w:val="16"/>
        </w:rPr>
        <w:t xml:space="preserve"> </w:t>
      </w:r>
      <w:r w:rsidRPr="001162D1">
        <w:rPr>
          <w:rFonts w:asciiTheme="majorHAnsi" w:hAnsiTheme="majorHAnsi" w:cs="Arial"/>
          <w:color w:val="646464"/>
          <w:sz w:val="16"/>
          <w:szCs w:val="16"/>
        </w:rPr>
        <w:t>NYSE Group, Inc. (NYSE:NYX) operates two securities exchanges: the New York Stock Exchange (the “NYSE”) and NYSE Arca (formerly known as the Archipelago Exchange, or ArcaEx®, and the Pacif</w:t>
      </w:r>
      <w:r w:rsidRPr="001162D1">
        <w:rPr>
          <w:rFonts w:asciiTheme="majorHAnsi" w:hAnsiTheme="majorHAnsi" w:cs="Arial"/>
          <w:color w:val="646464"/>
          <w:sz w:val="16"/>
          <w:szCs w:val="16"/>
        </w:rPr>
        <w:t xml:space="preserve">ic Exchange). NYSE Group is a leading provider of securities listing, trading and market data products and services. The New York Mercantile Exchange, Inc. (NYMEX) is the world's largest physical commodity futures exchange and the preeminent trading forum </w:t>
      </w:r>
      <w:r w:rsidRPr="001162D1">
        <w:rPr>
          <w:rFonts w:asciiTheme="majorHAnsi" w:hAnsiTheme="majorHAnsi" w:cs="Arial"/>
          <w:color w:val="646464"/>
          <w:sz w:val="16"/>
          <w:szCs w:val="16"/>
        </w:rPr>
        <w:t>for energy and precious metals, with trading conducted through two divisions – the NYMEX Division, home to the energy, platinum, and palladium markets, and the COMEX Division, on which all other metals trade. Additional risks are associated with internatio</w:t>
      </w:r>
      <w:r w:rsidRPr="001162D1">
        <w:rPr>
          <w:rFonts w:asciiTheme="majorHAnsi" w:hAnsiTheme="majorHAnsi" w:cs="Arial"/>
          <w:color w:val="646464"/>
          <w:sz w:val="16"/>
          <w:szCs w:val="16"/>
        </w:rPr>
        <w:t>nal investing, such as currency fluctuations, political and economic instability and differences in accounting standards. This material represents an assessment of the market environment at a specific point in time and is not intended to be a forecast of f</w:t>
      </w:r>
      <w:r w:rsidRPr="001162D1">
        <w:rPr>
          <w:rFonts w:asciiTheme="majorHAnsi" w:hAnsiTheme="majorHAnsi" w:cs="Arial"/>
          <w:color w:val="646464"/>
          <w:sz w:val="16"/>
          <w:szCs w:val="16"/>
        </w:rPr>
        <w:t>uture events, or a guarantee of future results. MarketingPro, Inc. is not affiliated with any person or firm that may be providing this information to you. The publisher is not engaged in rendering legal, accounting or other professional services. If assis</w:t>
      </w:r>
      <w:r w:rsidRPr="001162D1">
        <w:rPr>
          <w:rFonts w:asciiTheme="majorHAnsi" w:hAnsiTheme="majorHAnsi" w:cs="Arial"/>
          <w:color w:val="646464"/>
          <w:sz w:val="16"/>
          <w:szCs w:val="16"/>
        </w:rPr>
        <w:t>tance is needed, the reader is advised to engage the services of a competent professional.</w:t>
      </w:r>
    </w:p>
    <w:p w:rsidR="00F77EE1" w:rsidRPr="002543AC" w:rsidRDefault="006A4EAD" w:rsidP="00F77EE1">
      <w:pPr>
        <w:spacing w:line="276" w:lineRule="auto"/>
        <w:rPr>
          <w:rFonts w:asciiTheme="majorHAnsi" w:hAnsiTheme="majorHAnsi" w:cs="Arial"/>
          <w:color w:val="646464"/>
          <w:sz w:val="16"/>
          <w:szCs w:val="16"/>
        </w:rPr>
      </w:pPr>
      <w:bookmarkStart w:id="2" w:name="_Hlk2950709"/>
      <w:bookmarkStart w:id="3" w:name="_Hlk5367224"/>
      <w:bookmarkStart w:id="4" w:name="_Hlk1133051"/>
      <w:r w:rsidRPr="002543AC">
        <w:rPr>
          <w:rFonts w:asciiTheme="majorHAnsi" w:hAnsiTheme="majorHAnsi" w:cs="Arial"/>
          <w:color w:val="646464"/>
          <w:sz w:val="16"/>
          <w:szCs w:val="16"/>
        </w:rPr>
        <w:t>CITATIONS:</w:t>
      </w:r>
    </w:p>
    <w:p w:rsidR="00F77EE1" w:rsidRDefault="006A4EAD" w:rsidP="00F77EE1">
      <w:pPr>
        <w:spacing w:after="0" w:line="240" w:lineRule="auto"/>
        <w:rPr>
          <w:noProof/>
        </w:rPr>
      </w:pPr>
      <w:bookmarkStart w:id="5" w:name="_Hlk7787319"/>
      <w:r>
        <w:rPr>
          <w:rFonts w:asciiTheme="majorHAnsi" w:hAnsiTheme="majorHAnsi" w:cs="Arial"/>
          <w:color w:val="767171" w:themeColor="background2" w:themeShade="80"/>
          <w:sz w:val="16"/>
        </w:rPr>
        <w:t xml:space="preserve">1 </w:t>
      </w:r>
      <w:r w:rsidRPr="008E589A">
        <w:rPr>
          <w:rFonts w:asciiTheme="majorHAnsi" w:hAnsiTheme="majorHAnsi" w:cs="Arial"/>
          <w:color w:val="767171" w:themeColor="background2" w:themeShade="80"/>
          <w:sz w:val="16"/>
        </w:rPr>
        <w:t xml:space="preserve">- </w:t>
      </w:r>
      <w:bookmarkStart w:id="6"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11/22</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rsidR="00F77EE1" w:rsidRPr="00482796" w:rsidRDefault="006A4EAD" w:rsidP="00482796">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7" w:name="_Hlk20485223"/>
      <w:r w:rsidRPr="009C6AE7">
        <w:rPr>
          <w:rFonts w:asciiTheme="majorHAnsi" w:hAnsiTheme="majorHAnsi" w:cs="Calibri"/>
          <w:color w:val="767171" w:themeColor="background2" w:themeShade="80"/>
          <w:sz w:val="16"/>
          <w:szCs w:val="16"/>
        </w:rPr>
        <w:t xml:space="preserve">quotes.wsj.com/index/XX/990300/historical-prices </w:t>
      </w:r>
      <w:bookmarkEnd w:id="7"/>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11/22</w:t>
      </w:r>
      <w:r w:rsidRPr="008E589A">
        <w:rPr>
          <w:rFonts w:asciiTheme="majorHAnsi" w:hAnsiTheme="majorHAnsi" w:cs="Calibri"/>
          <w:color w:val="767171" w:themeColor="background2" w:themeShade="80"/>
          <w:sz w:val="16"/>
          <w:szCs w:val="16"/>
        </w:rPr>
        <w:t>/19]</w:t>
      </w:r>
    </w:p>
    <w:p w:rsidR="00F77EE1" w:rsidRDefault="006A4EAD" w:rsidP="00F77EE1">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3 - </w:t>
      </w:r>
      <w:r w:rsidRPr="008A52A7">
        <w:rPr>
          <w:rFonts w:asciiTheme="majorHAnsi" w:hAnsiTheme="majorHAnsi" w:cs="Arial"/>
          <w:color w:val="767171" w:themeColor="background2" w:themeShade="80"/>
          <w:sz w:val="16"/>
        </w:rPr>
        <w:t xml:space="preserve">cnbc.com/2019/11/22/dow-futures-amid-us-china-trade-uncertainty.html </w:t>
      </w:r>
      <w:r>
        <w:rPr>
          <w:rFonts w:asciiTheme="majorHAnsi" w:hAnsiTheme="majorHAnsi" w:cs="Arial"/>
          <w:color w:val="767171" w:themeColor="background2" w:themeShade="80"/>
          <w:sz w:val="16"/>
        </w:rPr>
        <w:t>[11/22/19]</w:t>
      </w:r>
    </w:p>
    <w:p w:rsidR="00F77EE1" w:rsidRDefault="006A4EAD" w:rsidP="00F77EE1">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4 - </w:t>
      </w:r>
      <w:r w:rsidRPr="00774F2D">
        <w:rPr>
          <w:rFonts w:asciiTheme="majorHAnsi" w:hAnsiTheme="majorHAnsi" w:cs="Arial"/>
          <w:color w:val="767171" w:themeColor="background2" w:themeShade="80"/>
          <w:sz w:val="16"/>
        </w:rPr>
        <w:t xml:space="preserve">cnbc.com/2019/11/22/hong-kong-rights-bill-unlikely-to-derail-us-china-trade-talks.html </w:t>
      </w:r>
      <w:r>
        <w:rPr>
          <w:rFonts w:asciiTheme="majorHAnsi" w:hAnsiTheme="majorHAnsi" w:cs="Arial"/>
          <w:color w:val="767171" w:themeColor="background2" w:themeShade="80"/>
          <w:sz w:val="16"/>
        </w:rPr>
        <w:t>[11/22/19]</w:t>
      </w:r>
    </w:p>
    <w:p w:rsidR="00F77EE1" w:rsidRPr="00C149E1" w:rsidRDefault="006A4EAD" w:rsidP="00F77EE1">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5</w:t>
      </w:r>
      <w:r w:rsidRPr="00C149E1">
        <w:rPr>
          <w:rFonts w:asciiTheme="majorHAnsi" w:hAnsiTheme="majorHAnsi" w:cs="Calibri"/>
          <w:color w:val="767171" w:themeColor="background2" w:themeShade="80"/>
          <w:sz w:val="16"/>
          <w:szCs w:val="16"/>
        </w:rPr>
        <w:t xml:space="preserve"> - </w:t>
      </w:r>
      <w:r w:rsidRPr="001B1AD5">
        <w:rPr>
          <w:rFonts w:asciiTheme="majorHAnsi" w:hAnsiTheme="majorHAnsi" w:cs="Calibri"/>
          <w:color w:val="767171" w:themeColor="background2" w:themeShade="80"/>
          <w:sz w:val="16"/>
          <w:szCs w:val="16"/>
        </w:rPr>
        <w:t>marketwatch.com/story/fed-minutes-show-worries-about-economy-had-eased</w:t>
      </w:r>
      <w:r w:rsidRPr="001B1AD5">
        <w:rPr>
          <w:rFonts w:asciiTheme="majorHAnsi" w:hAnsiTheme="majorHAnsi" w:cs="Calibri"/>
          <w:color w:val="767171" w:themeColor="background2" w:themeShade="80"/>
          <w:sz w:val="16"/>
          <w:szCs w:val="16"/>
        </w:rPr>
        <w:t xml:space="preserve">-a-bit-2019-11-20 </w:t>
      </w:r>
      <w:r w:rsidRPr="00C149E1">
        <w:rPr>
          <w:rFonts w:asciiTheme="majorHAnsi" w:hAnsiTheme="majorHAnsi" w:cs="Calibri"/>
          <w:color w:val="767171" w:themeColor="background2" w:themeShade="80"/>
          <w:sz w:val="16"/>
          <w:szCs w:val="16"/>
        </w:rPr>
        <w:t>[11/</w:t>
      </w:r>
      <w:r>
        <w:rPr>
          <w:rFonts w:asciiTheme="majorHAnsi" w:hAnsiTheme="majorHAnsi" w:cs="Calibri"/>
          <w:color w:val="767171" w:themeColor="background2" w:themeShade="80"/>
          <w:sz w:val="16"/>
          <w:szCs w:val="16"/>
        </w:rPr>
        <w:t>20</w:t>
      </w:r>
      <w:r w:rsidRPr="00C149E1">
        <w:rPr>
          <w:rFonts w:asciiTheme="majorHAnsi" w:hAnsiTheme="majorHAnsi" w:cs="Calibri"/>
          <w:color w:val="767171" w:themeColor="background2" w:themeShade="80"/>
          <w:sz w:val="16"/>
          <w:szCs w:val="16"/>
        </w:rPr>
        <w:t>/19]</w:t>
      </w:r>
    </w:p>
    <w:p w:rsidR="00F77EE1" w:rsidRDefault="006A4EAD" w:rsidP="00F77EE1">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6 - </w:t>
      </w:r>
      <w:r w:rsidRPr="00A74A55">
        <w:rPr>
          <w:rFonts w:asciiTheme="majorHAnsi" w:hAnsiTheme="majorHAnsi" w:cs="Arial"/>
          <w:color w:val="767171" w:themeColor="background2" w:themeShade="80"/>
          <w:sz w:val="16"/>
        </w:rPr>
        <w:t xml:space="preserve">inman.com/2019/11/21/existing-home-sales-pick-up-in-october-after-slump-nar/ </w:t>
      </w:r>
      <w:r>
        <w:rPr>
          <w:rFonts w:asciiTheme="majorHAnsi" w:hAnsiTheme="majorHAnsi" w:cs="Arial"/>
          <w:color w:val="767171" w:themeColor="background2" w:themeShade="80"/>
          <w:sz w:val="16"/>
        </w:rPr>
        <w:t>[11/21/19]</w:t>
      </w:r>
    </w:p>
    <w:p w:rsidR="00482796" w:rsidRDefault="006A4EAD" w:rsidP="00F77EE1">
      <w:pPr>
        <w:spacing w:line="276" w:lineRule="auto"/>
        <w:rPr>
          <w:rFonts w:asciiTheme="majorHAnsi" w:hAnsiTheme="majorHAnsi" w:cs="Arial"/>
          <w:color w:val="646464"/>
          <w:sz w:val="16"/>
          <w:szCs w:val="16"/>
        </w:rPr>
      </w:pPr>
      <w:bookmarkStart w:id="8" w:name="_Hlk2950788"/>
      <w:bookmarkStart w:id="9" w:name="_Hlk5367252"/>
      <w:bookmarkEnd w:id="2"/>
      <w:bookmarkEnd w:id="3"/>
      <w:bookmarkEnd w:id="5"/>
      <w:r>
        <w:rPr>
          <w:rFonts w:asciiTheme="majorHAnsi" w:hAnsiTheme="majorHAnsi" w:cs="Arial"/>
          <w:color w:val="646464"/>
          <w:sz w:val="16"/>
          <w:szCs w:val="16"/>
        </w:rPr>
        <w:t xml:space="preserve">7 - </w:t>
      </w:r>
      <w:r w:rsidRPr="00A74A55">
        <w:rPr>
          <w:rFonts w:asciiTheme="majorHAnsi" w:hAnsiTheme="majorHAnsi" w:cs="Arial"/>
          <w:color w:val="646464"/>
          <w:sz w:val="16"/>
          <w:szCs w:val="16"/>
        </w:rPr>
        <w:t xml:space="preserve">marketwatch.com/story/permits-for-new-home-construction-hits-post-recession-record-high-in-october-2019-11-19 </w:t>
      </w:r>
      <w:r>
        <w:rPr>
          <w:rFonts w:asciiTheme="majorHAnsi" w:hAnsiTheme="majorHAnsi" w:cs="Arial"/>
          <w:color w:val="646464"/>
          <w:sz w:val="16"/>
          <w:szCs w:val="16"/>
        </w:rPr>
        <w:t>[11/19/19]</w:t>
      </w:r>
    </w:p>
    <w:p w:rsidR="00F77EE1" w:rsidRPr="002543AC" w:rsidRDefault="006A4EAD" w:rsidP="00F77EE1">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 xml:space="preserve">CHART </w:t>
      </w:r>
      <w:r w:rsidRPr="002543AC">
        <w:rPr>
          <w:rFonts w:asciiTheme="majorHAnsi" w:hAnsiTheme="majorHAnsi" w:cs="Arial"/>
          <w:color w:val="646464"/>
          <w:sz w:val="16"/>
          <w:szCs w:val="16"/>
        </w:rPr>
        <w:t>CITATIONS:</w:t>
      </w:r>
    </w:p>
    <w:p w:rsidR="00F77EE1" w:rsidRDefault="006A4EAD" w:rsidP="00F77EE1">
      <w:pPr>
        <w:spacing w:after="0" w:line="240" w:lineRule="auto"/>
        <w:rPr>
          <w:rFonts w:asciiTheme="majorHAnsi" w:hAnsiTheme="majorHAnsi" w:cs="Arial"/>
          <w:color w:val="767171" w:themeColor="background2" w:themeShade="80"/>
          <w:sz w:val="16"/>
        </w:rPr>
      </w:pPr>
      <w:bookmarkStart w:id="10"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11/22</w:t>
      </w:r>
      <w:r w:rsidRPr="008E589A">
        <w:rPr>
          <w:rFonts w:asciiTheme="majorHAnsi" w:hAnsiTheme="majorHAnsi" w:cs="Arial"/>
          <w:color w:val="767171" w:themeColor="background2" w:themeShade="80"/>
          <w:sz w:val="16"/>
        </w:rPr>
        <w:t>/19]</w:t>
      </w:r>
    </w:p>
    <w:p w:rsidR="00F77EE1" w:rsidRDefault="006A4EAD" w:rsidP="00F77EE1">
      <w:pPr>
        <w:spacing w:after="0" w:line="240" w:lineRule="auto"/>
        <w:rPr>
          <w:rFonts w:asciiTheme="majorHAnsi" w:hAnsiTheme="majorHAnsi" w:cs="Calibri"/>
          <w:color w:val="767171" w:themeColor="background2" w:themeShade="80"/>
          <w:sz w:val="16"/>
          <w:szCs w:val="16"/>
        </w:rPr>
      </w:pPr>
      <w:r w:rsidRPr="009C6AE7">
        <w:rPr>
          <w:rFonts w:asciiTheme="majorHAnsi" w:hAnsiTheme="majorHAnsi" w:cs="Calibri"/>
          <w:color w:val="767171" w:themeColor="background2" w:themeShade="80"/>
          <w:sz w:val="16"/>
          <w:szCs w:val="16"/>
        </w:rPr>
        <w:t xml:space="preserve">quotes.wsj.com/index/XX/990300/historical-prices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11/22</w:t>
      </w:r>
      <w:r w:rsidRPr="008E589A">
        <w:rPr>
          <w:rFonts w:asciiTheme="majorHAnsi" w:hAnsiTheme="majorHAnsi" w:cs="Calibri"/>
          <w:color w:val="767171" w:themeColor="background2" w:themeShade="80"/>
          <w:sz w:val="16"/>
          <w:szCs w:val="16"/>
        </w:rPr>
        <w:t>/19]</w:t>
      </w:r>
    </w:p>
    <w:p w:rsidR="00F77EE1" w:rsidRDefault="006A4EAD" w:rsidP="00F77EE1">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[11/22/19]</w:t>
      </w:r>
    </w:p>
    <w:bookmarkEnd w:id="10"/>
    <w:p w:rsidR="00F77EE1" w:rsidRDefault="006A4EAD" w:rsidP="00F77EE1">
      <w:pPr>
        <w:spacing w:after="0" w:line="240" w:lineRule="auto"/>
        <w:rPr>
          <w:rFonts w:asciiTheme="majorHAnsi" w:hAnsiTheme="majorHAnsi" w:cs="Arial"/>
          <w:color w:val="767171" w:themeColor="background2" w:themeShade="80"/>
          <w:sz w:val="16"/>
        </w:rPr>
      </w:pPr>
      <w:r w:rsidRPr="00401260">
        <w:rPr>
          <w:rFonts w:asciiTheme="majorHAnsi" w:hAnsiTheme="majorHAnsi" w:cs="Arial"/>
          <w:color w:val="767171" w:themeColor="background2" w:themeShade="80"/>
          <w:sz w:val="16"/>
        </w:rPr>
        <w:t>treasury.gov/resource-center/data-chart-center/interest-rates/Pages/TextView.aspx?data=yield</w:t>
      </w:r>
      <w:r w:rsidRPr="00EA131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11/22</w:t>
      </w:r>
      <w:r w:rsidRPr="008E589A">
        <w:rPr>
          <w:rFonts w:asciiTheme="majorHAnsi" w:hAnsiTheme="majorHAnsi" w:cs="Arial"/>
          <w:color w:val="767171" w:themeColor="background2" w:themeShade="80"/>
          <w:sz w:val="16"/>
        </w:rPr>
        <w:t>/19]</w:t>
      </w:r>
      <w:bookmarkStart w:id="11" w:name="_Hlk7787450"/>
    </w:p>
    <w:p w:rsidR="00F77EE1" w:rsidRPr="008E589A" w:rsidRDefault="006A4EAD" w:rsidP="00F77EE1">
      <w:pPr>
        <w:spacing w:after="0" w:line="240" w:lineRule="auto"/>
        <w:rPr>
          <w:noProof/>
          <w:color w:val="767171" w:themeColor="background2" w:themeShade="80"/>
        </w:rPr>
      </w:pPr>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11/22</w:t>
      </w:r>
      <w:r w:rsidRPr="008E589A">
        <w:rPr>
          <w:rFonts w:asciiTheme="majorHAnsi" w:hAnsiTheme="majorHAnsi" w:cs="Arial"/>
          <w:color w:val="767171" w:themeColor="background2" w:themeShade="80"/>
          <w:sz w:val="16"/>
        </w:rPr>
        <w:t>/19]</w:t>
      </w:r>
    </w:p>
    <w:bookmarkEnd w:id="4"/>
    <w:bookmarkEnd w:id="8"/>
    <w:bookmarkEnd w:id="9"/>
    <w:bookmarkEnd w:id="11"/>
    <w:p w:rsidR="007916FF" w:rsidRPr="00E55C73" w:rsidRDefault="006A4EAD" w:rsidP="00F77EE1">
      <w:pPr>
        <w:rPr>
          <w:color w:val="767171" w:themeColor="background2" w:themeShade="80"/>
        </w:rPr>
      </w:pP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AD"/>
    <w:rsid w:val="006A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8350"/>
  <w15:docId w15:val="{08993A78-34B0-4854-B198-8D32F77C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Chris Gardner</cp:lastModifiedBy>
  <cp:revision>2</cp:revision>
  <dcterms:created xsi:type="dcterms:W3CDTF">2019-11-25T21:41:00Z</dcterms:created>
  <dcterms:modified xsi:type="dcterms:W3CDTF">2019-11-25T21:41:00Z</dcterms:modified>
</cp:coreProperties>
</file>