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2E" w:rsidRPr="00B217FA" w:rsidRDefault="000B1C2E" w:rsidP="000037E6">
      <w:pPr>
        <w:jc w:val="right"/>
      </w:pPr>
      <w:bookmarkStart w:id="0" w:name="_GoBack"/>
      <w:bookmarkEnd w:id="0"/>
      <w:r>
        <w:t>Octo</w:t>
      </w:r>
      <w:r w:rsidRPr="00B217FA">
        <w:t xml:space="preserve">ber </w:t>
      </w:r>
      <w:r>
        <w:t>7</w:t>
      </w:r>
      <w:r w:rsidRPr="00B217FA">
        <w:t>, 2011</w:t>
      </w:r>
    </w:p>
    <w:p w:rsidR="000B1C2E" w:rsidRPr="00B217FA" w:rsidRDefault="000B1C2E" w:rsidP="000037E6"/>
    <w:p w:rsidR="000B1C2E" w:rsidRPr="00B217FA" w:rsidRDefault="000B1C2E" w:rsidP="000037E6">
      <w:r w:rsidRPr="00B217FA">
        <w:t>Dear Investors:</w:t>
      </w:r>
    </w:p>
    <w:p w:rsidR="000B1C2E" w:rsidRPr="00B217FA" w:rsidRDefault="000B1C2E" w:rsidP="000037E6"/>
    <w:p w:rsidR="000B1C2E" w:rsidRDefault="000B1C2E" w:rsidP="005E0CDD">
      <w:r>
        <w:t>Over the past three weeks, I have discussed the fact that the markets were inside a Fibonacci Cluster that began in the middle of September and would end on or about October 3</w:t>
      </w:r>
      <w:r w:rsidRPr="000D2EA6">
        <w:rPr>
          <w:vertAlign w:val="superscript"/>
        </w:rPr>
        <w:t>rd</w:t>
      </w:r>
      <w:r>
        <w:t>.  During that same time, the S&amp;P 500 Index peaked on September 16</w:t>
      </w:r>
      <w:r w:rsidRPr="000D2EA6">
        <w:rPr>
          <w:vertAlign w:val="superscript"/>
        </w:rPr>
        <w:t>th</w:t>
      </w:r>
      <w:r>
        <w:t xml:space="preserve"> at 1,216.01, hit a closing low on September 22</w:t>
      </w:r>
      <w:r w:rsidRPr="000D2EA6">
        <w:rPr>
          <w:vertAlign w:val="superscript"/>
        </w:rPr>
        <w:t>nd</w:t>
      </w:r>
      <w:r>
        <w:t xml:space="preserve"> at 1,129.56, then traded to a new lower high on September 27</w:t>
      </w:r>
      <w:r w:rsidRPr="000D2EA6">
        <w:rPr>
          <w:vertAlign w:val="superscript"/>
        </w:rPr>
        <w:t>th</w:t>
      </w:r>
      <w:r>
        <w:t xml:space="preserve"> when it closed at 1,175.38, and finally traded to a new closing low on October 3</w:t>
      </w:r>
      <w:r w:rsidRPr="000D2EA6">
        <w:rPr>
          <w:vertAlign w:val="superscript"/>
        </w:rPr>
        <w:t>rd</w:t>
      </w:r>
      <w:r>
        <w:t xml:space="preserve"> at 1,099.23.  This weekend, the markets finished just shy of their upper boundary of the declining trend channel that started with the August sell-off.  This upper boundary stopped two other rally waves over the last month and is likely to stop this week’s rally.  In fact, the markets rallied right up to the upper boundary on Thursday but failed to move higher on Friday.  If the technical levels are correct, then we should see the markets start their next, and probably, their final wave down over the next two to three weeks. This would bring the S&amp;P below 1,050.  If the markets break through this upper boundary, then it may signal that the October 3</w:t>
      </w:r>
      <w:r w:rsidRPr="00EF5116">
        <w:rPr>
          <w:vertAlign w:val="superscript"/>
        </w:rPr>
        <w:t>rd</w:t>
      </w:r>
      <w:r>
        <w:t xml:space="preserve"> low was the bottom of the first larger degree wave down that began with the April 29</w:t>
      </w:r>
      <w:r w:rsidRPr="00EF5116">
        <w:rPr>
          <w:vertAlign w:val="superscript"/>
        </w:rPr>
        <w:t>th</w:t>
      </w:r>
      <w:r>
        <w:t xml:space="preserve"> highs. We could then be in the midst of the larger degree wave up that should retrace 50%-60% of the value lost from the April highs to the October lows.</w:t>
      </w:r>
    </w:p>
    <w:p w:rsidR="000B1C2E" w:rsidRDefault="000B1C2E" w:rsidP="005E0CDD"/>
    <w:p w:rsidR="000B1C2E" w:rsidRPr="00B217FA" w:rsidRDefault="000B1C2E" w:rsidP="005E0CDD">
      <w:r w:rsidRPr="00B217FA">
        <w:t xml:space="preserve">The </w:t>
      </w:r>
      <w:r>
        <w:t xml:space="preserve">Dow Jones </w:t>
      </w:r>
      <w:r w:rsidRPr="00B217FA">
        <w:t>Industrial</w:t>
      </w:r>
      <w:r>
        <w:t xml:space="preserve"> Average </w:t>
      </w:r>
      <w:r w:rsidRPr="00B217FA">
        <w:t xml:space="preserve">finished the week up </w:t>
      </w:r>
      <w:r>
        <w:t>189.74</w:t>
      </w:r>
      <w:r w:rsidRPr="00B217FA">
        <w:t xml:space="preserve"> points, or 1.</w:t>
      </w:r>
      <w:r>
        <w:t>7</w:t>
      </w:r>
      <w:r w:rsidRPr="00B217FA">
        <w:t>%, to close at 1</w:t>
      </w:r>
      <w:r>
        <w:t>1,103.12</w:t>
      </w:r>
      <w:r w:rsidRPr="00B217FA">
        <w:t xml:space="preserve">, and </w:t>
      </w:r>
      <w:r>
        <w:t>is</w:t>
      </w:r>
      <w:r w:rsidRPr="00B217FA">
        <w:t xml:space="preserve"> now down </w:t>
      </w:r>
      <w:r>
        <w:t>4.1</w:t>
      </w:r>
      <w:r w:rsidRPr="00B217FA">
        <w:t xml:space="preserve">% for the year.  The S&amp;P 500 </w:t>
      </w:r>
      <w:r>
        <w:t>gained 24.04</w:t>
      </w:r>
      <w:r w:rsidRPr="00B217FA">
        <w:t xml:space="preserve"> points, or </w:t>
      </w:r>
      <w:r>
        <w:t>2.1%</w:t>
      </w:r>
      <w:r w:rsidRPr="00B217FA">
        <w:t>, this week to close at 1,1</w:t>
      </w:r>
      <w:r>
        <w:t>55.46</w:t>
      </w:r>
      <w:r w:rsidRPr="00B217FA">
        <w:t xml:space="preserve">, and is down </w:t>
      </w:r>
      <w:r>
        <w:t>8.1</w:t>
      </w:r>
      <w:r w:rsidRPr="00B217FA">
        <w:t xml:space="preserve">% year-to-date.  </w:t>
      </w:r>
      <w:r>
        <w:t>T</w:t>
      </w:r>
      <w:r w:rsidRPr="00B217FA">
        <w:t xml:space="preserve">he NASDAQ Composite </w:t>
      </w:r>
      <w:r>
        <w:t xml:space="preserve">added </w:t>
      </w:r>
      <w:r w:rsidRPr="00B217FA">
        <w:t>6</w:t>
      </w:r>
      <w:r>
        <w:t xml:space="preserve">3.95 </w:t>
      </w:r>
      <w:r w:rsidRPr="00B217FA">
        <w:t>points</w:t>
      </w:r>
      <w:r>
        <w:t>,</w:t>
      </w:r>
      <w:r w:rsidRPr="00B217FA">
        <w:t xml:space="preserve"> </w:t>
      </w:r>
      <w:r>
        <w:t xml:space="preserve">or 2.65%, </w:t>
      </w:r>
      <w:r w:rsidRPr="00B217FA">
        <w:t>this week to close at 2,4</w:t>
      </w:r>
      <w:r>
        <w:t>79.35</w:t>
      </w:r>
      <w:r w:rsidRPr="00B217FA">
        <w:t xml:space="preserve">, which is down </w:t>
      </w:r>
      <w:r>
        <w:t>6.5</w:t>
      </w:r>
      <w:r w:rsidRPr="00B217FA">
        <w:t>% this year.</w:t>
      </w:r>
    </w:p>
    <w:p w:rsidR="000B1C2E" w:rsidRPr="00B217FA" w:rsidRDefault="000B1C2E" w:rsidP="005E0CDD"/>
    <w:p w:rsidR="000B1C2E" w:rsidRDefault="000B1C2E" w:rsidP="00873B5B">
      <w:r>
        <w:t xml:space="preserve">If you are skeptical about technical market levels and indicators then you have to ask yourself why the </w:t>
      </w:r>
      <w:smartTag w:uri="urn:schemas-microsoft-com:office:smarttags" w:element="country-region">
        <w:r>
          <w:t>U.S.</w:t>
        </w:r>
      </w:smartTag>
      <w:r>
        <w:t xml:space="preserve"> and global markets rallied this week despite Moody’s downgrading the sovereign debt of </w:t>
      </w:r>
      <w:smartTag w:uri="urn:schemas-microsoft-com:office:smarttags" w:element="country-region">
        <w:r>
          <w:t>Italy</w:t>
        </w:r>
      </w:smartTag>
      <w:r>
        <w:t xml:space="preserve">, downgrading Portuguese and </w:t>
      </w:r>
      <w:smartTag w:uri="urn:schemas-microsoft-com:office:smarttags" w:element="country-region">
        <w:r>
          <w:t>United Kingdom</w:t>
        </w:r>
      </w:smartTag>
      <w:r>
        <w:t xml:space="preserve"> banks, and warning that </w:t>
      </w:r>
      <w:smartTag w:uri="urn:schemas-microsoft-com:office:smarttags" w:element="place">
        <w:smartTag w:uri="urn:schemas-microsoft-com:office:smarttags" w:element="country-region">
          <w:r>
            <w:t>Belgium</w:t>
          </w:r>
        </w:smartTag>
      </w:smartTag>
      <w:r>
        <w:t xml:space="preserve">’s sovereign debt may be downgraded.  It was European debt and banking concerns that were blamed for the September sell-off, so why did they not present an issue this week?  The troubles in </w:t>
      </w:r>
      <w:smartTag w:uri="urn:schemas-microsoft-com:office:smarttags" w:element="place">
        <w:r>
          <w:t>Europe</w:t>
        </w:r>
      </w:smartTag>
      <w:r>
        <w:t xml:space="preserve"> are neither under control nor in any way close to being resolved.  It is only a matter of time before investors choose, or are forced, to focus on these troubled countries.</w:t>
      </w:r>
    </w:p>
    <w:p w:rsidR="000B1C2E" w:rsidRDefault="000B1C2E" w:rsidP="00873B5B">
      <w:r>
        <w:t xml:space="preserve">  </w:t>
      </w:r>
    </w:p>
    <w:p w:rsidR="000B1C2E" w:rsidRDefault="000B1C2E" w:rsidP="00873B5B">
      <w:r>
        <w:t xml:space="preserve">The economic news was mixed once again this week. It was certainly not as encouraging as the CNBC “experts” spun it.  The Commerce Department showed that August construction spending was higher than expected, but factory orders were down more than expected.  The Department of Labor stated that seasonally-adjusted first-time unemployment claims were back over 400,000 last week. The big news came on Friday with the September Jobs Report.  CNBC has turned this into a monthly event as they broadcast live from </w:t>
      </w:r>
      <w:smartTag w:uri="urn:schemas-microsoft-com:office:smarttags" w:element="place">
        <w:r>
          <w:t>Washington</w:t>
        </w:r>
      </w:smartTag>
      <w:r>
        <w:t xml:space="preserve"> in anticipation of the survey’s results.  According to the September survey, 103,000 jobs were added to the economy last month and the July and August numbers were revised higher.  However, when you look beneath the headlines, you will learn that the 103,000 increase included 45,000 striking Verizon workers that </w:t>
      </w:r>
      <w:r>
        <w:lastRenderedPageBreak/>
        <w:t>were rehired.  Does that qualify as adding new jobs to the economy?  I certainly do not see it as a reason to celebrate.</w:t>
      </w:r>
    </w:p>
    <w:p w:rsidR="000B1C2E" w:rsidRDefault="000B1C2E" w:rsidP="00873B5B"/>
    <w:p w:rsidR="000B1C2E" w:rsidRDefault="000B1C2E" w:rsidP="00873B5B">
      <w:r>
        <w:t>Rather than rely on flawed government statistics and surveys, I use what I see from my own window including my clients, friends, and family. Consider yourself if you have cut back where you used to spend thinking twice?  How about your family and friends? Do you think that they have scaled back on anything or many things?  You still see certain malls and restaurants crowded, but their overall volume is down.  Retail promotions at stores advertise steeply discounted prices as they are willing to sell inventory at or close to a loss just to create cash flow and velocity.  In simple terms, economic velocity is the rate at which money and/or goods and services move through the economy.  There is no real velocity in our current economy. Consumers are spending, but not with any urgency and there is data to support this premise.</w:t>
      </w:r>
    </w:p>
    <w:p w:rsidR="000B1C2E" w:rsidRDefault="000B1C2E" w:rsidP="00873B5B"/>
    <w:p w:rsidR="000B1C2E" w:rsidRDefault="000B1C2E" w:rsidP="00091C2F">
      <w:pPr>
        <w:rPr>
          <w:color w:val="000000"/>
        </w:rPr>
      </w:pPr>
      <w:r>
        <w:t xml:space="preserve">I appreciate your feedback and referrals in recent weeks.  A referral is the greatest compliment and validation of our advice, expertise and service.  As always, </w:t>
      </w:r>
      <w:r w:rsidRPr="00B217FA">
        <w:rPr>
          <w:color w:val="000000"/>
        </w:rPr>
        <w:t xml:space="preserve">I welcome your comments and enjoy reading your feedback regarding my letters. I want to thank you </w:t>
      </w:r>
      <w:r>
        <w:rPr>
          <w:color w:val="000000"/>
        </w:rPr>
        <w:t>again f</w:t>
      </w:r>
      <w:r w:rsidRPr="00B217FA">
        <w:rPr>
          <w:color w:val="000000"/>
        </w:rPr>
        <w:t xml:space="preserve">or your referrals and confidence.  A referral is the greatest validation of our service and commitment.  </w:t>
      </w:r>
    </w:p>
    <w:p w:rsidR="000B1C2E" w:rsidRDefault="000B1C2E" w:rsidP="00091C2F">
      <w:pPr>
        <w:rPr>
          <w:color w:val="000000"/>
        </w:rPr>
      </w:pPr>
    </w:p>
    <w:p w:rsidR="000B1C2E" w:rsidRPr="00B217FA" w:rsidRDefault="000B1C2E" w:rsidP="00091C2F">
      <w:pPr>
        <w:rPr>
          <w:color w:val="000000"/>
        </w:rPr>
      </w:pPr>
      <w:r w:rsidRPr="00B217FA">
        <w:rPr>
          <w:color w:val="000000"/>
        </w:rPr>
        <w:t xml:space="preserve">If you have any questions, please do not hesitate to call.  Our mission is to be your trusted financial professionals dedicated to delivering a high level of service to enhance your lifestyle and provide peace of mind.  </w:t>
      </w:r>
    </w:p>
    <w:p w:rsidR="000B1C2E" w:rsidRPr="00B217FA" w:rsidRDefault="000B1C2E" w:rsidP="00CD5BAF">
      <w:pPr>
        <w:pStyle w:val="NormalWeb"/>
        <w:spacing w:before="0" w:beforeAutospacing="0" w:after="0" w:afterAutospacing="0"/>
        <w:rPr>
          <w:color w:val="000000"/>
        </w:rPr>
      </w:pPr>
      <w:r w:rsidRPr="00B217FA">
        <w:rPr>
          <w:color w:val="000000"/>
        </w:rPr>
        <w:t> </w:t>
      </w:r>
    </w:p>
    <w:p w:rsidR="000B1C2E" w:rsidRPr="007C7E8F" w:rsidRDefault="000B1C2E" w:rsidP="00CD5BAF">
      <w:pPr>
        <w:pStyle w:val="NormalWeb"/>
        <w:spacing w:before="0" w:beforeAutospacing="0" w:after="0" w:afterAutospacing="0"/>
        <w:rPr>
          <w:color w:val="000000"/>
        </w:rPr>
      </w:pPr>
      <w:r w:rsidRPr="007C7E8F">
        <w:rPr>
          <w:color w:val="000000"/>
        </w:rPr>
        <w:t>﻿﻿Best Regards,</w:t>
      </w:r>
    </w:p>
    <w:p w:rsidR="000B1C2E" w:rsidRDefault="000B1C2E" w:rsidP="00CD5BAF">
      <w:pPr>
        <w:pStyle w:val="NormalWeb"/>
        <w:spacing w:before="0" w:beforeAutospacing="0" w:after="0" w:afterAutospacing="0"/>
        <w:rPr>
          <w:color w:val="000000"/>
        </w:rPr>
      </w:pPr>
      <w:r>
        <w:rPr>
          <w:color w:val="000000"/>
        </w:rPr>
        <w:t> </w:t>
      </w:r>
    </w:p>
    <w:p w:rsidR="000B1C2E" w:rsidRDefault="000B1C2E"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0B1C2E" w:rsidRDefault="000B1C2E"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0B1C2E" w:rsidRDefault="000B1C2E" w:rsidP="00CD5BAF">
      <w:pPr>
        <w:pStyle w:val="NormalWeb"/>
        <w:spacing w:before="0" w:beforeAutospacing="0" w:after="0" w:afterAutospacing="0"/>
        <w:rPr>
          <w:color w:val="000000"/>
        </w:rPr>
      </w:pPr>
      <w:r>
        <w:rPr>
          <w:color w:val="000000"/>
          <w:sz w:val="22"/>
          <w:szCs w:val="22"/>
        </w:rPr>
        <w:t>Summit Asset Management, Inc.</w:t>
      </w:r>
    </w:p>
    <w:p w:rsidR="000B1C2E" w:rsidRDefault="003C5606" w:rsidP="00CD5BAF">
      <w:pPr>
        <w:pStyle w:val="NormalWeb"/>
        <w:spacing w:before="0" w:beforeAutospacing="0" w:after="0" w:afterAutospacing="0"/>
        <w:rPr>
          <w:color w:val="000000"/>
        </w:rPr>
      </w:pPr>
      <w:hyperlink r:id="rId6" w:tgtFrame="_blank" w:history="1">
        <w:r w:rsidR="000B1C2E">
          <w:rPr>
            <w:rStyle w:val="Hyperlink"/>
            <w:sz w:val="22"/>
            <w:szCs w:val="22"/>
          </w:rPr>
          <w:t>www.summitasset.com</w:t>
        </w:r>
      </w:hyperlink>
    </w:p>
    <w:p w:rsidR="000B1C2E" w:rsidRDefault="000B1C2E" w:rsidP="00CD5BAF">
      <w:pPr>
        <w:pStyle w:val="NormalWeb"/>
        <w:spacing w:before="0" w:beforeAutospacing="0" w:after="0" w:afterAutospacing="0"/>
        <w:rPr>
          <w:color w:val="000000"/>
        </w:rPr>
      </w:pPr>
      <w:r>
        <w:rPr>
          <w:color w:val="000000"/>
          <w:sz w:val="22"/>
          <w:szCs w:val="22"/>
        </w:rPr>
        <w:t>973-301-2360</w:t>
      </w:r>
    </w:p>
    <w:p w:rsidR="000B1C2E" w:rsidRDefault="000B1C2E" w:rsidP="00CD5BAF">
      <w:pPr>
        <w:pStyle w:val="NormalWeb"/>
        <w:spacing w:before="0" w:beforeAutospacing="0" w:after="0" w:afterAutospacing="0"/>
        <w:rPr>
          <w:color w:val="000000"/>
        </w:rPr>
      </w:pPr>
      <w:r>
        <w:rPr>
          <w:color w:val="000000"/>
          <w:sz w:val="22"/>
          <w:szCs w:val="22"/>
        </w:rPr>
        <w:t>973-301-2370 Fax</w:t>
      </w:r>
    </w:p>
    <w:p w:rsidR="000B1C2E" w:rsidRDefault="000B1C2E"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0B1C2E" w:rsidRDefault="000B1C2E" w:rsidP="00CD5BAF">
      <w:pPr>
        <w:pStyle w:val="NormalWeb"/>
        <w:spacing w:before="0" w:beforeAutospacing="0" w:after="0" w:afterAutospacing="0"/>
        <w:rPr>
          <w:color w:val="000000"/>
        </w:rPr>
      </w:pPr>
      <w:r>
        <w:rPr>
          <w:color w:val="000000"/>
          <w:sz w:val="15"/>
          <w:szCs w:val="15"/>
        </w:rPr>
        <w:t>Member FINRA SIPC</w:t>
      </w:r>
    </w:p>
    <w:p w:rsidR="000B1C2E" w:rsidRDefault="000B1C2E" w:rsidP="00CD5BAF">
      <w:pPr>
        <w:pStyle w:val="NormalWeb"/>
        <w:spacing w:before="0" w:beforeAutospacing="0" w:after="0" w:afterAutospacing="0"/>
        <w:rPr>
          <w:color w:val="000000"/>
        </w:rPr>
      </w:pPr>
      <w:r>
        <w:rPr>
          <w:color w:val="000000"/>
        </w:rPr>
        <w:t> </w:t>
      </w:r>
    </w:p>
    <w:p w:rsidR="000B1C2E" w:rsidRDefault="000B1C2E"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0B1C2E" w:rsidRDefault="000B1C2E" w:rsidP="00CD5BAF">
      <w:pPr>
        <w:pStyle w:val="NormalWeb"/>
        <w:spacing w:before="0" w:beforeAutospacing="0" w:after="0" w:afterAutospacing="0"/>
        <w:rPr>
          <w:color w:val="000000"/>
        </w:rPr>
      </w:pPr>
      <w:r>
        <w:rPr>
          <w:b/>
          <w:bCs/>
          <w:color w:val="000000"/>
        </w:rPr>
        <w:t> </w:t>
      </w:r>
    </w:p>
    <w:p w:rsidR="000B1C2E" w:rsidRDefault="000B1C2E" w:rsidP="00873B5B"/>
    <w:p w:rsidR="000B1C2E" w:rsidRDefault="000B1C2E" w:rsidP="00873B5B"/>
    <w:p w:rsidR="000B1C2E" w:rsidRDefault="000B1C2E" w:rsidP="00873B5B"/>
    <w:p w:rsidR="000B1C2E" w:rsidRPr="00771636" w:rsidRDefault="000B1C2E" w:rsidP="00873B5B">
      <w:r>
        <w:t xml:space="preserve"> </w:t>
      </w:r>
    </w:p>
    <w:sectPr w:rsidR="000B1C2E"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37E6"/>
    <w:rsid w:val="00014E0D"/>
    <w:rsid w:val="00023090"/>
    <w:rsid w:val="00030D0E"/>
    <w:rsid w:val="0003196E"/>
    <w:rsid w:val="00037850"/>
    <w:rsid w:val="00047560"/>
    <w:rsid w:val="00056050"/>
    <w:rsid w:val="00060749"/>
    <w:rsid w:val="000645C5"/>
    <w:rsid w:val="0006786E"/>
    <w:rsid w:val="00072749"/>
    <w:rsid w:val="000730C6"/>
    <w:rsid w:val="000828C2"/>
    <w:rsid w:val="00086D7F"/>
    <w:rsid w:val="00087C9F"/>
    <w:rsid w:val="00087ECD"/>
    <w:rsid w:val="000904B7"/>
    <w:rsid w:val="00091C2F"/>
    <w:rsid w:val="000931D0"/>
    <w:rsid w:val="00093801"/>
    <w:rsid w:val="00093BF4"/>
    <w:rsid w:val="000A16FB"/>
    <w:rsid w:val="000A2464"/>
    <w:rsid w:val="000A31DC"/>
    <w:rsid w:val="000A464E"/>
    <w:rsid w:val="000A5206"/>
    <w:rsid w:val="000B1C2E"/>
    <w:rsid w:val="000B23B6"/>
    <w:rsid w:val="000B3B04"/>
    <w:rsid w:val="000B4155"/>
    <w:rsid w:val="000C4CA3"/>
    <w:rsid w:val="000D2EA6"/>
    <w:rsid w:val="000D347D"/>
    <w:rsid w:val="000D6FF7"/>
    <w:rsid w:val="000D73A6"/>
    <w:rsid w:val="000E5661"/>
    <w:rsid w:val="000E6585"/>
    <w:rsid w:val="000E7B79"/>
    <w:rsid w:val="0010009C"/>
    <w:rsid w:val="001015C3"/>
    <w:rsid w:val="0010212A"/>
    <w:rsid w:val="001021BA"/>
    <w:rsid w:val="00107559"/>
    <w:rsid w:val="001077AC"/>
    <w:rsid w:val="00112BCF"/>
    <w:rsid w:val="00113EF7"/>
    <w:rsid w:val="00113FF8"/>
    <w:rsid w:val="0011587A"/>
    <w:rsid w:val="001169B9"/>
    <w:rsid w:val="00116E1B"/>
    <w:rsid w:val="0012240C"/>
    <w:rsid w:val="00123944"/>
    <w:rsid w:val="00130962"/>
    <w:rsid w:val="00136689"/>
    <w:rsid w:val="00137B6B"/>
    <w:rsid w:val="001417AB"/>
    <w:rsid w:val="00141D6C"/>
    <w:rsid w:val="00143733"/>
    <w:rsid w:val="0014749C"/>
    <w:rsid w:val="001565F3"/>
    <w:rsid w:val="00156966"/>
    <w:rsid w:val="00156A2E"/>
    <w:rsid w:val="00164CF9"/>
    <w:rsid w:val="00173B7E"/>
    <w:rsid w:val="001804E3"/>
    <w:rsid w:val="001872B6"/>
    <w:rsid w:val="001962E6"/>
    <w:rsid w:val="001A45ED"/>
    <w:rsid w:val="001A71C5"/>
    <w:rsid w:val="001B5500"/>
    <w:rsid w:val="001D374C"/>
    <w:rsid w:val="001D3B95"/>
    <w:rsid w:val="001D457C"/>
    <w:rsid w:val="001E088B"/>
    <w:rsid w:val="001E381B"/>
    <w:rsid w:val="001F31AB"/>
    <w:rsid w:val="001F617E"/>
    <w:rsid w:val="00203616"/>
    <w:rsid w:val="00210C57"/>
    <w:rsid w:val="0021254C"/>
    <w:rsid w:val="002130FC"/>
    <w:rsid w:val="0021315E"/>
    <w:rsid w:val="00216442"/>
    <w:rsid w:val="002174A4"/>
    <w:rsid w:val="00220F7D"/>
    <w:rsid w:val="00230571"/>
    <w:rsid w:val="0023653B"/>
    <w:rsid w:val="002374BE"/>
    <w:rsid w:val="00240816"/>
    <w:rsid w:val="0024234F"/>
    <w:rsid w:val="00243927"/>
    <w:rsid w:val="0024773C"/>
    <w:rsid w:val="00247CD7"/>
    <w:rsid w:val="00254A23"/>
    <w:rsid w:val="0025566E"/>
    <w:rsid w:val="00270B0D"/>
    <w:rsid w:val="00272BE5"/>
    <w:rsid w:val="00272EA2"/>
    <w:rsid w:val="00273708"/>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6F9C"/>
    <w:rsid w:val="002E1BFC"/>
    <w:rsid w:val="002E545B"/>
    <w:rsid w:val="002E5EC0"/>
    <w:rsid w:val="002E6573"/>
    <w:rsid w:val="002F0167"/>
    <w:rsid w:val="002F3CA8"/>
    <w:rsid w:val="003028EA"/>
    <w:rsid w:val="00306CE1"/>
    <w:rsid w:val="0031518A"/>
    <w:rsid w:val="0031659F"/>
    <w:rsid w:val="003171B9"/>
    <w:rsid w:val="00320A64"/>
    <w:rsid w:val="00325FB4"/>
    <w:rsid w:val="00333191"/>
    <w:rsid w:val="00346782"/>
    <w:rsid w:val="00351029"/>
    <w:rsid w:val="00351776"/>
    <w:rsid w:val="003527B9"/>
    <w:rsid w:val="00362496"/>
    <w:rsid w:val="003627F7"/>
    <w:rsid w:val="003629AD"/>
    <w:rsid w:val="00371617"/>
    <w:rsid w:val="00375DDB"/>
    <w:rsid w:val="00377BCC"/>
    <w:rsid w:val="00383E6A"/>
    <w:rsid w:val="003876C9"/>
    <w:rsid w:val="003922B4"/>
    <w:rsid w:val="00396510"/>
    <w:rsid w:val="003A354B"/>
    <w:rsid w:val="003A6227"/>
    <w:rsid w:val="003B1598"/>
    <w:rsid w:val="003B4190"/>
    <w:rsid w:val="003C0B33"/>
    <w:rsid w:val="003C5606"/>
    <w:rsid w:val="003E4A3B"/>
    <w:rsid w:val="003F6EFF"/>
    <w:rsid w:val="00401C9A"/>
    <w:rsid w:val="004034C0"/>
    <w:rsid w:val="004128FD"/>
    <w:rsid w:val="00415CD3"/>
    <w:rsid w:val="00424431"/>
    <w:rsid w:val="00425AF4"/>
    <w:rsid w:val="004277C3"/>
    <w:rsid w:val="00434D3E"/>
    <w:rsid w:val="004402D6"/>
    <w:rsid w:val="0044674C"/>
    <w:rsid w:val="00447C4E"/>
    <w:rsid w:val="004509B3"/>
    <w:rsid w:val="0045754C"/>
    <w:rsid w:val="00464DFF"/>
    <w:rsid w:val="0047143E"/>
    <w:rsid w:val="00476070"/>
    <w:rsid w:val="00477412"/>
    <w:rsid w:val="00480AFC"/>
    <w:rsid w:val="004817F4"/>
    <w:rsid w:val="004900FD"/>
    <w:rsid w:val="0049190A"/>
    <w:rsid w:val="00493D2C"/>
    <w:rsid w:val="00494534"/>
    <w:rsid w:val="00497816"/>
    <w:rsid w:val="004B0315"/>
    <w:rsid w:val="004B2F32"/>
    <w:rsid w:val="004B4AE7"/>
    <w:rsid w:val="004B7D77"/>
    <w:rsid w:val="004C0867"/>
    <w:rsid w:val="004C0EFE"/>
    <w:rsid w:val="004C557C"/>
    <w:rsid w:val="004D1CF2"/>
    <w:rsid w:val="004D34FA"/>
    <w:rsid w:val="004E29F6"/>
    <w:rsid w:val="004E4347"/>
    <w:rsid w:val="004F0BF0"/>
    <w:rsid w:val="004F1456"/>
    <w:rsid w:val="004F3850"/>
    <w:rsid w:val="004F3A23"/>
    <w:rsid w:val="004F5143"/>
    <w:rsid w:val="004F62F9"/>
    <w:rsid w:val="0051205A"/>
    <w:rsid w:val="005133B0"/>
    <w:rsid w:val="00522642"/>
    <w:rsid w:val="0052537C"/>
    <w:rsid w:val="0053099E"/>
    <w:rsid w:val="005369FD"/>
    <w:rsid w:val="0054362C"/>
    <w:rsid w:val="0055400B"/>
    <w:rsid w:val="005569A7"/>
    <w:rsid w:val="00563005"/>
    <w:rsid w:val="00581244"/>
    <w:rsid w:val="005845EC"/>
    <w:rsid w:val="005932CA"/>
    <w:rsid w:val="005A7823"/>
    <w:rsid w:val="005B39BD"/>
    <w:rsid w:val="005B7A4E"/>
    <w:rsid w:val="005C18BA"/>
    <w:rsid w:val="005C21EE"/>
    <w:rsid w:val="005C7A71"/>
    <w:rsid w:val="005D2EE4"/>
    <w:rsid w:val="005D2F0F"/>
    <w:rsid w:val="005D543A"/>
    <w:rsid w:val="005D5EC1"/>
    <w:rsid w:val="005E0CDD"/>
    <w:rsid w:val="005E16A6"/>
    <w:rsid w:val="005E177B"/>
    <w:rsid w:val="005E209E"/>
    <w:rsid w:val="005E39DA"/>
    <w:rsid w:val="005F14D2"/>
    <w:rsid w:val="005F1753"/>
    <w:rsid w:val="005F7182"/>
    <w:rsid w:val="005F74FC"/>
    <w:rsid w:val="005F7B51"/>
    <w:rsid w:val="00602715"/>
    <w:rsid w:val="00604CED"/>
    <w:rsid w:val="00604EB2"/>
    <w:rsid w:val="00610B66"/>
    <w:rsid w:val="00615F2E"/>
    <w:rsid w:val="00616368"/>
    <w:rsid w:val="00616D42"/>
    <w:rsid w:val="00630893"/>
    <w:rsid w:val="00632E8F"/>
    <w:rsid w:val="00637416"/>
    <w:rsid w:val="00640653"/>
    <w:rsid w:val="0064189F"/>
    <w:rsid w:val="00642CEE"/>
    <w:rsid w:val="00643553"/>
    <w:rsid w:val="0065067E"/>
    <w:rsid w:val="00661568"/>
    <w:rsid w:val="00661E3E"/>
    <w:rsid w:val="006704E2"/>
    <w:rsid w:val="0068023F"/>
    <w:rsid w:val="0068054F"/>
    <w:rsid w:val="0068589D"/>
    <w:rsid w:val="006876F6"/>
    <w:rsid w:val="00687E66"/>
    <w:rsid w:val="006970D6"/>
    <w:rsid w:val="006A44B0"/>
    <w:rsid w:val="006A7404"/>
    <w:rsid w:val="006B0499"/>
    <w:rsid w:val="006C190E"/>
    <w:rsid w:val="006C3446"/>
    <w:rsid w:val="006C5A31"/>
    <w:rsid w:val="006C7400"/>
    <w:rsid w:val="006C79F2"/>
    <w:rsid w:val="006D34F8"/>
    <w:rsid w:val="006E3261"/>
    <w:rsid w:val="006E3A89"/>
    <w:rsid w:val="006E4092"/>
    <w:rsid w:val="006E4AC3"/>
    <w:rsid w:val="006E4CBC"/>
    <w:rsid w:val="006E5941"/>
    <w:rsid w:val="00701D99"/>
    <w:rsid w:val="007027CD"/>
    <w:rsid w:val="007049E5"/>
    <w:rsid w:val="0071097B"/>
    <w:rsid w:val="0071457B"/>
    <w:rsid w:val="0072220B"/>
    <w:rsid w:val="00736FD9"/>
    <w:rsid w:val="007409E2"/>
    <w:rsid w:val="0074141B"/>
    <w:rsid w:val="00742A7C"/>
    <w:rsid w:val="00743637"/>
    <w:rsid w:val="00750EDE"/>
    <w:rsid w:val="00760AED"/>
    <w:rsid w:val="00760B9F"/>
    <w:rsid w:val="007636C5"/>
    <w:rsid w:val="0076381B"/>
    <w:rsid w:val="00765F23"/>
    <w:rsid w:val="00767457"/>
    <w:rsid w:val="0077161E"/>
    <w:rsid w:val="00771636"/>
    <w:rsid w:val="00774A4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3341"/>
    <w:rsid w:val="007C3A91"/>
    <w:rsid w:val="007C4E12"/>
    <w:rsid w:val="007C7E8F"/>
    <w:rsid w:val="007D6798"/>
    <w:rsid w:val="007D7B62"/>
    <w:rsid w:val="007D7D7A"/>
    <w:rsid w:val="007E1B4C"/>
    <w:rsid w:val="007F1400"/>
    <w:rsid w:val="007F1FEF"/>
    <w:rsid w:val="007F23F7"/>
    <w:rsid w:val="007F50AC"/>
    <w:rsid w:val="00802BE8"/>
    <w:rsid w:val="0080305C"/>
    <w:rsid w:val="00812AA4"/>
    <w:rsid w:val="00815368"/>
    <w:rsid w:val="00815C90"/>
    <w:rsid w:val="008350A6"/>
    <w:rsid w:val="00841354"/>
    <w:rsid w:val="00844686"/>
    <w:rsid w:val="00846842"/>
    <w:rsid w:val="0085175D"/>
    <w:rsid w:val="00851DCC"/>
    <w:rsid w:val="00873B5B"/>
    <w:rsid w:val="008756B9"/>
    <w:rsid w:val="00875C90"/>
    <w:rsid w:val="008760B8"/>
    <w:rsid w:val="0087673D"/>
    <w:rsid w:val="008772AB"/>
    <w:rsid w:val="008852B8"/>
    <w:rsid w:val="00886085"/>
    <w:rsid w:val="00890F17"/>
    <w:rsid w:val="00891675"/>
    <w:rsid w:val="008B2822"/>
    <w:rsid w:val="008D1C95"/>
    <w:rsid w:val="008D29AC"/>
    <w:rsid w:val="008D33D0"/>
    <w:rsid w:val="008D3A1C"/>
    <w:rsid w:val="008D485E"/>
    <w:rsid w:val="008D512A"/>
    <w:rsid w:val="008D5EB2"/>
    <w:rsid w:val="008D6D76"/>
    <w:rsid w:val="008E2524"/>
    <w:rsid w:val="008E3951"/>
    <w:rsid w:val="008F1F45"/>
    <w:rsid w:val="008F390C"/>
    <w:rsid w:val="008F3DBB"/>
    <w:rsid w:val="008F68D7"/>
    <w:rsid w:val="00903F4B"/>
    <w:rsid w:val="0090678E"/>
    <w:rsid w:val="00911249"/>
    <w:rsid w:val="009115EC"/>
    <w:rsid w:val="009145BF"/>
    <w:rsid w:val="009173FF"/>
    <w:rsid w:val="00924B70"/>
    <w:rsid w:val="00925C2F"/>
    <w:rsid w:val="00931380"/>
    <w:rsid w:val="009370B9"/>
    <w:rsid w:val="00945252"/>
    <w:rsid w:val="00950B57"/>
    <w:rsid w:val="00952289"/>
    <w:rsid w:val="00965B77"/>
    <w:rsid w:val="00967FCD"/>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C0D23"/>
    <w:rsid w:val="009D2326"/>
    <w:rsid w:val="009D3A39"/>
    <w:rsid w:val="009E7D8F"/>
    <w:rsid w:val="00A066B0"/>
    <w:rsid w:val="00A07375"/>
    <w:rsid w:val="00A120A5"/>
    <w:rsid w:val="00A16C12"/>
    <w:rsid w:val="00A247A2"/>
    <w:rsid w:val="00A30EAB"/>
    <w:rsid w:val="00A32354"/>
    <w:rsid w:val="00A37C5A"/>
    <w:rsid w:val="00A465A8"/>
    <w:rsid w:val="00A50C33"/>
    <w:rsid w:val="00A5762D"/>
    <w:rsid w:val="00A601E2"/>
    <w:rsid w:val="00A6046B"/>
    <w:rsid w:val="00A61D83"/>
    <w:rsid w:val="00A73959"/>
    <w:rsid w:val="00A76077"/>
    <w:rsid w:val="00A851A3"/>
    <w:rsid w:val="00A918B3"/>
    <w:rsid w:val="00A91966"/>
    <w:rsid w:val="00AB1D89"/>
    <w:rsid w:val="00AB2E62"/>
    <w:rsid w:val="00AC2DBD"/>
    <w:rsid w:val="00AD185C"/>
    <w:rsid w:val="00AD2EC8"/>
    <w:rsid w:val="00AE2959"/>
    <w:rsid w:val="00AE7BE1"/>
    <w:rsid w:val="00AF23AC"/>
    <w:rsid w:val="00AF7078"/>
    <w:rsid w:val="00B04AB8"/>
    <w:rsid w:val="00B10159"/>
    <w:rsid w:val="00B12C0F"/>
    <w:rsid w:val="00B2012D"/>
    <w:rsid w:val="00B20D85"/>
    <w:rsid w:val="00B217FA"/>
    <w:rsid w:val="00B242F5"/>
    <w:rsid w:val="00B27703"/>
    <w:rsid w:val="00B33A8D"/>
    <w:rsid w:val="00B41FE4"/>
    <w:rsid w:val="00B5569A"/>
    <w:rsid w:val="00B5731B"/>
    <w:rsid w:val="00B6397A"/>
    <w:rsid w:val="00B66D78"/>
    <w:rsid w:val="00B71B5C"/>
    <w:rsid w:val="00B730BA"/>
    <w:rsid w:val="00B7349D"/>
    <w:rsid w:val="00B90CD7"/>
    <w:rsid w:val="00B92750"/>
    <w:rsid w:val="00B937D5"/>
    <w:rsid w:val="00B9704A"/>
    <w:rsid w:val="00BA5B0F"/>
    <w:rsid w:val="00BA67B9"/>
    <w:rsid w:val="00BA71A3"/>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D04D7"/>
    <w:rsid w:val="00CD22B3"/>
    <w:rsid w:val="00CD2DA0"/>
    <w:rsid w:val="00CD5BAF"/>
    <w:rsid w:val="00CE587E"/>
    <w:rsid w:val="00CE5AD3"/>
    <w:rsid w:val="00CF0045"/>
    <w:rsid w:val="00CF4DB9"/>
    <w:rsid w:val="00D008FD"/>
    <w:rsid w:val="00D00E31"/>
    <w:rsid w:val="00D02FD1"/>
    <w:rsid w:val="00D12CAA"/>
    <w:rsid w:val="00D13595"/>
    <w:rsid w:val="00D1405D"/>
    <w:rsid w:val="00D35765"/>
    <w:rsid w:val="00D36B58"/>
    <w:rsid w:val="00D40570"/>
    <w:rsid w:val="00D54F29"/>
    <w:rsid w:val="00D774ED"/>
    <w:rsid w:val="00D81367"/>
    <w:rsid w:val="00D87D14"/>
    <w:rsid w:val="00D907B2"/>
    <w:rsid w:val="00D90E0E"/>
    <w:rsid w:val="00D9505D"/>
    <w:rsid w:val="00DA377F"/>
    <w:rsid w:val="00DB44AB"/>
    <w:rsid w:val="00DB5205"/>
    <w:rsid w:val="00DC42D2"/>
    <w:rsid w:val="00DC7661"/>
    <w:rsid w:val="00DE0185"/>
    <w:rsid w:val="00DE21B2"/>
    <w:rsid w:val="00DF05E7"/>
    <w:rsid w:val="00DF087F"/>
    <w:rsid w:val="00DF4716"/>
    <w:rsid w:val="00E0144B"/>
    <w:rsid w:val="00E01478"/>
    <w:rsid w:val="00E05DC3"/>
    <w:rsid w:val="00E06127"/>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388E"/>
    <w:rsid w:val="00EA0218"/>
    <w:rsid w:val="00EB293F"/>
    <w:rsid w:val="00EB2BEE"/>
    <w:rsid w:val="00EB57C1"/>
    <w:rsid w:val="00EC1C87"/>
    <w:rsid w:val="00EC20A0"/>
    <w:rsid w:val="00EC36F8"/>
    <w:rsid w:val="00ED08F9"/>
    <w:rsid w:val="00EE3294"/>
    <w:rsid w:val="00EE3415"/>
    <w:rsid w:val="00EE7FD3"/>
    <w:rsid w:val="00EF5116"/>
    <w:rsid w:val="00EF6C37"/>
    <w:rsid w:val="00F0475D"/>
    <w:rsid w:val="00F066FC"/>
    <w:rsid w:val="00F151A1"/>
    <w:rsid w:val="00F16268"/>
    <w:rsid w:val="00F27F12"/>
    <w:rsid w:val="00F322CB"/>
    <w:rsid w:val="00F33FC5"/>
    <w:rsid w:val="00F37088"/>
    <w:rsid w:val="00F41978"/>
    <w:rsid w:val="00F43036"/>
    <w:rsid w:val="00F479E7"/>
    <w:rsid w:val="00F508C6"/>
    <w:rsid w:val="00F513D7"/>
    <w:rsid w:val="00F53E4E"/>
    <w:rsid w:val="00F64470"/>
    <w:rsid w:val="00F724FF"/>
    <w:rsid w:val="00F82467"/>
    <w:rsid w:val="00FA526D"/>
    <w:rsid w:val="00FA6940"/>
    <w:rsid w:val="00FB72D7"/>
    <w:rsid w:val="00FB7CD0"/>
    <w:rsid w:val="00FC0947"/>
    <w:rsid w:val="00FC0BFD"/>
    <w:rsid w:val="00FD1173"/>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830258">
      <w:marLeft w:val="0"/>
      <w:marRight w:val="0"/>
      <w:marTop w:val="0"/>
      <w:marBottom w:val="0"/>
      <w:divBdr>
        <w:top w:val="none" w:sz="0" w:space="0" w:color="auto"/>
        <w:left w:val="none" w:sz="0" w:space="0" w:color="auto"/>
        <w:bottom w:val="none" w:sz="0" w:space="0" w:color="auto"/>
        <w:right w:val="none" w:sz="0" w:space="0" w:color="auto"/>
      </w:divBdr>
      <w:divsChild>
        <w:div w:id="1474830245">
          <w:marLeft w:val="0"/>
          <w:marRight w:val="0"/>
          <w:marTop w:val="0"/>
          <w:marBottom w:val="0"/>
          <w:divBdr>
            <w:top w:val="none" w:sz="0" w:space="0" w:color="auto"/>
            <w:left w:val="none" w:sz="0" w:space="0" w:color="auto"/>
            <w:bottom w:val="none" w:sz="0" w:space="0" w:color="auto"/>
            <w:right w:val="none" w:sz="0" w:space="0" w:color="auto"/>
          </w:divBdr>
          <w:divsChild>
            <w:div w:id="1474830256">
              <w:marLeft w:val="0"/>
              <w:marRight w:val="0"/>
              <w:marTop w:val="0"/>
              <w:marBottom w:val="0"/>
              <w:divBdr>
                <w:top w:val="none" w:sz="0" w:space="0" w:color="auto"/>
                <w:left w:val="none" w:sz="0" w:space="0" w:color="auto"/>
                <w:bottom w:val="none" w:sz="0" w:space="0" w:color="auto"/>
                <w:right w:val="none" w:sz="0" w:space="0" w:color="auto"/>
              </w:divBdr>
              <w:divsChild>
                <w:div w:id="1474830247">
                  <w:marLeft w:val="0"/>
                  <w:marRight w:val="0"/>
                  <w:marTop w:val="0"/>
                  <w:marBottom w:val="0"/>
                  <w:divBdr>
                    <w:top w:val="none" w:sz="0" w:space="0" w:color="auto"/>
                    <w:left w:val="none" w:sz="0" w:space="0" w:color="auto"/>
                    <w:bottom w:val="none" w:sz="0" w:space="0" w:color="auto"/>
                    <w:right w:val="none" w:sz="0" w:space="0" w:color="auto"/>
                  </w:divBdr>
                  <w:divsChild>
                    <w:div w:id="1474830251">
                      <w:marLeft w:val="0"/>
                      <w:marRight w:val="0"/>
                      <w:marTop w:val="0"/>
                      <w:marBottom w:val="0"/>
                      <w:divBdr>
                        <w:top w:val="none" w:sz="0" w:space="0" w:color="auto"/>
                        <w:left w:val="none" w:sz="0" w:space="0" w:color="auto"/>
                        <w:bottom w:val="none" w:sz="0" w:space="0" w:color="auto"/>
                        <w:right w:val="none" w:sz="0" w:space="0" w:color="auto"/>
                      </w:divBdr>
                      <w:divsChild>
                        <w:div w:id="1474830252">
                          <w:marLeft w:val="0"/>
                          <w:marRight w:val="0"/>
                          <w:marTop w:val="0"/>
                          <w:marBottom w:val="0"/>
                          <w:divBdr>
                            <w:top w:val="none" w:sz="0" w:space="0" w:color="auto"/>
                            <w:left w:val="none" w:sz="0" w:space="0" w:color="auto"/>
                            <w:bottom w:val="none" w:sz="0" w:space="0" w:color="auto"/>
                            <w:right w:val="none" w:sz="0" w:space="0" w:color="auto"/>
                          </w:divBdr>
                          <w:divsChild>
                            <w:div w:id="1474830250">
                              <w:marLeft w:val="0"/>
                              <w:marRight w:val="0"/>
                              <w:marTop w:val="0"/>
                              <w:marBottom w:val="0"/>
                              <w:divBdr>
                                <w:top w:val="none" w:sz="0" w:space="0" w:color="auto"/>
                                <w:left w:val="none" w:sz="0" w:space="0" w:color="auto"/>
                                <w:bottom w:val="none" w:sz="0" w:space="0" w:color="auto"/>
                                <w:right w:val="none" w:sz="0" w:space="0" w:color="auto"/>
                              </w:divBdr>
                              <w:divsChild>
                                <w:div w:id="1474830255">
                                  <w:marLeft w:val="0"/>
                                  <w:marRight w:val="0"/>
                                  <w:marTop w:val="0"/>
                                  <w:marBottom w:val="0"/>
                                  <w:divBdr>
                                    <w:top w:val="none" w:sz="0" w:space="0" w:color="auto"/>
                                    <w:left w:val="none" w:sz="0" w:space="0" w:color="auto"/>
                                    <w:bottom w:val="none" w:sz="0" w:space="0" w:color="auto"/>
                                    <w:right w:val="none" w:sz="0" w:space="0" w:color="auto"/>
                                  </w:divBdr>
                                  <w:divsChild>
                                    <w:div w:id="14748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259">
                              <w:marLeft w:val="0"/>
                              <w:marRight w:val="0"/>
                              <w:marTop w:val="0"/>
                              <w:marBottom w:val="0"/>
                              <w:divBdr>
                                <w:top w:val="none" w:sz="0" w:space="0" w:color="auto"/>
                                <w:left w:val="none" w:sz="0" w:space="0" w:color="auto"/>
                                <w:bottom w:val="none" w:sz="0" w:space="0" w:color="auto"/>
                                <w:right w:val="none" w:sz="0" w:space="0" w:color="auto"/>
                              </w:divBdr>
                              <w:divsChild>
                                <w:div w:id="1474830239">
                                  <w:marLeft w:val="0"/>
                                  <w:marRight w:val="0"/>
                                  <w:marTop w:val="0"/>
                                  <w:marBottom w:val="0"/>
                                  <w:divBdr>
                                    <w:top w:val="none" w:sz="0" w:space="0" w:color="auto"/>
                                    <w:left w:val="none" w:sz="0" w:space="0" w:color="auto"/>
                                    <w:bottom w:val="none" w:sz="0" w:space="0" w:color="auto"/>
                                    <w:right w:val="none" w:sz="0" w:space="0" w:color="auto"/>
                                  </w:divBdr>
                                </w:div>
                                <w:div w:id="1474830240">
                                  <w:marLeft w:val="0"/>
                                  <w:marRight w:val="0"/>
                                  <w:marTop w:val="0"/>
                                  <w:marBottom w:val="0"/>
                                  <w:divBdr>
                                    <w:top w:val="none" w:sz="0" w:space="0" w:color="auto"/>
                                    <w:left w:val="none" w:sz="0" w:space="0" w:color="auto"/>
                                    <w:bottom w:val="none" w:sz="0" w:space="0" w:color="auto"/>
                                    <w:right w:val="none" w:sz="0" w:space="0" w:color="auto"/>
                                  </w:divBdr>
                                  <w:divsChild>
                                    <w:div w:id="1474830249">
                                      <w:marLeft w:val="0"/>
                                      <w:marRight w:val="0"/>
                                      <w:marTop w:val="0"/>
                                      <w:marBottom w:val="0"/>
                                      <w:divBdr>
                                        <w:top w:val="none" w:sz="0" w:space="0" w:color="auto"/>
                                        <w:left w:val="none" w:sz="0" w:space="0" w:color="auto"/>
                                        <w:bottom w:val="none" w:sz="0" w:space="0" w:color="auto"/>
                                        <w:right w:val="none" w:sz="0" w:space="0" w:color="auto"/>
                                      </w:divBdr>
                                      <w:divsChild>
                                        <w:div w:id="1474830237">
                                          <w:marLeft w:val="0"/>
                                          <w:marRight w:val="0"/>
                                          <w:marTop w:val="0"/>
                                          <w:marBottom w:val="0"/>
                                          <w:divBdr>
                                            <w:top w:val="none" w:sz="0" w:space="0" w:color="auto"/>
                                            <w:left w:val="none" w:sz="0" w:space="0" w:color="auto"/>
                                            <w:bottom w:val="none" w:sz="0" w:space="0" w:color="auto"/>
                                            <w:right w:val="none" w:sz="0" w:space="0" w:color="auto"/>
                                          </w:divBdr>
                                          <w:divsChild>
                                            <w:div w:id="1474830242">
                                              <w:marLeft w:val="0"/>
                                              <w:marRight w:val="0"/>
                                              <w:marTop w:val="0"/>
                                              <w:marBottom w:val="0"/>
                                              <w:divBdr>
                                                <w:top w:val="none" w:sz="0" w:space="0" w:color="auto"/>
                                                <w:left w:val="none" w:sz="0" w:space="0" w:color="auto"/>
                                                <w:bottom w:val="none" w:sz="0" w:space="0" w:color="auto"/>
                                                <w:right w:val="none" w:sz="0" w:space="0" w:color="auto"/>
                                              </w:divBdr>
                                            </w:div>
                                            <w:div w:id="1474830243">
                                              <w:marLeft w:val="0"/>
                                              <w:marRight w:val="0"/>
                                              <w:marTop w:val="0"/>
                                              <w:marBottom w:val="0"/>
                                              <w:divBdr>
                                                <w:top w:val="none" w:sz="0" w:space="0" w:color="auto"/>
                                                <w:left w:val="none" w:sz="0" w:space="0" w:color="auto"/>
                                                <w:bottom w:val="none" w:sz="0" w:space="0" w:color="auto"/>
                                                <w:right w:val="none" w:sz="0" w:space="0" w:color="auto"/>
                                              </w:divBdr>
                                            </w:div>
                                            <w:div w:id="1474830254">
                                              <w:marLeft w:val="0"/>
                                              <w:marRight w:val="0"/>
                                              <w:marTop w:val="0"/>
                                              <w:marBottom w:val="0"/>
                                              <w:divBdr>
                                                <w:top w:val="none" w:sz="0" w:space="0" w:color="auto"/>
                                                <w:left w:val="none" w:sz="0" w:space="0" w:color="auto"/>
                                                <w:bottom w:val="none" w:sz="0" w:space="0" w:color="auto"/>
                                                <w:right w:val="none" w:sz="0" w:space="0" w:color="auto"/>
                                              </w:divBdr>
                                              <w:divsChild>
                                                <w:div w:id="1474830238">
                                                  <w:marLeft w:val="0"/>
                                                  <w:marRight w:val="0"/>
                                                  <w:marTop w:val="0"/>
                                                  <w:marBottom w:val="0"/>
                                                  <w:divBdr>
                                                    <w:top w:val="none" w:sz="0" w:space="0" w:color="auto"/>
                                                    <w:left w:val="none" w:sz="0" w:space="0" w:color="auto"/>
                                                    <w:bottom w:val="none" w:sz="0" w:space="0" w:color="auto"/>
                                                    <w:right w:val="none" w:sz="0" w:space="0" w:color="auto"/>
                                                  </w:divBdr>
                                                </w:div>
                                                <w:div w:id="1474830244">
                                                  <w:marLeft w:val="0"/>
                                                  <w:marRight w:val="0"/>
                                                  <w:marTop w:val="0"/>
                                                  <w:marBottom w:val="0"/>
                                                  <w:divBdr>
                                                    <w:top w:val="none" w:sz="0" w:space="0" w:color="auto"/>
                                                    <w:left w:val="none" w:sz="0" w:space="0" w:color="auto"/>
                                                    <w:bottom w:val="none" w:sz="0" w:space="0" w:color="auto"/>
                                                    <w:right w:val="none" w:sz="0" w:space="0" w:color="auto"/>
                                                  </w:divBdr>
                                                </w:div>
                                                <w:div w:id="1474830246">
                                                  <w:marLeft w:val="0"/>
                                                  <w:marRight w:val="0"/>
                                                  <w:marTop w:val="0"/>
                                                  <w:marBottom w:val="0"/>
                                                  <w:divBdr>
                                                    <w:top w:val="none" w:sz="0" w:space="0" w:color="auto"/>
                                                    <w:left w:val="none" w:sz="0" w:space="0" w:color="auto"/>
                                                    <w:bottom w:val="none" w:sz="0" w:space="0" w:color="auto"/>
                                                    <w:right w:val="none" w:sz="0" w:space="0" w:color="auto"/>
                                                  </w:divBdr>
                                                </w:div>
                                                <w:div w:id="14748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0248">
                                  <w:marLeft w:val="0"/>
                                  <w:marRight w:val="0"/>
                                  <w:marTop w:val="0"/>
                                  <w:marBottom w:val="0"/>
                                  <w:divBdr>
                                    <w:top w:val="none" w:sz="0" w:space="0" w:color="auto"/>
                                    <w:left w:val="none" w:sz="0" w:space="0" w:color="auto"/>
                                    <w:bottom w:val="none" w:sz="0" w:space="0" w:color="auto"/>
                                    <w:right w:val="none" w:sz="0" w:space="0" w:color="auto"/>
                                  </w:divBdr>
                                  <w:divsChild>
                                    <w:div w:id="147483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0260">
      <w:marLeft w:val="0"/>
      <w:marRight w:val="0"/>
      <w:marTop w:val="0"/>
      <w:marBottom w:val="0"/>
      <w:divBdr>
        <w:top w:val="none" w:sz="0" w:space="0" w:color="auto"/>
        <w:left w:val="none" w:sz="0" w:space="0" w:color="auto"/>
        <w:bottom w:val="none" w:sz="0" w:space="0" w:color="auto"/>
        <w:right w:val="none" w:sz="0" w:space="0" w:color="auto"/>
      </w:divBdr>
    </w:div>
    <w:div w:id="1474830265">
      <w:marLeft w:val="0"/>
      <w:marRight w:val="0"/>
      <w:marTop w:val="0"/>
      <w:marBottom w:val="0"/>
      <w:divBdr>
        <w:top w:val="none" w:sz="0" w:space="0" w:color="auto"/>
        <w:left w:val="none" w:sz="0" w:space="0" w:color="auto"/>
        <w:bottom w:val="none" w:sz="0" w:space="0" w:color="auto"/>
        <w:right w:val="none" w:sz="0" w:space="0" w:color="auto"/>
      </w:divBdr>
      <w:divsChild>
        <w:div w:id="1474830268">
          <w:marLeft w:val="0"/>
          <w:marRight w:val="0"/>
          <w:marTop w:val="0"/>
          <w:marBottom w:val="0"/>
          <w:divBdr>
            <w:top w:val="none" w:sz="0" w:space="0" w:color="auto"/>
            <w:left w:val="none" w:sz="0" w:space="0" w:color="auto"/>
            <w:bottom w:val="none" w:sz="0" w:space="0" w:color="auto"/>
            <w:right w:val="none" w:sz="0" w:space="0" w:color="auto"/>
          </w:divBdr>
          <w:divsChild>
            <w:div w:id="1474830264">
              <w:marLeft w:val="30"/>
              <w:marRight w:val="30"/>
              <w:marTop w:val="0"/>
              <w:marBottom w:val="0"/>
              <w:divBdr>
                <w:top w:val="none" w:sz="0" w:space="0" w:color="auto"/>
                <w:left w:val="none" w:sz="0" w:space="0" w:color="auto"/>
                <w:bottom w:val="none" w:sz="0" w:space="0" w:color="auto"/>
                <w:right w:val="none" w:sz="0" w:space="0" w:color="auto"/>
              </w:divBdr>
              <w:divsChild>
                <w:div w:id="1474830269">
                  <w:marLeft w:val="0"/>
                  <w:marRight w:val="0"/>
                  <w:marTop w:val="0"/>
                  <w:marBottom w:val="0"/>
                  <w:divBdr>
                    <w:top w:val="none" w:sz="0" w:space="0" w:color="auto"/>
                    <w:left w:val="none" w:sz="0" w:space="0" w:color="auto"/>
                    <w:bottom w:val="none" w:sz="0" w:space="0" w:color="auto"/>
                    <w:right w:val="none" w:sz="0" w:space="0" w:color="auto"/>
                  </w:divBdr>
                  <w:divsChild>
                    <w:div w:id="1474830263">
                      <w:marLeft w:val="0"/>
                      <w:marRight w:val="0"/>
                      <w:marTop w:val="0"/>
                      <w:marBottom w:val="0"/>
                      <w:divBdr>
                        <w:top w:val="none" w:sz="0" w:space="0" w:color="auto"/>
                        <w:left w:val="none" w:sz="0" w:space="0" w:color="auto"/>
                        <w:bottom w:val="none" w:sz="0" w:space="0" w:color="auto"/>
                        <w:right w:val="none" w:sz="0" w:space="0" w:color="auto"/>
                      </w:divBdr>
                      <w:divsChild>
                        <w:div w:id="1474830266">
                          <w:marLeft w:val="0"/>
                          <w:marRight w:val="0"/>
                          <w:marTop w:val="0"/>
                          <w:marBottom w:val="0"/>
                          <w:divBdr>
                            <w:top w:val="none" w:sz="0" w:space="0" w:color="auto"/>
                            <w:left w:val="none" w:sz="0" w:space="0" w:color="auto"/>
                            <w:bottom w:val="none" w:sz="0" w:space="0" w:color="auto"/>
                            <w:right w:val="none" w:sz="0" w:space="0" w:color="auto"/>
                          </w:divBdr>
                          <w:divsChild>
                            <w:div w:id="1474830267">
                              <w:marLeft w:val="0"/>
                              <w:marRight w:val="0"/>
                              <w:marTop w:val="0"/>
                              <w:marBottom w:val="0"/>
                              <w:divBdr>
                                <w:top w:val="none" w:sz="0" w:space="0" w:color="auto"/>
                                <w:left w:val="none" w:sz="0" w:space="0" w:color="auto"/>
                                <w:bottom w:val="none" w:sz="0" w:space="0" w:color="auto"/>
                                <w:right w:val="none" w:sz="0" w:space="0" w:color="auto"/>
                              </w:divBdr>
                              <w:divsChild>
                                <w:div w:id="14748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5141</Characters>
  <Application>Microsoft Office Word</Application>
  <DocSecurity>4</DocSecurity>
  <Lines>42</Lines>
  <Paragraphs>12</Paragraphs>
  <ScaleCrop>false</ScaleCrop>
  <Company>Microsoft</Company>
  <LinksUpToDate>false</LinksUpToDate>
  <CharactersWithSpaces>6030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2011-10-10T17:11:00Z</dcterms:created>
  <dcterms:modified xsi:type="dcterms:W3CDTF">2011-10-10T17:11:00Z</dcterms:modified>
</cp:coreProperties>
</file>