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776C6" w14:textId="77777777" w:rsidR="00C60528" w:rsidRDefault="00C60528" w:rsidP="00C60528">
      <w:pPr>
        <w:tabs>
          <w:tab w:val="left" w:pos="8550"/>
        </w:tabs>
        <w:jc w:val="center"/>
        <w:rPr>
          <w:rFonts w:ascii="Arial" w:hAnsi="Arial" w:cs="Arial"/>
          <w:b/>
          <w:bCs/>
          <w:color w:val="0D304A"/>
          <w:sz w:val="32"/>
          <w:szCs w:val="32"/>
        </w:rPr>
      </w:pPr>
    </w:p>
    <w:p w14:paraId="7A6458FA" w14:textId="77777777" w:rsidR="00C60528" w:rsidRPr="0036086B" w:rsidRDefault="00C60528" w:rsidP="00C60528">
      <w:pPr>
        <w:tabs>
          <w:tab w:val="left" w:pos="8550"/>
        </w:tabs>
        <w:jc w:val="center"/>
        <w:rPr>
          <w:rFonts w:ascii="Arial" w:hAnsi="Arial" w:cs="Arial"/>
          <w:b/>
          <w:bCs/>
          <w:color w:val="0D304A"/>
          <w:sz w:val="32"/>
          <w:szCs w:val="32"/>
        </w:rPr>
      </w:pPr>
      <w:r w:rsidRPr="0036086B">
        <w:rPr>
          <w:rFonts w:ascii="Arial" w:hAnsi="Arial" w:cs="Arial"/>
          <w:b/>
          <w:bCs/>
          <w:color w:val="0D304A"/>
          <w:sz w:val="32"/>
          <w:szCs w:val="32"/>
        </w:rPr>
        <w:t>Weekly Market Commentary</w:t>
      </w:r>
    </w:p>
    <w:p w14:paraId="76B660DC" w14:textId="77777777" w:rsidR="00C60528" w:rsidRPr="0036086B" w:rsidRDefault="00C60528" w:rsidP="00C60528">
      <w:pPr>
        <w:tabs>
          <w:tab w:val="left" w:pos="8550"/>
        </w:tabs>
        <w:jc w:val="center"/>
        <w:rPr>
          <w:rFonts w:ascii="Arial" w:hAnsi="Arial" w:cs="Arial"/>
          <w:b/>
          <w:bCs/>
          <w:color w:val="0D304A"/>
          <w:sz w:val="32"/>
          <w:szCs w:val="32"/>
        </w:rPr>
      </w:pPr>
      <w:r>
        <w:rPr>
          <w:rFonts w:ascii="Arial" w:hAnsi="Arial" w:cs="Arial"/>
          <w:b/>
          <w:bCs/>
          <w:color w:val="0D304A"/>
          <w:sz w:val="32"/>
          <w:szCs w:val="32"/>
        </w:rPr>
        <w:t>August 9</w:t>
      </w:r>
      <w:r w:rsidRPr="0036086B">
        <w:rPr>
          <w:rFonts w:ascii="Arial" w:hAnsi="Arial" w:cs="Arial"/>
          <w:b/>
          <w:bCs/>
          <w:color w:val="0D304A"/>
          <w:sz w:val="32"/>
          <w:szCs w:val="32"/>
        </w:rPr>
        <w:t>, 2021</w:t>
      </w:r>
    </w:p>
    <w:p w14:paraId="4DAEC372" w14:textId="77777777" w:rsidR="00C60528" w:rsidRPr="0036086B" w:rsidRDefault="00C60528" w:rsidP="00C60528">
      <w:pPr>
        <w:tabs>
          <w:tab w:val="left" w:pos="8550"/>
        </w:tabs>
        <w:jc w:val="center"/>
        <w:rPr>
          <w:rFonts w:ascii="Arial" w:hAnsi="Arial" w:cs="Arial"/>
          <w:b/>
          <w:bCs/>
          <w:color w:val="639D3F"/>
          <w:sz w:val="32"/>
          <w:szCs w:val="32"/>
        </w:rPr>
      </w:pPr>
    </w:p>
    <w:p w14:paraId="448CB911" w14:textId="77777777" w:rsidR="00C60528" w:rsidRPr="0036086B" w:rsidRDefault="00C60528" w:rsidP="00C60528">
      <w:pPr>
        <w:tabs>
          <w:tab w:val="left" w:pos="8550"/>
        </w:tabs>
        <w:rPr>
          <w:rFonts w:ascii="Arial" w:hAnsi="Arial" w:cs="Arial"/>
          <w:bCs/>
          <w:color w:val="35DB3F"/>
        </w:rPr>
      </w:pPr>
      <w:r w:rsidRPr="0036086B">
        <w:rPr>
          <w:rFonts w:ascii="Arial" w:hAnsi="Arial" w:cs="Arial"/>
          <w:b/>
          <w:bCs/>
          <w:color w:val="0D304A"/>
          <w:sz w:val="28"/>
          <w:szCs w:val="28"/>
        </w:rPr>
        <w:t>The Markets</w:t>
      </w:r>
      <w:r w:rsidRPr="0036086B">
        <w:rPr>
          <w:rFonts w:ascii="Arial" w:hAnsi="Arial" w:cs="Arial"/>
          <w:bCs/>
          <w:color w:val="35DB3F"/>
        </w:rPr>
        <w:t xml:space="preserve"> </w:t>
      </w:r>
    </w:p>
    <w:p w14:paraId="65A4940B" w14:textId="77777777" w:rsidR="00C60528" w:rsidRPr="0036086B" w:rsidRDefault="00C60528" w:rsidP="00C60528">
      <w:pPr>
        <w:tabs>
          <w:tab w:val="left" w:pos="8550"/>
        </w:tabs>
        <w:rPr>
          <w:rFonts w:ascii="Arial" w:hAnsi="Arial" w:cs="Arial"/>
          <w:bCs/>
          <w:color w:val="000000" w:themeColor="text1"/>
        </w:rPr>
      </w:pPr>
    </w:p>
    <w:p w14:paraId="75D06626" w14:textId="77777777" w:rsidR="00C60528" w:rsidRPr="00EF78F4" w:rsidRDefault="00C60528" w:rsidP="00C60528">
      <w:pPr>
        <w:tabs>
          <w:tab w:val="left" w:pos="8550"/>
        </w:tabs>
        <w:rPr>
          <w:rFonts w:ascii="Arial" w:hAnsi="Arial" w:cs="Arial"/>
          <w:bCs/>
          <w:color w:val="000000" w:themeColor="text1"/>
          <w:sz w:val="22"/>
          <w:szCs w:val="22"/>
        </w:rPr>
      </w:pPr>
      <w:r w:rsidRPr="00EF78F4">
        <w:rPr>
          <w:rFonts w:ascii="Arial" w:hAnsi="Arial" w:cs="Arial"/>
          <w:bCs/>
          <w:color w:val="000000" w:themeColor="text1"/>
          <w:sz w:val="22"/>
          <w:szCs w:val="22"/>
        </w:rPr>
        <w:t>Are we there yet?</w:t>
      </w:r>
    </w:p>
    <w:p w14:paraId="56EBBF2F" w14:textId="77777777" w:rsidR="00C60528" w:rsidRPr="00EF78F4" w:rsidRDefault="00C60528" w:rsidP="00C60528">
      <w:pPr>
        <w:tabs>
          <w:tab w:val="left" w:pos="8550"/>
        </w:tabs>
        <w:rPr>
          <w:rFonts w:ascii="Arial" w:hAnsi="Arial" w:cs="Arial"/>
          <w:bCs/>
          <w:color w:val="000000" w:themeColor="text1"/>
          <w:sz w:val="22"/>
          <w:szCs w:val="22"/>
        </w:rPr>
      </w:pPr>
    </w:p>
    <w:p w14:paraId="2D123FD3" w14:textId="329A395C" w:rsidR="00C60528" w:rsidRPr="00EF78F4" w:rsidRDefault="00C60528" w:rsidP="00C60528">
      <w:pPr>
        <w:rPr>
          <w:rFonts w:ascii="Arial" w:hAnsi="Arial" w:cs="Arial"/>
          <w:color w:val="000000" w:themeColor="text1"/>
          <w:sz w:val="22"/>
          <w:szCs w:val="22"/>
        </w:rPr>
      </w:pPr>
      <w:r w:rsidRPr="00EF78F4">
        <w:rPr>
          <w:rFonts w:ascii="Arial" w:hAnsi="Arial" w:cs="Arial"/>
          <w:bCs/>
          <w:color w:val="000000" w:themeColor="text1"/>
          <w:sz w:val="22"/>
          <w:szCs w:val="22"/>
        </w:rPr>
        <w:t>For months, investors have wondered when the Federal Reserve (Fed) might begin to “normalize” its policies, a process that will eventually lead to higher interest rates. Last week, a better-than-expected unemployment report – showing a gain of almost a million jobs – sparked speculation about whether we’ve arrived at that point. It’s difficult to know.</w:t>
      </w:r>
    </w:p>
    <w:p w14:paraId="30273BA6" w14:textId="77777777" w:rsidR="00C60528" w:rsidRPr="00EF78F4" w:rsidRDefault="00C60528" w:rsidP="00C60528">
      <w:pPr>
        <w:tabs>
          <w:tab w:val="left" w:pos="8550"/>
        </w:tabs>
        <w:rPr>
          <w:rFonts w:ascii="Arial" w:hAnsi="Arial" w:cs="Arial"/>
          <w:bCs/>
          <w:color w:val="000000" w:themeColor="text1"/>
          <w:sz w:val="22"/>
          <w:szCs w:val="22"/>
        </w:rPr>
      </w:pPr>
    </w:p>
    <w:p w14:paraId="6C281968" w14:textId="45474584" w:rsidR="00C60528" w:rsidRPr="00EF78F4" w:rsidRDefault="00C60528" w:rsidP="00C60528">
      <w:pPr>
        <w:tabs>
          <w:tab w:val="left" w:pos="8550"/>
        </w:tabs>
        <w:rPr>
          <w:rFonts w:ascii="Arial" w:hAnsi="Arial" w:cs="Arial"/>
          <w:bCs/>
          <w:color w:val="000000" w:themeColor="text1"/>
          <w:sz w:val="22"/>
          <w:szCs w:val="22"/>
        </w:rPr>
      </w:pPr>
      <w:r w:rsidRPr="00EF78F4">
        <w:rPr>
          <w:rFonts w:ascii="Arial" w:hAnsi="Arial" w:cs="Arial"/>
          <w:bCs/>
          <w:color w:val="000000" w:themeColor="text1"/>
          <w:sz w:val="22"/>
          <w:szCs w:val="22"/>
        </w:rPr>
        <w:t xml:space="preserve">When the pandemic arrived, the Fed adopted policies that stimulated growth. It cut short-term interest rates to zero and began buying Treasuries and agency mortgage-backed securities to keep long-term rates low, too. Low rates make borrowing less expensive for businesses and individuals, reported the </w:t>
      </w:r>
      <w:r w:rsidRPr="006F4C0C">
        <w:rPr>
          <w:rFonts w:ascii="Arial" w:hAnsi="Arial" w:cs="Arial"/>
          <w:bCs/>
          <w:color w:val="000000" w:themeColor="text1"/>
          <w:sz w:val="22"/>
          <w:szCs w:val="22"/>
        </w:rPr>
        <w:t>Brookings Institute.</w:t>
      </w:r>
      <w:r w:rsidRPr="00EF78F4">
        <w:rPr>
          <w:rFonts w:ascii="Arial" w:hAnsi="Arial" w:cs="Arial"/>
          <w:bCs/>
          <w:color w:val="000000" w:themeColor="text1"/>
          <w:sz w:val="22"/>
          <w:szCs w:val="22"/>
        </w:rPr>
        <w:t xml:space="preserve"> That’s important in economically challenging times.</w:t>
      </w:r>
    </w:p>
    <w:p w14:paraId="59639D45" w14:textId="77777777" w:rsidR="00C60528" w:rsidRPr="00EF78F4" w:rsidRDefault="00C60528" w:rsidP="00C60528">
      <w:pPr>
        <w:tabs>
          <w:tab w:val="left" w:pos="8550"/>
        </w:tabs>
        <w:rPr>
          <w:rFonts w:ascii="Arial" w:hAnsi="Arial" w:cs="Arial"/>
          <w:bCs/>
          <w:color w:val="000000" w:themeColor="text1"/>
          <w:sz w:val="22"/>
          <w:szCs w:val="22"/>
        </w:rPr>
      </w:pPr>
    </w:p>
    <w:p w14:paraId="440026BE" w14:textId="6B981AC1" w:rsidR="00C60528" w:rsidRDefault="00C60528" w:rsidP="00C60528">
      <w:pPr>
        <w:tabs>
          <w:tab w:val="left" w:pos="8550"/>
        </w:tabs>
        <w:rPr>
          <w:rFonts w:ascii="Arial" w:hAnsi="Arial" w:cs="Arial"/>
          <w:bCs/>
          <w:color w:val="000000" w:themeColor="text1"/>
          <w:sz w:val="22"/>
          <w:szCs w:val="22"/>
        </w:rPr>
      </w:pPr>
      <w:r w:rsidRPr="00EF78F4">
        <w:rPr>
          <w:rFonts w:ascii="Arial" w:hAnsi="Arial" w:cs="Arial"/>
          <w:bCs/>
          <w:color w:val="000000" w:themeColor="text1"/>
          <w:sz w:val="22"/>
          <w:szCs w:val="22"/>
        </w:rPr>
        <w:t xml:space="preserve">In late July, the Fed said it would continue to keep rates low and buy bonds until it saw “substantial further progress toward maximum employment </w:t>
      </w:r>
      <w:r w:rsidRPr="00EF78F4">
        <w:rPr>
          <w:rFonts w:ascii="Arial" w:hAnsi="Arial" w:cs="Arial"/>
          <w:color w:val="000000" w:themeColor="text1"/>
          <w:sz w:val="22"/>
          <w:szCs w:val="22"/>
          <w:shd w:val="clear" w:color="auto" w:fill="FFFFFF"/>
        </w:rPr>
        <w:t>and price stability [inflation] goals</w:t>
      </w:r>
      <w:r w:rsidRPr="00EF78F4">
        <w:rPr>
          <w:rFonts w:ascii="Arial" w:hAnsi="Arial" w:cs="Arial"/>
          <w:bCs/>
          <w:color w:val="000000" w:themeColor="text1"/>
          <w:sz w:val="22"/>
          <w:szCs w:val="22"/>
        </w:rPr>
        <w:t>.”</w:t>
      </w:r>
    </w:p>
    <w:p w14:paraId="0D7C10AB" w14:textId="77777777" w:rsidR="008A11C5" w:rsidRPr="00EF78F4" w:rsidRDefault="008A11C5" w:rsidP="00C60528">
      <w:pPr>
        <w:tabs>
          <w:tab w:val="left" w:pos="8550"/>
        </w:tabs>
        <w:rPr>
          <w:rFonts w:ascii="Arial" w:hAnsi="Arial" w:cs="Arial"/>
          <w:bCs/>
          <w:color w:val="000000" w:themeColor="text1"/>
          <w:sz w:val="22"/>
          <w:szCs w:val="22"/>
        </w:rPr>
      </w:pPr>
    </w:p>
    <w:p w14:paraId="54DB1D6A" w14:textId="6D6DDBB7" w:rsidR="00C60528" w:rsidRPr="00EF78F4" w:rsidRDefault="00C60528" w:rsidP="00C60528">
      <w:pPr>
        <w:tabs>
          <w:tab w:val="left" w:pos="8550"/>
        </w:tabs>
        <w:rPr>
          <w:rFonts w:ascii="Arial" w:hAnsi="Arial" w:cs="Arial"/>
          <w:bCs/>
          <w:color w:val="000000" w:themeColor="text1"/>
          <w:sz w:val="22"/>
          <w:szCs w:val="22"/>
        </w:rPr>
      </w:pPr>
      <w:r w:rsidRPr="00EF78F4">
        <w:rPr>
          <w:rFonts w:ascii="Arial" w:hAnsi="Arial" w:cs="Arial"/>
          <w:bCs/>
          <w:color w:val="000000" w:themeColor="text1"/>
          <w:sz w:val="22"/>
          <w:szCs w:val="22"/>
        </w:rPr>
        <w:t xml:space="preserve">The Fed may have already achieved its inflation goal. Its favorite inflation gauge is called Personal Consumption Expenditures (PCE), excluding food and energy. It’s a statistic that reflects changes in how much Americans are paying for goods and services. In June, the </w:t>
      </w:r>
      <w:r w:rsidRPr="006F4C0C">
        <w:rPr>
          <w:rFonts w:ascii="Arial" w:hAnsi="Arial" w:cs="Arial"/>
          <w:bCs/>
          <w:color w:val="000000" w:themeColor="text1"/>
          <w:sz w:val="22"/>
          <w:szCs w:val="22"/>
        </w:rPr>
        <w:t>Bureau of Economic Analysis</w:t>
      </w:r>
      <w:r w:rsidRPr="00EF78F4">
        <w:rPr>
          <w:rFonts w:ascii="Arial" w:hAnsi="Arial" w:cs="Arial"/>
          <w:bCs/>
          <w:color w:val="000000" w:themeColor="text1"/>
          <w:sz w:val="22"/>
          <w:szCs w:val="22"/>
        </w:rPr>
        <w:t xml:space="preserve"> reported that PCE was up 3.5 percent year</w:t>
      </w:r>
      <w:r>
        <w:rPr>
          <w:rFonts w:ascii="Arial" w:hAnsi="Arial" w:cs="Arial"/>
          <w:bCs/>
          <w:color w:val="000000" w:themeColor="text1"/>
          <w:sz w:val="22"/>
          <w:szCs w:val="22"/>
        </w:rPr>
        <w:t xml:space="preserve"> </w:t>
      </w:r>
      <w:r w:rsidRPr="00EF78F4">
        <w:rPr>
          <w:rFonts w:ascii="Arial" w:hAnsi="Arial" w:cs="Arial"/>
          <w:bCs/>
          <w:color w:val="000000" w:themeColor="text1"/>
          <w:sz w:val="22"/>
          <w:szCs w:val="22"/>
        </w:rPr>
        <w:t>over</w:t>
      </w:r>
      <w:r>
        <w:rPr>
          <w:rFonts w:ascii="Arial" w:hAnsi="Arial" w:cs="Arial"/>
          <w:bCs/>
          <w:color w:val="000000" w:themeColor="text1"/>
          <w:sz w:val="22"/>
          <w:szCs w:val="22"/>
        </w:rPr>
        <w:t xml:space="preserve"> </w:t>
      </w:r>
      <w:r w:rsidRPr="00EF78F4">
        <w:rPr>
          <w:rFonts w:ascii="Arial" w:hAnsi="Arial" w:cs="Arial"/>
          <w:bCs/>
          <w:color w:val="000000" w:themeColor="text1"/>
          <w:sz w:val="22"/>
          <w:szCs w:val="22"/>
        </w:rPr>
        <w:t>year. That’s well above the Fed’s two percent inflation target; however, the Fed’s new policy is to overshoot its target before raising rates.</w:t>
      </w:r>
    </w:p>
    <w:p w14:paraId="750455E7" w14:textId="77777777" w:rsidR="00C60528" w:rsidRPr="00EF78F4" w:rsidRDefault="00C60528" w:rsidP="00C60528">
      <w:pPr>
        <w:tabs>
          <w:tab w:val="left" w:pos="8550"/>
        </w:tabs>
        <w:rPr>
          <w:rFonts w:ascii="Arial" w:hAnsi="Arial" w:cs="Arial"/>
          <w:bCs/>
          <w:color w:val="000000" w:themeColor="text1"/>
          <w:sz w:val="22"/>
          <w:szCs w:val="22"/>
        </w:rPr>
      </w:pPr>
    </w:p>
    <w:p w14:paraId="42607C6C" w14:textId="1B823667" w:rsidR="00C60528" w:rsidRPr="00EF78F4" w:rsidRDefault="00C60528" w:rsidP="00C60528">
      <w:pPr>
        <w:tabs>
          <w:tab w:val="left" w:pos="8550"/>
        </w:tabs>
        <w:rPr>
          <w:rFonts w:ascii="Arial" w:hAnsi="Arial" w:cs="Arial"/>
          <w:bCs/>
          <w:color w:val="000000" w:themeColor="text1"/>
          <w:sz w:val="22"/>
          <w:szCs w:val="22"/>
        </w:rPr>
      </w:pPr>
      <w:r w:rsidRPr="00EF78F4">
        <w:rPr>
          <w:rFonts w:ascii="Arial" w:hAnsi="Arial" w:cs="Arial"/>
          <w:bCs/>
          <w:color w:val="000000" w:themeColor="text1"/>
          <w:sz w:val="22"/>
          <w:szCs w:val="22"/>
        </w:rPr>
        <w:t xml:space="preserve">If July’s employment numbers satisfy the Fed’s expectations for progress on jobs, the Fed may begin the process of normalizing monetary policy. The first step would be purchasing fewer bonds, a practice known as tapering. “Many market watchers are looking for [Fed Chair] Powell to discuss tapering at the central bank’s big policy meeting at Jackson Hole, Wyo., this month,” reported Randall Forsyth of </w:t>
      </w:r>
      <w:r w:rsidRPr="00EF78F4">
        <w:rPr>
          <w:rFonts w:ascii="Arial" w:hAnsi="Arial" w:cs="Arial"/>
          <w:bCs/>
          <w:i/>
          <w:iCs/>
          <w:color w:val="000000" w:themeColor="text1"/>
          <w:sz w:val="22"/>
          <w:szCs w:val="22"/>
        </w:rPr>
        <w:t>Barron’s</w:t>
      </w:r>
      <w:r w:rsidRPr="00EF78F4">
        <w:rPr>
          <w:rFonts w:ascii="Arial" w:hAnsi="Arial" w:cs="Arial"/>
          <w:bCs/>
          <w:color w:val="000000" w:themeColor="text1"/>
          <w:sz w:val="22"/>
          <w:szCs w:val="22"/>
        </w:rPr>
        <w:t>.</w:t>
      </w:r>
    </w:p>
    <w:p w14:paraId="0A921EAB" w14:textId="77777777" w:rsidR="00C60528" w:rsidRPr="00EF78F4" w:rsidRDefault="00C60528" w:rsidP="00C60528">
      <w:pPr>
        <w:tabs>
          <w:tab w:val="left" w:pos="8550"/>
        </w:tabs>
        <w:rPr>
          <w:rFonts w:ascii="Arial" w:hAnsi="Arial" w:cs="Arial"/>
          <w:bCs/>
          <w:color w:val="000000" w:themeColor="text1"/>
          <w:sz w:val="22"/>
          <w:szCs w:val="22"/>
        </w:rPr>
      </w:pPr>
    </w:p>
    <w:p w14:paraId="22AF3B06" w14:textId="7A409ADE" w:rsidR="00C60528" w:rsidRPr="00EF78F4" w:rsidRDefault="00C60528" w:rsidP="00C60528">
      <w:pPr>
        <w:tabs>
          <w:tab w:val="left" w:pos="360"/>
        </w:tabs>
        <w:rPr>
          <w:rFonts w:ascii="Arial" w:hAnsi="Arial" w:cs="Arial"/>
          <w:bCs/>
          <w:color w:val="000000" w:themeColor="text1"/>
          <w:sz w:val="22"/>
          <w:szCs w:val="22"/>
        </w:rPr>
      </w:pPr>
      <w:r w:rsidRPr="00EF78F4">
        <w:rPr>
          <w:rFonts w:ascii="Arial" w:hAnsi="Arial" w:cs="Arial"/>
          <w:bCs/>
          <w:color w:val="000000" w:themeColor="text1"/>
          <w:sz w:val="22"/>
          <w:szCs w:val="22"/>
        </w:rPr>
        <w:t xml:space="preserve">Major U.S. stock indices finished the week higher, reported </w:t>
      </w:r>
      <w:r w:rsidRPr="00EF78F4">
        <w:rPr>
          <w:rFonts w:ascii="Arial" w:hAnsi="Arial" w:cs="Arial"/>
          <w:bCs/>
          <w:i/>
          <w:iCs/>
          <w:color w:val="000000" w:themeColor="text1"/>
          <w:sz w:val="22"/>
          <w:szCs w:val="22"/>
        </w:rPr>
        <w:t>Barron’s</w:t>
      </w:r>
      <w:r w:rsidRPr="00EF78F4">
        <w:rPr>
          <w:rFonts w:ascii="Arial" w:hAnsi="Arial" w:cs="Arial"/>
          <w:bCs/>
          <w:color w:val="000000" w:themeColor="text1"/>
          <w:sz w:val="22"/>
          <w:szCs w:val="22"/>
        </w:rPr>
        <w:t>, and so did the yield on 10-year U.S. Treasuries.</w:t>
      </w:r>
    </w:p>
    <w:p w14:paraId="377811CC" w14:textId="77777777" w:rsidR="00C60528" w:rsidRPr="00EF78F4" w:rsidRDefault="00C60528" w:rsidP="00C60528">
      <w:pPr>
        <w:tabs>
          <w:tab w:val="left" w:pos="8550"/>
        </w:tabs>
        <w:rPr>
          <w:rFonts w:ascii="Arial" w:hAnsi="Arial" w:cs="Arial"/>
          <w:b/>
          <w:color w:val="000000" w:themeColor="text1"/>
          <w:sz w:val="22"/>
          <w:szCs w:val="22"/>
        </w:rPr>
      </w:pPr>
    </w:p>
    <w:tbl>
      <w:tblPr>
        <w:tblW w:w="0" w:type="auto"/>
        <w:tblLayout w:type="fixed"/>
        <w:tblLook w:val="0000" w:firstRow="0" w:lastRow="0" w:firstColumn="0" w:lastColumn="0" w:noHBand="0" w:noVBand="0"/>
      </w:tblPr>
      <w:tblGrid>
        <w:gridCol w:w="3505"/>
        <w:gridCol w:w="1170"/>
        <w:gridCol w:w="990"/>
        <w:gridCol w:w="990"/>
        <w:gridCol w:w="900"/>
        <w:gridCol w:w="900"/>
        <w:gridCol w:w="1080"/>
      </w:tblGrid>
      <w:tr w:rsidR="00C60528" w:rsidRPr="00EF78F4" w14:paraId="0E83796B" w14:textId="77777777" w:rsidTr="00B962C4">
        <w:trPr>
          <w:trHeight w:val="255"/>
        </w:trPr>
        <w:tc>
          <w:tcPr>
            <w:tcW w:w="3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4F96EE" w14:textId="77777777" w:rsidR="00C60528" w:rsidRPr="00EF78F4" w:rsidRDefault="00C60528" w:rsidP="00B962C4">
            <w:pPr>
              <w:tabs>
                <w:tab w:val="left" w:pos="8550"/>
              </w:tabs>
              <w:jc w:val="center"/>
              <w:rPr>
                <w:rFonts w:ascii="Arial" w:hAnsi="Arial" w:cs="Arial"/>
                <w:b/>
                <w:bCs/>
                <w:color w:val="000000" w:themeColor="text1"/>
                <w:sz w:val="22"/>
                <w:szCs w:val="22"/>
              </w:rPr>
            </w:pPr>
            <w:r w:rsidRPr="00EF78F4">
              <w:rPr>
                <w:rFonts w:ascii="Arial" w:hAnsi="Arial" w:cs="Arial"/>
                <w:color w:val="000000" w:themeColor="text1"/>
                <w:sz w:val="22"/>
                <w:szCs w:val="22"/>
              </w:rPr>
              <w:br w:type="page"/>
            </w:r>
            <w:r w:rsidRPr="00EF78F4">
              <w:rPr>
                <w:rFonts w:ascii="Arial" w:hAnsi="Arial" w:cs="Arial"/>
                <w:b/>
                <w:bCs/>
                <w:color w:val="000000" w:themeColor="text1"/>
                <w:sz w:val="22"/>
                <w:szCs w:val="22"/>
              </w:rPr>
              <w:t>Data as of 8/6/21</w:t>
            </w:r>
          </w:p>
        </w:tc>
        <w:tc>
          <w:tcPr>
            <w:tcW w:w="1170" w:type="dxa"/>
            <w:tcBorders>
              <w:top w:val="single" w:sz="4" w:space="0" w:color="auto"/>
              <w:left w:val="nil"/>
              <w:bottom w:val="single" w:sz="4" w:space="0" w:color="auto"/>
              <w:right w:val="single" w:sz="4" w:space="0" w:color="auto"/>
            </w:tcBorders>
            <w:vAlign w:val="center"/>
          </w:tcPr>
          <w:p w14:paraId="4C5DD771" w14:textId="77777777" w:rsidR="00C60528" w:rsidRPr="00EF78F4" w:rsidRDefault="00C60528" w:rsidP="00B962C4">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1EDF9E" w14:textId="77777777" w:rsidR="00C60528" w:rsidRPr="00EF78F4" w:rsidRDefault="00C60528" w:rsidP="00B962C4">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6759AE0" w14:textId="77777777" w:rsidR="00C60528" w:rsidRPr="00EF78F4" w:rsidRDefault="00C60528" w:rsidP="00B962C4">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68C33B1F" w14:textId="77777777" w:rsidR="00C60528" w:rsidRPr="00EF78F4" w:rsidRDefault="00C60528" w:rsidP="00B962C4">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4BFF37F" w14:textId="77777777" w:rsidR="00C60528" w:rsidRPr="00EF78F4" w:rsidRDefault="00C60528" w:rsidP="00B962C4">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5-Year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2ED23CE" w14:textId="77777777" w:rsidR="00C60528" w:rsidRPr="00EF78F4" w:rsidRDefault="00C60528" w:rsidP="00B962C4">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10-Year</w:t>
            </w:r>
          </w:p>
        </w:tc>
      </w:tr>
      <w:tr w:rsidR="00C60528" w:rsidRPr="00EF78F4" w14:paraId="6BF30E2E" w14:textId="77777777" w:rsidTr="00B962C4">
        <w:trPr>
          <w:trHeight w:val="215"/>
        </w:trPr>
        <w:tc>
          <w:tcPr>
            <w:tcW w:w="3505" w:type="dxa"/>
            <w:tcBorders>
              <w:top w:val="nil"/>
              <w:left w:val="single" w:sz="4" w:space="0" w:color="auto"/>
              <w:bottom w:val="single" w:sz="4" w:space="0" w:color="auto"/>
              <w:right w:val="single" w:sz="4" w:space="0" w:color="auto"/>
            </w:tcBorders>
            <w:shd w:val="clear" w:color="auto" w:fill="auto"/>
            <w:noWrap/>
            <w:vAlign w:val="center"/>
          </w:tcPr>
          <w:p w14:paraId="64D5C0C8" w14:textId="77777777" w:rsidR="00C60528" w:rsidRPr="00EF78F4" w:rsidRDefault="00C60528" w:rsidP="00B962C4">
            <w:pPr>
              <w:tabs>
                <w:tab w:val="left" w:pos="8550"/>
              </w:tabs>
              <w:rPr>
                <w:rFonts w:ascii="Arial" w:hAnsi="Arial" w:cs="Arial"/>
                <w:sz w:val="22"/>
                <w:szCs w:val="22"/>
              </w:rPr>
            </w:pPr>
            <w:r w:rsidRPr="00EF78F4">
              <w:rPr>
                <w:rFonts w:ascii="Arial" w:hAnsi="Arial" w:cs="Arial"/>
                <w:sz w:val="22"/>
                <w:szCs w:val="22"/>
              </w:rPr>
              <w:t>Standard &amp; Poor's 500 (Domestic Stocks)</w:t>
            </w:r>
          </w:p>
        </w:tc>
        <w:tc>
          <w:tcPr>
            <w:tcW w:w="1170" w:type="dxa"/>
            <w:tcBorders>
              <w:top w:val="single" w:sz="4" w:space="0" w:color="auto"/>
              <w:left w:val="nil"/>
              <w:bottom w:val="single" w:sz="4" w:space="0" w:color="auto"/>
              <w:right w:val="single" w:sz="4" w:space="0" w:color="auto"/>
            </w:tcBorders>
            <w:vAlign w:val="center"/>
          </w:tcPr>
          <w:p w14:paraId="77519A5C" w14:textId="77777777" w:rsidR="00C60528" w:rsidRPr="00EF78F4" w:rsidRDefault="00C60528" w:rsidP="00B962C4">
            <w:pPr>
              <w:tabs>
                <w:tab w:val="left" w:pos="8550"/>
              </w:tabs>
              <w:jc w:val="center"/>
              <w:rPr>
                <w:rFonts w:ascii="Arial" w:hAnsi="Arial" w:cs="Arial"/>
                <w:sz w:val="22"/>
                <w:szCs w:val="22"/>
              </w:rPr>
            </w:pPr>
            <w:r w:rsidRPr="00EF78F4">
              <w:rPr>
                <w:rFonts w:ascii="Arial" w:hAnsi="Arial" w:cs="Arial"/>
                <w:sz w:val="22"/>
                <w:szCs w:val="22"/>
              </w:rPr>
              <w:t>0.9%</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109BB63C" w14:textId="77777777" w:rsidR="00C60528" w:rsidRPr="00EF78F4" w:rsidRDefault="00C60528" w:rsidP="00B962C4">
            <w:pPr>
              <w:tabs>
                <w:tab w:val="left" w:pos="8550"/>
              </w:tabs>
              <w:jc w:val="center"/>
              <w:rPr>
                <w:rFonts w:ascii="Arial" w:hAnsi="Arial" w:cs="Arial"/>
                <w:sz w:val="22"/>
                <w:szCs w:val="22"/>
              </w:rPr>
            </w:pPr>
            <w:r w:rsidRPr="00EF78F4">
              <w:rPr>
                <w:rFonts w:ascii="Arial" w:hAnsi="Arial" w:cs="Arial"/>
                <w:sz w:val="22"/>
                <w:szCs w:val="22"/>
              </w:rPr>
              <w:t>18.1%</w:t>
            </w:r>
          </w:p>
        </w:tc>
        <w:tc>
          <w:tcPr>
            <w:tcW w:w="990" w:type="dxa"/>
            <w:tcBorders>
              <w:top w:val="nil"/>
              <w:left w:val="nil"/>
              <w:bottom w:val="single" w:sz="4" w:space="0" w:color="auto"/>
              <w:right w:val="single" w:sz="4" w:space="0" w:color="auto"/>
            </w:tcBorders>
            <w:shd w:val="clear" w:color="auto" w:fill="auto"/>
            <w:noWrap/>
            <w:vAlign w:val="center"/>
          </w:tcPr>
          <w:p w14:paraId="40AAC42F" w14:textId="77777777" w:rsidR="00C60528" w:rsidRPr="00EF78F4" w:rsidRDefault="00C60528" w:rsidP="00B962C4">
            <w:pPr>
              <w:tabs>
                <w:tab w:val="left" w:pos="8550"/>
              </w:tabs>
              <w:jc w:val="center"/>
              <w:rPr>
                <w:rFonts w:ascii="Arial" w:hAnsi="Arial" w:cs="Arial"/>
                <w:sz w:val="22"/>
                <w:szCs w:val="22"/>
              </w:rPr>
            </w:pPr>
            <w:r w:rsidRPr="00EF78F4">
              <w:rPr>
                <w:rFonts w:ascii="Arial" w:hAnsi="Arial" w:cs="Arial"/>
                <w:sz w:val="22"/>
                <w:szCs w:val="22"/>
              </w:rPr>
              <w:t>32.5%</w:t>
            </w:r>
          </w:p>
        </w:tc>
        <w:tc>
          <w:tcPr>
            <w:tcW w:w="900" w:type="dxa"/>
            <w:tcBorders>
              <w:top w:val="single" w:sz="4" w:space="0" w:color="auto"/>
              <w:left w:val="nil"/>
              <w:bottom w:val="single" w:sz="4" w:space="0" w:color="auto"/>
              <w:right w:val="single" w:sz="4" w:space="0" w:color="auto"/>
            </w:tcBorders>
            <w:shd w:val="clear" w:color="auto" w:fill="auto"/>
            <w:vAlign w:val="center"/>
          </w:tcPr>
          <w:p w14:paraId="7235153D" w14:textId="77777777" w:rsidR="00C60528" w:rsidRPr="00EF78F4" w:rsidRDefault="00C60528" w:rsidP="00B962C4">
            <w:pPr>
              <w:tabs>
                <w:tab w:val="left" w:pos="8550"/>
              </w:tabs>
              <w:jc w:val="center"/>
              <w:rPr>
                <w:rFonts w:ascii="Arial" w:hAnsi="Arial" w:cs="Arial"/>
                <w:sz w:val="22"/>
                <w:szCs w:val="22"/>
              </w:rPr>
            </w:pPr>
            <w:r w:rsidRPr="00EF78F4">
              <w:rPr>
                <w:rFonts w:ascii="Arial" w:hAnsi="Arial" w:cs="Arial"/>
                <w:sz w:val="22"/>
                <w:szCs w:val="22"/>
              </w:rPr>
              <w:t>15.9%</w:t>
            </w:r>
          </w:p>
        </w:tc>
        <w:tc>
          <w:tcPr>
            <w:tcW w:w="900" w:type="dxa"/>
            <w:tcBorders>
              <w:top w:val="nil"/>
              <w:left w:val="single" w:sz="4" w:space="0" w:color="auto"/>
              <w:bottom w:val="single" w:sz="4" w:space="0" w:color="auto"/>
              <w:right w:val="single" w:sz="4" w:space="0" w:color="auto"/>
            </w:tcBorders>
            <w:shd w:val="clear" w:color="auto" w:fill="auto"/>
            <w:vAlign w:val="center"/>
          </w:tcPr>
          <w:p w14:paraId="797CC103" w14:textId="77777777" w:rsidR="00C60528" w:rsidRPr="00EF78F4" w:rsidRDefault="00C60528" w:rsidP="00B962C4">
            <w:pPr>
              <w:tabs>
                <w:tab w:val="left" w:pos="8550"/>
              </w:tabs>
              <w:jc w:val="center"/>
              <w:rPr>
                <w:rFonts w:ascii="Arial" w:hAnsi="Arial" w:cs="Arial"/>
                <w:sz w:val="22"/>
                <w:szCs w:val="22"/>
              </w:rPr>
            </w:pPr>
            <w:r w:rsidRPr="00EF78F4">
              <w:rPr>
                <w:rFonts w:ascii="Arial" w:hAnsi="Arial" w:cs="Arial"/>
                <w:sz w:val="22"/>
                <w:szCs w:val="22"/>
              </w:rPr>
              <w:t>15.3%</w:t>
            </w:r>
          </w:p>
        </w:tc>
        <w:tc>
          <w:tcPr>
            <w:tcW w:w="1080" w:type="dxa"/>
            <w:tcBorders>
              <w:top w:val="nil"/>
              <w:left w:val="single" w:sz="4" w:space="0" w:color="auto"/>
              <w:bottom w:val="single" w:sz="4" w:space="0" w:color="auto"/>
              <w:right w:val="single" w:sz="4" w:space="0" w:color="auto"/>
            </w:tcBorders>
            <w:shd w:val="clear" w:color="auto" w:fill="auto"/>
            <w:vAlign w:val="center"/>
          </w:tcPr>
          <w:p w14:paraId="42059A08" w14:textId="77777777" w:rsidR="00C60528" w:rsidRPr="00EF78F4" w:rsidRDefault="00C60528" w:rsidP="00B962C4">
            <w:pPr>
              <w:tabs>
                <w:tab w:val="left" w:pos="8550"/>
              </w:tabs>
              <w:jc w:val="center"/>
              <w:rPr>
                <w:rFonts w:ascii="Arial" w:hAnsi="Arial" w:cs="Arial"/>
                <w:sz w:val="22"/>
                <w:szCs w:val="22"/>
              </w:rPr>
            </w:pPr>
            <w:r w:rsidRPr="00EF78F4">
              <w:rPr>
                <w:rFonts w:ascii="Arial" w:hAnsi="Arial" w:cs="Arial"/>
                <w:sz w:val="22"/>
                <w:szCs w:val="22"/>
              </w:rPr>
              <w:t>14.8%</w:t>
            </w:r>
          </w:p>
        </w:tc>
      </w:tr>
      <w:tr w:rsidR="00C60528" w:rsidRPr="00EF78F4" w14:paraId="24F60CE6" w14:textId="77777777" w:rsidTr="00B962C4">
        <w:trPr>
          <w:trHeight w:val="255"/>
        </w:trPr>
        <w:tc>
          <w:tcPr>
            <w:tcW w:w="3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73DC6A" w14:textId="77777777" w:rsidR="00C60528" w:rsidRPr="00EF78F4" w:rsidRDefault="00C60528" w:rsidP="00B962C4">
            <w:pPr>
              <w:tabs>
                <w:tab w:val="left" w:pos="8550"/>
              </w:tabs>
              <w:rPr>
                <w:rFonts w:ascii="Arial" w:hAnsi="Arial" w:cs="Arial"/>
                <w:sz w:val="22"/>
                <w:szCs w:val="22"/>
              </w:rPr>
            </w:pPr>
            <w:r w:rsidRPr="00EF78F4">
              <w:rPr>
                <w:rFonts w:ascii="Arial" w:hAnsi="Arial" w:cs="Arial"/>
                <w:sz w:val="22"/>
                <w:szCs w:val="22"/>
              </w:rPr>
              <w:t>Dow Jones Global ex-U.S.</w:t>
            </w:r>
          </w:p>
        </w:tc>
        <w:tc>
          <w:tcPr>
            <w:tcW w:w="1170" w:type="dxa"/>
            <w:tcBorders>
              <w:top w:val="single" w:sz="4" w:space="0" w:color="auto"/>
              <w:left w:val="nil"/>
              <w:bottom w:val="single" w:sz="4" w:space="0" w:color="auto"/>
              <w:right w:val="single" w:sz="4" w:space="0" w:color="auto"/>
            </w:tcBorders>
            <w:vAlign w:val="center"/>
          </w:tcPr>
          <w:p w14:paraId="05DBC952" w14:textId="77777777" w:rsidR="00C60528" w:rsidRPr="00EF78F4" w:rsidRDefault="00C60528" w:rsidP="00B962C4">
            <w:pPr>
              <w:tabs>
                <w:tab w:val="left" w:pos="8550"/>
              </w:tabs>
              <w:jc w:val="center"/>
              <w:rPr>
                <w:rFonts w:ascii="Arial" w:hAnsi="Arial" w:cs="Arial"/>
                <w:sz w:val="22"/>
                <w:szCs w:val="22"/>
              </w:rPr>
            </w:pPr>
            <w:r w:rsidRPr="00EF78F4">
              <w:rPr>
                <w:rFonts w:ascii="Arial" w:hAnsi="Arial" w:cs="Arial"/>
                <w:sz w:val="22"/>
                <w:szCs w:val="22"/>
              </w:rPr>
              <w:t>1.0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C6F719" w14:textId="77777777" w:rsidR="00C60528" w:rsidRPr="00EF78F4" w:rsidRDefault="00C60528" w:rsidP="00B962C4">
            <w:pPr>
              <w:tabs>
                <w:tab w:val="left" w:pos="263"/>
                <w:tab w:val="center" w:pos="372"/>
                <w:tab w:val="left" w:pos="8550"/>
              </w:tabs>
              <w:jc w:val="center"/>
              <w:rPr>
                <w:rFonts w:ascii="Arial" w:hAnsi="Arial" w:cs="Arial"/>
                <w:sz w:val="22"/>
                <w:szCs w:val="22"/>
              </w:rPr>
            </w:pPr>
            <w:r w:rsidRPr="00EF78F4">
              <w:rPr>
                <w:rFonts w:ascii="Arial" w:hAnsi="Arial" w:cs="Arial"/>
                <w:sz w:val="22"/>
                <w:szCs w:val="22"/>
              </w:rPr>
              <w:t>7.4</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B026FA4" w14:textId="77777777" w:rsidR="00C60528" w:rsidRPr="00EF78F4" w:rsidRDefault="00C60528" w:rsidP="00B962C4">
            <w:pPr>
              <w:tabs>
                <w:tab w:val="left" w:pos="8550"/>
              </w:tabs>
              <w:jc w:val="center"/>
              <w:rPr>
                <w:rFonts w:ascii="Arial" w:hAnsi="Arial" w:cs="Arial"/>
                <w:sz w:val="22"/>
                <w:szCs w:val="22"/>
              </w:rPr>
            </w:pPr>
            <w:r w:rsidRPr="00EF78F4">
              <w:rPr>
                <w:rFonts w:ascii="Arial" w:hAnsi="Arial" w:cs="Arial"/>
                <w:sz w:val="22"/>
                <w:szCs w:val="22"/>
              </w:rPr>
              <w:t>24.7</w:t>
            </w:r>
          </w:p>
        </w:tc>
        <w:tc>
          <w:tcPr>
            <w:tcW w:w="900" w:type="dxa"/>
            <w:tcBorders>
              <w:top w:val="single" w:sz="4" w:space="0" w:color="auto"/>
              <w:left w:val="nil"/>
              <w:bottom w:val="single" w:sz="4" w:space="0" w:color="auto"/>
              <w:right w:val="single" w:sz="4" w:space="0" w:color="auto"/>
            </w:tcBorders>
            <w:shd w:val="clear" w:color="auto" w:fill="auto"/>
            <w:vAlign w:val="center"/>
          </w:tcPr>
          <w:p w14:paraId="2781E68F" w14:textId="77777777" w:rsidR="00C60528" w:rsidRPr="00EF78F4" w:rsidRDefault="00C60528" w:rsidP="00B962C4">
            <w:pPr>
              <w:tabs>
                <w:tab w:val="left" w:pos="8550"/>
              </w:tabs>
              <w:jc w:val="center"/>
              <w:rPr>
                <w:rFonts w:ascii="Arial" w:hAnsi="Arial" w:cs="Arial"/>
                <w:sz w:val="22"/>
                <w:szCs w:val="22"/>
              </w:rPr>
            </w:pPr>
            <w:r w:rsidRPr="00EF78F4">
              <w:rPr>
                <w:rFonts w:ascii="Arial" w:hAnsi="Arial" w:cs="Arial"/>
                <w:sz w:val="22"/>
                <w:szCs w:val="22"/>
              </w:rPr>
              <w:t>6.7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D76B8B7" w14:textId="77777777" w:rsidR="00C60528" w:rsidRPr="00EF78F4" w:rsidRDefault="00C60528" w:rsidP="00B962C4">
            <w:pPr>
              <w:tabs>
                <w:tab w:val="left" w:pos="8550"/>
              </w:tabs>
              <w:jc w:val="center"/>
              <w:rPr>
                <w:rFonts w:ascii="Arial" w:hAnsi="Arial" w:cs="Arial"/>
                <w:sz w:val="22"/>
                <w:szCs w:val="22"/>
              </w:rPr>
            </w:pPr>
            <w:r w:rsidRPr="00EF78F4">
              <w:rPr>
                <w:rFonts w:ascii="Arial" w:hAnsi="Arial" w:cs="Arial"/>
                <w:sz w:val="22"/>
                <w:szCs w:val="22"/>
              </w:rPr>
              <w:t>7.6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E992A3D" w14:textId="77777777" w:rsidR="00C60528" w:rsidRPr="00EF78F4" w:rsidRDefault="00C60528" w:rsidP="00B962C4">
            <w:pPr>
              <w:tabs>
                <w:tab w:val="left" w:pos="8550"/>
              </w:tabs>
              <w:jc w:val="center"/>
              <w:rPr>
                <w:rFonts w:ascii="Arial" w:hAnsi="Arial" w:cs="Arial"/>
                <w:sz w:val="22"/>
                <w:szCs w:val="22"/>
              </w:rPr>
            </w:pPr>
            <w:r w:rsidRPr="00EF78F4">
              <w:rPr>
                <w:rFonts w:ascii="Arial" w:hAnsi="Arial" w:cs="Arial"/>
                <w:sz w:val="22"/>
                <w:szCs w:val="22"/>
              </w:rPr>
              <w:t>4.8</w:t>
            </w:r>
          </w:p>
        </w:tc>
      </w:tr>
      <w:tr w:rsidR="00C60528" w:rsidRPr="00EF78F4" w14:paraId="4B6CD24E" w14:textId="77777777" w:rsidTr="00B962C4">
        <w:trPr>
          <w:trHeight w:val="255"/>
        </w:trPr>
        <w:tc>
          <w:tcPr>
            <w:tcW w:w="3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59A9E0" w14:textId="77777777" w:rsidR="00C60528" w:rsidRPr="00EF78F4" w:rsidRDefault="00C60528" w:rsidP="00B962C4">
            <w:pPr>
              <w:tabs>
                <w:tab w:val="left" w:pos="8550"/>
              </w:tabs>
              <w:rPr>
                <w:rFonts w:ascii="Arial" w:hAnsi="Arial" w:cs="Arial"/>
                <w:sz w:val="22"/>
                <w:szCs w:val="22"/>
              </w:rPr>
            </w:pPr>
            <w:r w:rsidRPr="00EF78F4">
              <w:rPr>
                <w:rFonts w:ascii="Arial" w:hAnsi="Arial" w:cs="Arial"/>
                <w:sz w:val="22"/>
                <w:szCs w:val="22"/>
              </w:rPr>
              <w:t>10-year Treasury Note (Yield Only)</w:t>
            </w:r>
          </w:p>
        </w:tc>
        <w:tc>
          <w:tcPr>
            <w:tcW w:w="1170" w:type="dxa"/>
            <w:tcBorders>
              <w:top w:val="single" w:sz="4" w:space="0" w:color="auto"/>
              <w:left w:val="nil"/>
              <w:bottom w:val="single" w:sz="4" w:space="0" w:color="auto"/>
              <w:right w:val="single" w:sz="4" w:space="0" w:color="auto"/>
            </w:tcBorders>
            <w:vAlign w:val="center"/>
          </w:tcPr>
          <w:p w14:paraId="20D6B372" w14:textId="77777777" w:rsidR="00C60528" w:rsidRPr="00EF78F4" w:rsidRDefault="00C60528" w:rsidP="00B962C4">
            <w:pPr>
              <w:tabs>
                <w:tab w:val="left" w:pos="8550"/>
              </w:tabs>
              <w:jc w:val="center"/>
              <w:rPr>
                <w:rFonts w:ascii="Arial" w:hAnsi="Arial" w:cs="Arial"/>
                <w:sz w:val="22"/>
                <w:szCs w:val="22"/>
              </w:rPr>
            </w:pPr>
            <w:r w:rsidRPr="00EF78F4">
              <w:rPr>
                <w:rFonts w:ascii="Arial" w:hAnsi="Arial" w:cs="Arial"/>
                <w:sz w:val="22"/>
                <w:szCs w:val="22"/>
              </w:rPr>
              <w:t>1.3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AED150" w14:textId="77777777" w:rsidR="00C60528" w:rsidRPr="00EF78F4" w:rsidRDefault="00C60528" w:rsidP="00B962C4">
            <w:pPr>
              <w:tabs>
                <w:tab w:val="left" w:pos="263"/>
                <w:tab w:val="center" w:pos="372"/>
                <w:tab w:val="left" w:pos="8550"/>
              </w:tabs>
              <w:jc w:val="center"/>
              <w:rPr>
                <w:rFonts w:ascii="Arial" w:hAnsi="Arial" w:cs="Arial"/>
                <w:sz w:val="22"/>
                <w:szCs w:val="22"/>
              </w:rPr>
            </w:pPr>
            <w:r w:rsidRPr="00EF78F4">
              <w:rPr>
                <w:rFonts w:ascii="Arial" w:hAnsi="Arial" w:cs="Arial"/>
                <w:sz w:val="22"/>
                <w:szCs w:val="22"/>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8A0CD0B" w14:textId="77777777" w:rsidR="00C60528" w:rsidRPr="00EF78F4" w:rsidRDefault="00C60528" w:rsidP="00B962C4">
            <w:pPr>
              <w:tabs>
                <w:tab w:val="left" w:pos="8550"/>
              </w:tabs>
              <w:jc w:val="center"/>
              <w:rPr>
                <w:rFonts w:ascii="Arial" w:hAnsi="Arial" w:cs="Arial"/>
                <w:sz w:val="22"/>
                <w:szCs w:val="22"/>
              </w:rPr>
            </w:pPr>
            <w:r w:rsidRPr="00EF78F4">
              <w:rPr>
                <w:rFonts w:ascii="Arial" w:hAnsi="Arial" w:cs="Arial"/>
                <w:sz w:val="22"/>
                <w:szCs w:val="22"/>
              </w:rPr>
              <w:t>0.5</w:t>
            </w:r>
          </w:p>
        </w:tc>
        <w:tc>
          <w:tcPr>
            <w:tcW w:w="900" w:type="dxa"/>
            <w:tcBorders>
              <w:top w:val="single" w:sz="4" w:space="0" w:color="auto"/>
              <w:left w:val="nil"/>
              <w:bottom w:val="single" w:sz="4" w:space="0" w:color="auto"/>
              <w:right w:val="single" w:sz="4" w:space="0" w:color="auto"/>
            </w:tcBorders>
            <w:shd w:val="clear" w:color="auto" w:fill="auto"/>
            <w:vAlign w:val="center"/>
          </w:tcPr>
          <w:p w14:paraId="0BE6F6D1" w14:textId="77777777" w:rsidR="00C60528" w:rsidRPr="00EF78F4" w:rsidRDefault="00C60528" w:rsidP="00B962C4">
            <w:pPr>
              <w:tabs>
                <w:tab w:val="left" w:pos="8550"/>
              </w:tabs>
              <w:jc w:val="center"/>
              <w:rPr>
                <w:rFonts w:ascii="Arial" w:hAnsi="Arial" w:cs="Arial"/>
                <w:sz w:val="22"/>
                <w:szCs w:val="22"/>
              </w:rPr>
            </w:pPr>
            <w:r w:rsidRPr="00EF78F4">
              <w:rPr>
                <w:rFonts w:ascii="Arial" w:hAnsi="Arial" w:cs="Arial"/>
                <w:sz w:val="22"/>
                <w:szCs w:val="22"/>
              </w:rPr>
              <w:t>2.9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6975EE8" w14:textId="77777777" w:rsidR="00C60528" w:rsidRPr="00EF78F4" w:rsidRDefault="00C60528" w:rsidP="00B962C4">
            <w:pPr>
              <w:tabs>
                <w:tab w:val="left" w:pos="8550"/>
              </w:tabs>
              <w:jc w:val="center"/>
              <w:rPr>
                <w:rFonts w:ascii="Arial" w:hAnsi="Arial" w:cs="Arial"/>
                <w:sz w:val="22"/>
                <w:szCs w:val="22"/>
              </w:rPr>
            </w:pPr>
            <w:r w:rsidRPr="00EF78F4">
              <w:rPr>
                <w:rFonts w:ascii="Arial" w:hAnsi="Arial" w:cs="Arial"/>
                <w:sz w:val="22"/>
                <w:szCs w:val="22"/>
              </w:rPr>
              <w:t>1.6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820BFD9" w14:textId="77777777" w:rsidR="00C60528" w:rsidRPr="00EF78F4" w:rsidRDefault="00C60528" w:rsidP="00B962C4">
            <w:pPr>
              <w:tabs>
                <w:tab w:val="left" w:pos="8550"/>
              </w:tabs>
              <w:jc w:val="center"/>
              <w:rPr>
                <w:rFonts w:ascii="Arial" w:hAnsi="Arial" w:cs="Arial"/>
                <w:sz w:val="22"/>
                <w:szCs w:val="22"/>
              </w:rPr>
            </w:pPr>
            <w:r w:rsidRPr="00EF78F4">
              <w:rPr>
                <w:rFonts w:ascii="Arial" w:hAnsi="Arial" w:cs="Arial"/>
                <w:sz w:val="22"/>
                <w:szCs w:val="22"/>
              </w:rPr>
              <w:t>2.3</w:t>
            </w:r>
          </w:p>
        </w:tc>
      </w:tr>
      <w:tr w:rsidR="00C60528" w:rsidRPr="00EF78F4" w14:paraId="6A34F8B6" w14:textId="77777777" w:rsidTr="00B962C4">
        <w:trPr>
          <w:trHeight w:val="255"/>
        </w:trPr>
        <w:tc>
          <w:tcPr>
            <w:tcW w:w="3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CCD873" w14:textId="77777777" w:rsidR="00C60528" w:rsidRPr="00EF78F4" w:rsidRDefault="00C60528" w:rsidP="00B962C4">
            <w:pPr>
              <w:tabs>
                <w:tab w:val="left" w:pos="8550"/>
              </w:tabs>
              <w:rPr>
                <w:rFonts w:ascii="Arial" w:hAnsi="Arial" w:cs="Arial"/>
                <w:sz w:val="22"/>
                <w:szCs w:val="22"/>
              </w:rPr>
            </w:pPr>
            <w:r w:rsidRPr="00EF78F4">
              <w:rPr>
                <w:rFonts w:ascii="Arial" w:hAnsi="Arial" w:cs="Arial"/>
                <w:sz w:val="22"/>
                <w:szCs w:val="22"/>
              </w:rPr>
              <w:t>Gold (per ounce)</w:t>
            </w:r>
          </w:p>
        </w:tc>
        <w:tc>
          <w:tcPr>
            <w:tcW w:w="1170" w:type="dxa"/>
            <w:tcBorders>
              <w:top w:val="single" w:sz="4" w:space="0" w:color="auto"/>
              <w:left w:val="nil"/>
              <w:bottom w:val="single" w:sz="4" w:space="0" w:color="auto"/>
              <w:right w:val="single" w:sz="4" w:space="0" w:color="auto"/>
            </w:tcBorders>
            <w:vAlign w:val="center"/>
          </w:tcPr>
          <w:p w14:paraId="55986CA6" w14:textId="77777777" w:rsidR="00C60528" w:rsidRPr="00EF78F4" w:rsidRDefault="00C60528" w:rsidP="00B962C4">
            <w:pPr>
              <w:tabs>
                <w:tab w:val="left" w:pos="8550"/>
              </w:tabs>
              <w:jc w:val="center"/>
              <w:rPr>
                <w:rFonts w:ascii="Arial" w:hAnsi="Arial" w:cs="Arial"/>
                <w:sz w:val="22"/>
                <w:szCs w:val="22"/>
              </w:rPr>
            </w:pPr>
            <w:r w:rsidRPr="00EF78F4">
              <w:rPr>
                <w:rFonts w:ascii="Arial" w:hAnsi="Arial" w:cs="Arial"/>
                <w:sz w:val="22"/>
                <w:szCs w:val="22"/>
              </w:rPr>
              <w:t>-3.4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8CF0F9" w14:textId="77777777" w:rsidR="00C60528" w:rsidRPr="00EF78F4" w:rsidRDefault="00C60528" w:rsidP="00B962C4">
            <w:pPr>
              <w:tabs>
                <w:tab w:val="left" w:pos="8550"/>
              </w:tabs>
              <w:jc w:val="center"/>
              <w:rPr>
                <w:rFonts w:ascii="Arial" w:hAnsi="Arial" w:cs="Arial"/>
                <w:sz w:val="22"/>
                <w:szCs w:val="22"/>
              </w:rPr>
            </w:pPr>
            <w:r w:rsidRPr="00EF78F4">
              <w:rPr>
                <w:rFonts w:ascii="Arial" w:hAnsi="Arial" w:cs="Arial"/>
                <w:sz w:val="22"/>
                <w:szCs w:val="22"/>
              </w:rPr>
              <w:t>-6.6</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1056409" w14:textId="77777777" w:rsidR="00C60528" w:rsidRPr="00EF78F4" w:rsidRDefault="00C60528" w:rsidP="00B962C4">
            <w:pPr>
              <w:tabs>
                <w:tab w:val="left" w:pos="8550"/>
              </w:tabs>
              <w:jc w:val="center"/>
              <w:rPr>
                <w:rFonts w:ascii="Arial" w:hAnsi="Arial" w:cs="Arial"/>
                <w:sz w:val="22"/>
                <w:szCs w:val="22"/>
              </w:rPr>
            </w:pPr>
            <w:r w:rsidRPr="00EF78F4">
              <w:rPr>
                <w:rFonts w:ascii="Arial" w:hAnsi="Arial" w:cs="Arial"/>
                <w:sz w:val="22"/>
                <w:szCs w:val="22"/>
              </w:rPr>
              <w:t>-14.7</w:t>
            </w:r>
          </w:p>
        </w:tc>
        <w:tc>
          <w:tcPr>
            <w:tcW w:w="900" w:type="dxa"/>
            <w:tcBorders>
              <w:top w:val="single" w:sz="4" w:space="0" w:color="auto"/>
              <w:left w:val="nil"/>
              <w:bottom w:val="single" w:sz="4" w:space="0" w:color="auto"/>
              <w:right w:val="single" w:sz="4" w:space="0" w:color="auto"/>
            </w:tcBorders>
            <w:shd w:val="clear" w:color="auto" w:fill="auto"/>
            <w:vAlign w:val="center"/>
          </w:tcPr>
          <w:p w14:paraId="26DB9679" w14:textId="77777777" w:rsidR="00C60528" w:rsidRPr="00EF78F4" w:rsidRDefault="00C60528" w:rsidP="00B962C4">
            <w:pPr>
              <w:tabs>
                <w:tab w:val="left" w:pos="8550"/>
              </w:tabs>
              <w:jc w:val="center"/>
              <w:rPr>
                <w:rFonts w:ascii="Arial" w:hAnsi="Arial" w:cs="Arial"/>
                <w:sz w:val="22"/>
                <w:szCs w:val="22"/>
              </w:rPr>
            </w:pPr>
            <w:r w:rsidRPr="00EF78F4">
              <w:rPr>
                <w:rFonts w:ascii="Arial" w:hAnsi="Arial" w:cs="Arial"/>
                <w:sz w:val="22"/>
                <w:szCs w:val="22"/>
              </w:rPr>
              <w:t>13.4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1285455" w14:textId="77777777" w:rsidR="00C60528" w:rsidRPr="00EF78F4" w:rsidRDefault="00C60528" w:rsidP="00B962C4">
            <w:pPr>
              <w:tabs>
                <w:tab w:val="left" w:pos="8550"/>
              </w:tabs>
              <w:jc w:val="center"/>
              <w:rPr>
                <w:rFonts w:ascii="Arial" w:hAnsi="Arial" w:cs="Arial"/>
                <w:sz w:val="22"/>
                <w:szCs w:val="22"/>
              </w:rPr>
            </w:pPr>
            <w:r w:rsidRPr="00EF78F4">
              <w:rPr>
                <w:rFonts w:ascii="Arial" w:hAnsi="Arial" w:cs="Arial"/>
                <w:sz w:val="22"/>
                <w:szCs w:val="22"/>
              </w:rPr>
              <w:t>5.7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3381972" w14:textId="77777777" w:rsidR="00C60528" w:rsidRPr="00EF78F4" w:rsidRDefault="00C60528" w:rsidP="00B962C4">
            <w:pPr>
              <w:tabs>
                <w:tab w:val="left" w:pos="8550"/>
              </w:tabs>
              <w:jc w:val="center"/>
              <w:rPr>
                <w:rFonts w:ascii="Arial" w:hAnsi="Arial" w:cs="Arial"/>
                <w:sz w:val="22"/>
                <w:szCs w:val="22"/>
              </w:rPr>
            </w:pPr>
            <w:r w:rsidRPr="00EF78F4">
              <w:rPr>
                <w:rFonts w:ascii="Arial" w:hAnsi="Arial" w:cs="Arial"/>
                <w:sz w:val="22"/>
                <w:szCs w:val="22"/>
              </w:rPr>
              <w:t>0.4</w:t>
            </w:r>
          </w:p>
        </w:tc>
      </w:tr>
      <w:tr w:rsidR="00C60528" w:rsidRPr="00EF78F4" w14:paraId="10816EE8" w14:textId="77777777" w:rsidTr="00B962C4">
        <w:trPr>
          <w:trHeight w:val="255"/>
        </w:trPr>
        <w:tc>
          <w:tcPr>
            <w:tcW w:w="3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365734" w14:textId="77777777" w:rsidR="00C60528" w:rsidRPr="00EF78F4" w:rsidRDefault="00C60528" w:rsidP="00B962C4">
            <w:pPr>
              <w:tabs>
                <w:tab w:val="left" w:pos="8550"/>
              </w:tabs>
              <w:rPr>
                <w:rFonts w:ascii="Arial" w:hAnsi="Arial" w:cs="Arial"/>
                <w:sz w:val="22"/>
                <w:szCs w:val="22"/>
              </w:rPr>
            </w:pPr>
            <w:r w:rsidRPr="00EF78F4">
              <w:rPr>
                <w:rFonts w:ascii="Arial" w:hAnsi="Arial" w:cs="Arial"/>
                <w:sz w:val="22"/>
                <w:szCs w:val="22"/>
              </w:rPr>
              <w:t>Bloomberg Commodity Index</w:t>
            </w:r>
          </w:p>
        </w:tc>
        <w:tc>
          <w:tcPr>
            <w:tcW w:w="1170" w:type="dxa"/>
            <w:tcBorders>
              <w:top w:val="single" w:sz="4" w:space="0" w:color="auto"/>
              <w:left w:val="nil"/>
              <w:bottom w:val="single" w:sz="4" w:space="0" w:color="auto"/>
              <w:right w:val="single" w:sz="4" w:space="0" w:color="auto"/>
            </w:tcBorders>
            <w:vAlign w:val="center"/>
          </w:tcPr>
          <w:p w14:paraId="78BC2DBE" w14:textId="77777777" w:rsidR="00C60528" w:rsidRPr="00EF78F4" w:rsidRDefault="00C60528" w:rsidP="00B962C4">
            <w:pPr>
              <w:tabs>
                <w:tab w:val="left" w:pos="8550"/>
              </w:tabs>
              <w:jc w:val="center"/>
              <w:rPr>
                <w:rFonts w:ascii="Arial" w:hAnsi="Arial" w:cs="Arial"/>
                <w:sz w:val="22"/>
                <w:szCs w:val="22"/>
              </w:rPr>
            </w:pPr>
            <w:r w:rsidRPr="00EF78F4">
              <w:rPr>
                <w:rFonts w:ascii="Arial" w:hAnsi="Arial" w:cs="Arial"/>
                <w:sz w:val="22"/>
                <w:szCs w:val="22"/>
              </w:rPr>
              <w:t>-1.7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33D9A4" w14:textId="77777777" w:rsidR="00C60528" w:rsidRPr="00EF78F4" w:rsidRDefault="00C60528" w:rsidP="00B962C4">
            <w:pPr>
              <w:tabs>
                <w:tab w:val="left" w:pos="8550"/>
              </w:tabs>
              <w:jc w:val="center"/>
              <w:rPr>
                <w:rFonts w:ascii="Arial" w:hAnsi="Arial" w:cs="Arial"/>
                <w:sz w:val="22"/>
                <w:szCs w:val="22"/>
              </w:rPr>
            </w:pPr>
            <w:r w:rsidRPr="00EF78F4">
              <w:rPr>
                <w:rFonts w:ascii="Arial" w:hAnsi="Arial" w:cs="Arial"/>
                <w:sz w:val="22"/>
                <w:szCs w:val="22"/>
              </w:rPr>
              <w:t>21.3</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E316016" w14:textId="77777777" w:rsidR="00C60528" w:rsidRPr="00EF78F4" w:rsidRDefault="00C60528" w:rsidP="00B962C4">
            <w:pPr>
              <w:tabs>
                <w:tab w:val="left" w:pos="8550"/>
              </w:tabs>
              <w:jc w:val="center"/>
              <w:rPr>
                <w:rFonts w:ascii="Arial" w:hAnsi="Arial" w:cs="Arial"/>
                <w:sz w:val="22"/>
                <w:szCs w:val="22"/>
              </w:rPr>
            </w:pPr>
            <w:r w:rsidRPr="00EF78F4">
              <w:rPr>
                <w:rFonts w:ascii="Arial" w:hAnsi="Arial" w:cs="Arial"/>
                <w:sz w:val="22"/>
                <w:szCs w:val="22"/>
              </w:rPr>
              <w:t>32.7</w:t>
            </w:r>
          </w:p>
        </w:tc>
        <w:tc>
          <w:tcPr>
            <w:tcW w:w="900" w:type="dxa"/>
            <w:tcBorders>
              <w:top w:val="single" w:sz="4" w:space="0" w:color="auto"/>
              <w:left w:val="nil"/>
              <w:bottom w:val="single" w:sz="4" w:space="0" w:color="auto"/>
              <w:right w:val="single" w:sz="4" w:space="0" w:color="auto"/>
            </w:tcBorders>
            <w:shd w:val="clear" w:color="auto" w:fill="auto"/>
            <w:vAlign w:val="center"/>
          </w:tcPr>
          <w:p w14:paraId="77402154" w14:textId="77777777" w:rsidR="00C60528" w:rsidRPr="00EF78F4" w:rsidRDefault="00C60528" w:rsidP="00B962C4">
            <w:pPr>
              <w:tabs>
                <w:tab w:val="left" w:pos="8550"/>
              </w:tabs>
              <w:jc w:val="center"/>
              <w:rPr>
                <w:rFonts w:ascii="Arial" w:hAnsi="Arial" w:cs="Arial"/>
                <w:sz w:val="22"/>
                <w:szCs w:val="22"/>
              </w:rPr>
            </w:pPr>
            <w:r w:rsidRPr="00EF78F4">
              <w:rPr>
                <w:rFonts w:ascii="Arial" w:hAnsi="Arial" w:cs="Arial"/>
                <w:sz w:val="22"/>
                <w:szCs w:val="22"/>
              </w:rPr>
              <w:t>3.6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24B7EBC" w14:textId="77777777" w:rsidR="00C60528" w:rsidRPr="00EF78F4" w:rsidRDefault="00C60528" w:rsidP="00B962C4">
            <w:pPr>
              <w:tabs>
                <w:tab w:val="left" w:pos="8550"/>
              </w:tabs>
              <w:jc w:val="center"/>
              <w:rPr>
                <w:rFonts w:ascii="Arial" w:hAnsi="Arial" w:cs="Arial"/>
                <w:sz w:val="22"/>
                <w:szCs w:val="22"/>
              </w:rPr>
            </w:pPr>
            <w:r w:rsidRPr="00EF78F4">
              <w:rPr>
                <w:rFonts w:ascii="Arial" w:hAnsi="Arial" w:cs="Arial"/>
                <w:sz w:val="22"/>
                <w:szCs w:val="22"/>
              </w:rPr>
              <w:t>2.4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549EFCD" w14:textId="77777777" w:rsidR="00C60528" w:rsidRPr="00EF78F4" w:rsidRDefault="00C60528" w:rsidP="00B962C4">
            <w:pPr>
              <w:tabs>
                <w:tab w:val="left" w:pos="8550"/>
              </w:tabs>
              <w:jc w:val="center"/>
              <w:rPr>
                <w:rFonts w:ascii="Arial" w:hAnsi="Arial" w:cs="Arial"/>
                <w:sz w:val="22"/>
                <w:szCs w:val="22"/>
              </w:rPr>
            </w:pPr>
            <w:r w:rsidRPr="00EF78F4">
              <w:rPr>
                <w:rFonts w:ascii="Arial" w:hAnsi="Arial" w:cs="Arial"/>
                <w:sz w:val="22"/>
                <w:szCs w:val="22"/>
              </w:rPr>
              <w:t>-4.8</w:t>
            </w:r>
          </w:p>
        </w:tc>
      </w:tr>
    </w:tbl>
    <w:p w14:paraId="50886F2E" w14:textId="77777777" w:rsidR="00C60528" w:rsidRPr="006F4C0C" w:rsidRDefault="00C60528" w:rsidP="00C60528">
      <w:pPr>
        <w:rPr>
          <w:rFonts w:ascii="Arial" w:hAnsi="Arial" w:cs="Arial"/>
          <w:sz w:val="18"/>
          <w:szCs w:val="18"/>
        </w:rPr>
      </w:pPr>
      <w:r w:rsidRPr="006F4C0C">
        <w:rPr>
          <w:rFonts w:ascii="Arial" w:hAnsi="Arial" w:cs="Arial"/>
          <w:sz w:val="18"/>
          <w:szCs w:val="18"/>
        </w:rPr>
        <w:t>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1D1E1AB2" w14:textId="77777777" w:rsidR="00C60528" w:rsidRPr="006F4C0C" w:rsidRDefault="00C60528" w:rsidP="00C60528">
      <w:pPr>
        <w:rPr>
          <w:rFonts w:ascii="Arial" w:hAnsi="Arial" w:cs="Arial"/>
          <w:sz w:val="18"/>
          <w:szCs w:val="18"/>
        </w:rPr>
      </w:pPr>
      <w:r w:rsidRPr="006F4C0C">
        <w:rPr>
          <w:rFonts w:ascii="Arial" w:hAnsi="Arial" w:cs="Arial"/>
          <w:sz w:val="18"/>
          <w:szCs w:val="18"/>
        </w:rPr>
        <w:t>Sources: Yahoo! Finance; MarketWatch; djindexes.com; Federal Reserve Bank of St. Louis; London Bullion Market Association.</w:t>
      </w:r>
    </w:p>
    <w:p w14:paraId="26F2D01E" w14:textId="77777777" w:rsidR="00C60528" w:rsidRPr="006F4C0C" w:rsidRDefault="00C60528" w:rsidP="00C60528">
      <w:pPr>
        <w:rPr>
          <w:rFonts w:ascii="Arial" w:hAnsi="Arial" w:cs="Arial"/>
          <w:sz w:val="18"/>
          <w:szCs w:val="18"/>
        </w:rPr>
      </w:pPr>
      <w:r w:rsidRPr="006F4C0C">
        <w:rPr>
          <w:rFonts w:ascii="Arial" w:hAnsi="Arial" w:cs="Arial"/>
          <w:sz w:val="18"/>
          <w:szCs w:val="18"/>
        </w:rPr>
        <w:lastRenderedPageBreak/>
        <w:t>Past performance is no guarantee of future results. Indices are unmanaged and cannot be invested into directly. N/A means not applicable.</w:t>
      </w:r>
    </w:p>
    <w:p w14:paraId="4C26E43E" w14:textId="77777777" w:rsidR="00C60528" w:rsidRPr="00EF78F4" w:rsidRDefault="00C60528" w:rsidP="00C60528">
      <w:pPr>
        <w:rPr>
          <w:rFonts w:ascii="Arial" w:hAnsi="Arial" w:cs="Arial"/>
          <w:bCs/>
          <w:color w:val="000000" w:themeColor="text1"/>
          <w:sz w:val="22"/>
          <w:szCs w:val="22"/>
        </w:rPr>
      </w:pPr>
    </w:p>
    <w:p w14:paraId="0B0EF418" w14:textId="77777777" w:rsidR="00C60528" w:rsidRPr="00EF78F4" w:rsidRDefault="00C60528" w:rsidP="00C60528">
      <w:pPr>
        <w:tabs>
          <w:tab w:val="left" w:pos="8550"/>
        </w:tabs>
        <w:rPr>
          <w:rFonts w:ascii="Arial" w:hAnsi="Arial" w:cs="Arial"/>
          <w:b/>
          <w:bCs/>
          <w:color w:val="35DB3F"/>
          <w:sz w:val="22"/>
          <w:szCs w:val="22"/>
        </w:rPr>
      </w:pPr>
      <w:r w:rsidRPr="00DF4D98">
        <w:rPr>
          <w:rFonts w:ascii="Arial" w:hAnsi="Arial" w:cs="Arial"/>
          <w:b/>
          <w:bCs/>
          <w:color w:val="0D304A"/>
          <w:sz w:val="22"/>
          <w:szCs w:val="22"/>
        </w:rPr>
        <w:t>WHAT’S MAKING US MORE PRODUCTIVE?</w:t>
      </w:r>
      <w:r w:rsidRPr="00EF78F4">
        <w:rPr>
          <w:rFonts w:ascii="Arial" w:hAnsi="Arial" w:cs="Arial"/>
          <w:b/>
          <w:bCs/>
          <w:color w:val="35DB3F"/>
          <w:sz w:val="22"/>
          <w:szCs w:val="22"/>
        </w:rPr>
        <w:t xml:space="preserve"> </w:t>
      </w:r>
      <w:r w:rsidRPr="00EF78F4">
        <w:rPr>
          <w:rFonts w:ascii="Arial" w:hAnsi="Arial" w:cs="Arial"/>
          <w:bCs/>
          <w:color w:val="000000" w:themeColor="text1"/>
          <w:sz w:val="22"/>
          <w:szCs w:val="22"/>
        </w:rPr>
        <w:t>While the United States has not yet recovered all of the jobs lost during the pandemic – 22 million were lost and 16.6 million have returned – productivity is higher than it was when more people were employed.</w:t>
      </w:r>
      <w:r w:rsidRPr="00076E96">
        <w:rPr>
          <w:rFonts w:ascii="Arial" w:hAnsi="Arial" w:cs="Arial"/>
          <w:bCs/>
          <w:color w:val="000000" w:themeColor="text1"/>
          <w:sz w:val="22"/>
          <w:szCs w:val="22"/>
          <w:vertAlign w:val="superscript"/>
        </w:rPr>
        <w:t>8</w:t>
      </w:r>
      <w:r w:rsidRPr="00EF78F4">
        <w:rPr>
          <w:rFonts w:ascii="Arial" w:hAnsi="Arial" w:cs="Arial"/>
          <w:bCs/>
          <w:color w:val="000000" w:themeColor="text1"/>
          <w:sz w:val="22"/>
          <w:szCs w:val="22"/>
        </w:rPr>
        <w:t xml:space="preserve"> </w:t>
      </w:r>
      <w:r w:rsidRPr="00EF78F4">
        <w:rPr>
          <w:rFonts w:ascii="Arial" w:hAnsi="Arial" w:cs="Arial"/>
          <w:bCs/>
          <w:i/>
          <w:iCs/>
          <w:color w:val="000000" w:themeColor="text1"/>
          <w:sz w:val="22"/>
          <w:szCs w:val="22"/>
        </w:rPr>
        <w:t>The Economist</w:t>
      </w:r>
      <w:r w:rsidRPr="00EF78F4">
        <w:rPr>
          <w:rFonts w:ascii="Arial" w:hAnsi="Arial" w:cs="Arial"/>
          <w:bCs/>
          <w:color w:val="000000" w:themeColor="text1"/>
          <w:sz w:val="22"/>
          <w:szCs w:val="22"/>
        </w:rPr>
        <w:t xml:space="preserve"> reported</w:t>
      </w:r>
      <w:r>
        <w:rPr>
          <w:rFonts w:ascii="Arial" w:hAnsi="Arial" w:cs="Arial"/>
          <w:bCs/>
          <w:color w:val="000000" w:themeColor="text1"/>
          <w:sz w:val="22"/>
          <w:szCs w:val="22"/>
        </w:rPr>
        <w:t>:</w:t>
      </w:r>
    </w:p>
    <w:p w14:paraId="57B700D4" w14:textId="77777777" w:rsidR="00C60528" w:rsidRPr="00EF78F4" w:rsidRDefault="00C60528" w:rsidP="00C60528">
      <w:pPr>
        <w:tabs>
          <w:tab w:val="left" w:pos="8550"/>
        </w:tabs>
        <w:rPr>
          <w:rFonts w:ascii="Arial" w:hAnsi="Arial" w:cs="Arial"/>
          <w:bCs/>
          <w:color w:val="000000" w:themeColor="text1"/>
          <w:sz w:val="22"/>
          <w:szCs w:val="22"/>
        </w:rPr>
      </w:pPr>
    </w:p>
    <w:p w14:paraId="22A7A321" w14:textId="6B15A1C6" w:rsidR="00C60528" w:rsidRPr="00EF78F4" w:rsidRDefault="00C60528" w:rsidP="00C60528">
      <w:pPr>
        <w:tabs>
          <w:tab w:val="left" w:pos="8550"/>
        </w:tabs>
        <w:rPr>
          <w:rFonts w:ascii="Arial" w:hAnsi="Arial" w:cs="Arial"/>
          <w:bCs/>
          <w:color w:val="000000" w:themeColor="text1"/>
          <w:sz w:val="22"/>
          <w:szCs w:val="22"/>
        </w:rPr>
      </w:pPr>
      <w:r w:rsidRPr="00EF78F4">
        <w:rPr>
          <w:rFonts w:ascii="Arial" w:hAnsi="Arial" w:cs="Arial"/>
          <w:bCs/>
          <w:color w:val="000000" w:themeColor="text1"/>
          <w:sz w:val="22"/>
          <w:szCs w:val="22"/>
        </w:rPr>
        <w:t>“Though output reached a new high in the second quarter, employment remained more than 4 percent below its pre-pandemic level</w:t>
      </w:r>
      <w:proofErr w:type="gramStart"/>
      <w:r w:rsidRPr="00EF78F4">
        <w:rPr>
          <w:rFonts w:ascii="Arial" w:hAnsi="Arial" w:cs="Arial"/>
          <w:bCs/>
          <w:color w:val="000000" w:themeColor="text1"/>
          <w:sz w:val="22"/>
          <w:szCs w:val="22"/>
        </w:rPr>
        <w:t>…</w:t>
      </w:r>
      <w:r>
        <w:rPr>
          <w:rFonts w:ascii="Arial" w:hAnsi="Arial" w:cs="Arial"/>
          <w:bCs/>
          <w:color w:val="000000" w:themeColor="text1"/>
          <w:sz w:val="22"/>
          <w:szCs w:val="22"/>
        </w:rPr>
        <w:t xml:space="preserve"> .</w:t>
      </w:r>
      <w:proofErr w:type="gramEnd"/>
      <w:r>
        <w:rPr>
          <w:rFonts w:ascii="Arial" w:hAnsi="Arial" w:cs="Arial"/>
          <w:bCs/>
          <w:color w:val="000000" w:themeColor="text1"/>
          <w:sz w:val="22"/>
          <w:szCs w:val="22"/>
        </w:rPr>
        <w:t xml:space="preserve"> </w:t>
      </w:r>
      <w:r w:rsidRPr="00EF78F4">
        <w:rPr>
          <w:rFonts w:ascii="Arial" w:hAnsi="Arial" w:cs="Arial"/>
          <w:bCs/>
          <w:color w:val="000000" w:themeColor="text1"/>
          <w:sz w:val="22"/>
          <w:szCs w:val="22"/>
        </w:rPr>
        <w:t>At present, America is producing more output than it managed just a year and a half ago, with roughly 6 [million] fewer workers.”</w:t>
      </w:r>
    </w:p>
    <w:p w14:paraId="1429E1DD" w14:textId="77777777" w:rsidR="00C60528" w:rsidRPr="00EF78F4" w:rsidRDefault="00C60528" w:rsidP="00C60528">
      <w:pPr>
        <w:tabs>
          <w:tab w:val="left" w:pos="8550"/>
        </w:tabs>
        <w:rPr>
          <w:rFonts w:ascii="Arial" w:hAnsi="Arial" w:cs="Arial"/>
          <w:bCs/>
          <w:color w:val="000000" w:themeColor="text1"/>
          <w:sz w:val="22"/>
          <w:szCs w:val="22"/>
        </w:rPr>
      </w:pPr>
    </w:p>
    <w:p w14:paraId="25CA8998" w14:textId="2650212E" w:rsidR="00C60528" w:rsidRPr="00EF78F4" w:rsidRDefault="00C60528" w:rsidP="00C60528">
      <w:pPr>
        <w:tabs>
          <w:tab w:val="left" w:pos="8550"/>
        </w:tabs>
        <w:rPr>
          <w:rFonts w:ascii="Arial" w:hAnsi="Arial" w:cs="Arial"/>
          <w:bCs/>
          <w:color w:val="000000" w:themeColor="text1"/>
          <w:sz w:val="22"/>
          <w:szCs w:val="22"/>
        </w:rPr>
      </w:pPr>
      <w:r w:rsidRPr="00EF78F4">
        <w:rPr>
          <w:rFonts w:ascii="Arial" w:hAnsi="Arial" w:cs="Arial"/>
          <w:bCs/>
          <w:color w:val="000000" w:themeColor="text1"/>
          <w:sz w:val="22"/>
          <w:szCs w:val="22"/>
        </w:rPr>
        <w:t>Higher productivity undoubtedly reflects the ingenuity of American businesses. The pandemic forced companies to find ways to remain productive. In response, many adopted new technologies, implemented new patterns for working, and changed their business models.</w:t>
      </w:r>
    </w:p>
    <w:p w14:paraId="660D496F" w14:textId="77777777" w:rsidR="00C60528" w:rsidRPr="00EF78F4" w:rsidRDefault="00C60528" w:rsidP="00C60528">
      <w:pPr>
        <w:tabs>
          <w:tab w:val="left" w:pos="8550"/>
        </w:tabs>
        <w:rPr>
          <w:rFonts w:ascii="Arial" w:hAnsi="Arial" w:cs="Arial"/>
          <w:bCs/>
          <w:color w:val="000000" w:themeColor="text1"/>
          <w:sz w:val="22"/>
          <w:szCs w:val="22"/>
        </w:rPr>
      </w:pPr>
    </w:p>
    <w:p w14:paraId="26C71087" w14:textId="7CF035E2" w:rsidR="00C60528" w:rsidRPr="00EF78F4" w:rsidRDefault="00C60528" w:rsidP="00C60528">
      <w:pPr>
        <w:tabs>
          <w:tab w:val="left" w:pos="8550"/>
        </w:tabs>
        <w:rPr>
          <w:rFonts w:ascii="Arial" w:hAnsi="Arial" w:cs="Arial"/>
          <w:bCs/>
          <w:color w:val="000000" w:themeColor="text1"/>
          <w:sz w:val="22"/>
          <w:szCs w:val="22"/>
        </w:rPr>
      </w:pPr>
      <w:r w:rsidRPr="00EF78F4">
        <w:rPr>
          <w:rFonts w:ascii="Arial" w:hAnsi="Arial" w:cs="Arial"/>
          <w:bCs/>
          <w:color w:val="000000" w:themeColor="text1"/>
          <w:sz w:val="22"/>
          <w:szCs w:val="22"/>
        </w:rPr>
        <w:t xml:space="preserve">However, not all companies have experienced gains in productivity, reported Eric Garton and Michael Mankins in the </w:t>
      </w:r>
      <w:r w:rsidRPr="00EF78F4">
        <w:rPr>
          <w:rFonts w:ascii="Arial" w:hAnsi="Arial" w:cs="Arial"/>
          <w:bCs/>
          <w:i/>
          <w:iCs/>
          <w:color w:val="000000" w:themeColor="text1"/>
          <w:sz w:val="22"/>
          <w:szCs w:val="22"/>
        </w:rPr>
        <w:t>Harvard Business Review</w:t>
      </w:r>
      <w:r w:rsidRPr="00EF78F4">
        <w:rPr>
          <w:rFonts w:ascii="Arial" w:hAnsi="Arial" w:cs="Arial"/>
          <w:bCs/>
          <w:color w:val="000000" w:themeColor="text1"/>
          <w:sz w:val="22"/>
          <w:szCs w:val="22"/>
        </w:rPr>
        <w:t>. Those that proved to be the best at managing time, talent and energy – the top 25 percent of companies – were 40 percent more productive than other companies. (The productivity of companies in the lower quartiles was averaged to make the comparison.)</w:t>
      </w:r>
    </w:p>
    <w:p w14:paraId="3DD1BF6B" w14:textId="77777777" w:rsidR="00C60528" w:rsidRPr="00EF78F4" w:rsidRDefault="00C60528" w:rsidP="00C60528">
      <w:pPr>
        <w:tabs>
          <w:tab w:val="left" w:pos="8550"/>
        </w:tabs>
        <w:rPr>
          <w:rFonts w:ascii="Arial" w:hAnsi="Arial" w:cs="Arial"/>
          <w:bCs/>
          <w:color w:val="000000" w:themeColor="text1"/>
          <w:sz w:val="22"/>
          <w:szCs w:val="22"/>
        </w:rPr>
      </w:pPr>
    </w:p>
    <w:p w14:paraId="32A94470" w14:textId="278D9094" w:rsidR="00C60528" w:rsidRPr="00EF78F4" w:rsidRDefault="00C60528" w:rsidP="00C60528">
      <w:pPr>
        <w:tabs>
          <w:tab w:val="left" w:pos="8550"/>
        </w:tabs>
        <w:rPr>
          <w:rFonts w:ascii="Arial" w:hAnsi="Arial" w:cs="Arial"/>
          <w:bCs/>
          <w:color w:val="000000" w:themeColor="text1"/>
          <w:sz w:val="22"/>
          <w:szCs w:val="22"/>
        </w:rPr>
      </w:pPr>
      <w:r w:rsidRPr="00EF78F4">
        <w:rPr>
          <w:rFonts w:ascii="Arial" w:hAnsi="Arial" w:cs="Arial"/>
          <w:bCs/>
          <w:color w:val="000000" w:themeColor="text1"/>
          <w:sz w:val="22"/>
          <w:szCs w:val="22"/>
        </w:rPr>
        <w:t xml:space="preserve">Not all sectors of the economy are equally productive, either. “The surge in output per worker also reflects the changing mix of the workforce. Employment in the leisure and hospitality industries, where productivity tends to be low, remains about 10 percent below the pre-pandemic level, compared to a 3 percent shortfall in the higher-productivity manufacturing sector,” reported </w:t>
      </w:r>
      <w:r w:rsidRPr="00EF78F4">
        <w:rPr>
          <w:rFonts w:ascii="Arial" w:hAnsi="Arial" w:cs="Arial"/>
          <w:bCs/>
          <w:i/>
          <w:iCs/>
          <w:color w:val="000000" w:themeColor="text1"/>
          <w:sz w:val="22"/>
          <w:szCs w:val="22"/>
        </w:rPr>
        <w:t>The Economist</w:t>
      </w:r>
      <w:r w:rsidRPr="00EF78F4">
        <w:rPr>
          <w:rFonts w:ascii="Arial" w:hAnsi="Arial" w:cs="Arial"/>
          <w:bCs/>
          <w:color w:val="000000" w:themeColor="text1"/>
          <w:sz w:val="22"/>
          <w:szCs w:val="22"/>
        </w:rPr>
        <w:t>. As less productive sectors recover, productivity may return to previous levels.</w:t>
      </w:r>
    </w:p>
    <w:p w14:paraId="22B34AFD" w14:textId="77777777" w:rsidR="00C60528" w:rsidRPr="00EF78F4" w:rsidRDefault="00C60528" w:rsidP="00C60528">
      <w:pPr>
        <w:tabs>
          <w:tab w:val="left" w:pos="8550"/>
        </w:tabs>
        <w:rPr>
          <w:rFonts w:ascii="Arial" w:hAnsi="Arial" w:cs="Arial"/>
          <w:bCs/>
          <w:color w:val="000000" w:themeColor="text1"/>
          <w:sz w:val="22"/>
          <w:szCs w:val="22"/>
        </w:rPr>
      </w:pPr>
    </w:p>
    <w:p w14:paraId="53509EA1" w14:textId="616CACD4" w:rsidR="00C60528" w:rsidRPr="00EF78F4" w:rsidRDefault="00C60528" w:rsidP="00C60528">
      <w:pPr>
        <w:tabs>
          <w:tab w:val="left" w:pos="8550"/>
        </w:tabs>
        <w:rPr>
          <w:rFonts w:ascii="Arial" w:hAnsi="Arial" w:cs="Arial"/>
          <w:bCs/>
          <w:color w:val="000000" w:themeColor="text1"/>
          <w:sz w:val="22"/>
          <w:szCs w:val="22"/>
        </w:rPr>
      </w:pPr>
      <w:r w:rsidRPr="00EF78F4">
        <w:rPr>
          <w:rFonts w:ascii="Arial" w:hAnsi="Arial" w:cs="Arial"/>
          <w:bCs/>
          <w:color w:val="000000" w:themeColor="text1"/>
          <w:sz w:val="22"/>
          <w:szCs w:val="22"/>
        </w:rPr>
        <w:t xml:space="preserve">In the meantime, some employees have been wondering whether it’s necessary to return to the workplace when productivity has been high while they’ve been working remotely. In an early July survey conducted by </w:t>
      </w:r>
      <w:r w:rsidRPr="006F4C0C">
        <w:rPr>
          <w:rFonts w:ascii="Arial" w:hAnsi="Arial" w:cs="Arial"/>
          <w:bCs/>
          <w:color w:val="000000" w:themeColor="text1"/>
          <w:sz w:val="22"/>
          <w:szCs w:val="22"/>
        </w:rPr>
        <w:t>The Conference Board</w:t>
      </w:r>
      <w:r w:rsidRPr="00EF78F4">
        <w:rPr>
          <w:rFonts w:ascii="Arial" w:hAnsi="Arial" w:cs="Arial"/>
          <w:bCs/>
          <w:color w:val="000000" w:themeColor="text1"/>
          <w:sz w:val="22"/>
          <w:szCs w:val="22"/>
        </w:rPr>
        <w:t>, a majority (56 percent) of employees asked whether returning to the workplace was wise, but just 18 percent of chief executive officers shared the concern.</w:t>
      </w:r>
    </w:p>
    <w:p w14:paraId="56E274B5" w14:textId="77777777" w:rsidR="00C60528" w:rsidRPr="00EF78F4" w:rsidRDefault="00C60528" w:rsidP="00C60528">
      <w:pPr>
        <w:tabs>
          <w:tab w:val="left" w:pos="8550"/>
        </w:tabs>
        <w:rPr>
          <w:rFonts w:ascii="Arial" w:hAnsi="Arial" w:cs="Arial"/>
          <w:bCs/>
          <w:color w:val="000000" w:themeColor="text1"/>
          <w:sz w:val="22"/>
          <w:szCs w:val="22"/>
        </w:rPr>
      </w:pPr>
    </w:p>
    <w:p w14:paraId="48A42503" w14:textId="77777777" w:rsidR="00C60528" w:rsidRPr="00DF4D98" w:rsidRDefault="00C60528" w:rsidP="00C60528">
      <w:pPr>
        <w:tabs>
          <w:tab w:val="left" w:pos="-3150"/>
          <w:tab w:val="left" w:pos="8550"/>
        </w:tabs>
        <w:rPr>
          <w:rFonts w:ascii="Arial" w:hAnsi="Arial" w:cs="Arial"/>
          <w:b/>
          <w:bCs/>
          <w:color w:val="0D304A"/>
          <w:sz w:val="28"/>
          <w:szCs w:val="28"/>
        </w:rPr>
      </w:pPr>
      <w:r w:rsidRPr="00DF4D98">
        <w:rPr>
          <w:rFonts w:ascii="Arial" w:hAnsi="Arial" w:cs="Arial"/>
          <w:b/>
          <w:bCs/>
          <w:color w:val="0D304A"/>
          <w:sz w:val="28"/>
          <w:szCs w:val="28"/>
        </w:rPr>
        <w:t xml:space="preserve">Weekly Focus – Think About It </w:t>
      </w:r>
    </w:p>
    <w:p w14:paraId="5C2CB516" w14:textId="77777777" w:rsidR="00C60528" w:rsidRPr="00EF78F4" w:rsidRDefault="00C60528" w:rsidP="00C60528">
      <w:pPr>
        <w:rPr>
          <w:rFonts w:ascii="Arial" w:hAnsi="Arial" w:cs="Arial"/>
          <w:color w:val="000000" w:themeColor="text1"/>
          <w:sz w:val="22"/>
          <w:szCs w:val="22"/>
        </w:rPr>
      </w:pPr>
      <w:r w:rsidRPr="00EF78F4">
        <w:rPr>
          <w:rFonts w:ascii="Arial" w:hAnsi="Arial" w:cs="Arial"/>
          <w:color w:val="000000" w:themeColor="text1"/>
          <w:sz w:val="22"/>
          <w:szCs w:val="22"/>
        </w:rPr>
        <w:t>“Whenever you are asked if you can do a job, tell '</w:t>
      </w:r>
      <w:proofErr w:type="spellStart"/>
      <w:r w:rsidRPr="00EF78F4">
        <w:rPr>
          <w:rFonts w:ascii="Arial" w:hAnsi="Arial" w:cs="Arial"/>
          <w:color w:val="000000" w:themeColor="text1"/>
          <w:sz w:val="22"/>
          <w:szCs w:val="22"/>
        </w:rPr>
        <w:t>em</w:t>
      </w:r>
      <w:proofErr w:type="spellEnd"/>
      <w:r w:rsidRPr="00EF78F4">
        <w:rPr>
          <w:rFonts w:ascii="Arial" w:hAnsi="Arial" w:cs="Arial"/>
          <w:color w:val="000000" w:themeColor="text1"/>
          <w:sz w:val="22"/>
          <w:szCs w:val="22"/>
        </w:rPr>
        <w:t xml:space="preserve">, 'Certainly I can!' Then get busy and find out how to do it.” </w:t>
      </w:r>
    </w:p>
    <w:p w14:paraId="3A2BF465" w14:textId="556A958B" w:rsidR="00C60528" w:rsidRDefault="00C60528" w:rsidP="00C60528">
      <w:pPr>
        <w:jc w:val="right"/>
        <w:rPr>
          <w:rFonts w:ascii="Arial" w:hAnsi="Arial" w:cs="Arial"/>
          <w:i/>
          <w:iCs/>
          <w:color w:val="000000" w:themeColor="text1"/>
          <w:sz w:val="22"/>
          <w:szCs w:val="22"/>
        </w:rPr>
      </w:pPr>
      <w:r w:rsidRPr="00DF4D98">
        <w:rPr>
          <w:rFonts w:ascii="Arial" w:hAnsi="Arial" w:cs="Arial"/>
          <w:i/>
          <w:iCs/>
          <w:color w:val="000000" w:themeColor="text1"/>
          <w:sz w:val="22"/>
          <w:szCs w:val="22"/>
        </w:rPr>
        <w:t>—Theodore Roosevelt, 26</w:t>
      </w:r>
      <w:r w:rsidRPr="00DF4D98">
        <w:rPr>
          <w:rFonts w:ascii="Arial" w:hAnsi="Arial" w:cs="Arial"/>
          <w:i/>
          <w:iCs/>
          <w:color w:val="000000" w:themeColor="text1"/>
          <w:sz w:val="22"/>
          <w:szCs w:val="22"/>
          <w:vertAlign w:val="superscript"/>
        </w:rPr>
        <w:t>th</w:t>
      </w:r>
      <w:r w:rsidRPr="00DF4D98">
        <w:rPr>
          <w:rFonts w:ascii="Arial" w:hAnsi="Arial" w:cs="Arial"/>
          <w:i/>
          <w:iCs/>
          <w:color w:val="000000" w:themeColor="text1"/>
          <w:sz w:val="22"/>
          <w:szCs w:val="22"/>
        </w:rPr>
        <w:t xml:space="preserve"> president of the United States</w:t>
      </w:r>
    </w:p>
    <w:p w14:paraId="434B93A5" w14:textId="77777777" w:rsidR="00C60528" w:rsidRPr="00DF4D98" w:rsidRDefault="00C60528" w:rsidP="00C60528">
      <w:pPr>
        <w:jc w:val="right"/>
        <w:rPr>
          <w:rFonts w:ascii="Arial" w:hAnsi="Arial" w:cs="Arial"/>
          <w:i/>
          <w:iCs/>
          <w:color w:val="000000" w:themeColor="text1"/>
          <w:sz w:val="22"/>
          <w:szCs w:val="22"/>
        </w:rPr>
      </w:pPr>
    </w:p>
    <w:p w14:paraId="456BE952" w14:textId="77777777" w:rsidR="00C60528" w:rsidRPr="00BA5F6A" w:rsidRDefault="00C60528" w:rsidP="00C60528">
      <w:pPr>
        <w:ind w:right="-36"/>
        <w:rPr>
          <w:rFonts w:ascii="Arial" w:hAnsi="Arial" w:cs="Arial"/>
          <w:color w:val="000000"/>
          <w:sz w:val="22"/>
          <w:szCs w:val="22"/>
        </w:rPr>
      </w:pPr>
    </w:p>
    <w:p w14:paraId="57E2DA76" w14:textId="41A200D4" w:rsidR="00C60528" w:rsidRDefault="00C60528" w:rsidP="00C60528">
      <w:pPr>
        <w:ind w:right="-36"/>
        <w:rPr>
          <w:rFonts w:ascii="Arial" w:hAnsi="Arial" w:cs="Arial"/>
          <w:color w:val="000000"/>
          <w:sz w:val="22"/>
          <w:szCs w:val="22"/>
        </w:rPr>
      </w:pPr>
      <w:r w:rsidRPr="00BA5F6A">
        <w:rPr>
          <w:rFonts w:ascii="Arial" w:hAnsi="Arial" w:cs="Arial"/>
          <w:color w:val="000000"/>
          <w:sz w:val="22"/>
          <w:szCs w:val="22"/>
        </w:rPr>
        <w:t>Best regards,</w:t>
      </w:r>
    </w:p>
    <w:p w14:paraId="7F068DFE" w14:textId="77777777" w:rsidR="000D7C28" w:rsidRPr="00BA5F6A" w:rsidRDefault="000D7C28" w:rsidP="00C60528">
      <w:pPr>
        <w:ind w:right="-36"/>
        <w:rPr>
          <w:rFonts w:ascii="Arial" w:hAnsi="Arial" w:cs="Arial"/>
          <w:color w:val="000000"/>
          <w:sz w:val="22"/>
          <w:szCs w:val="22"/>
        </w:rPr>
      </w:pPr>
    </w:p>
    <w:p w14:paraId="1F986244" w14:textId="0BC28CD8" w:rsidR="00C60528" w:rsidRPr="00BA5F6A" w:rsidRDefault="000D7C28" w:rsidP="00C60528">
      <w:pPr>
        <w:ind w:right="-36"/>
        <w:rPr>
          <w:rFonts w:ascii="Arial" w:hAnsi="Arial" w:cs="Arial"/>
          <w:color w:val="000000"/>
          <w:sz w:val="22"/>
          <w:szCs w:val="22"/>
        </w:rPr>
      </w:pPr>
      <w:r>
        <w:rPr>
          <w:rFonts w:ascii="Arial" w:hAnsi="Arial" w:cs="Arial"/>
          <w:color w:val="000000"/>
          <w:sz w:val="22"/>
          <w:szCs w:val="22"/>
        </w:rPr>
        <w:t xml:space="preserve">Adam B. Hartung </w:t>
      </w:r>
    </w:p>
    <w:p w14:paraId="33FE7F01" w14:textId="77777777" w:rsidR="00C60528" w:rsidRPr="00B56857" w:rsidRDefault="00C60528" w:rsidP="00C60528">
      <w:pPr>
        <w:ind w:right="-36"/>
        <w:rPr>
          <w:rFonts w:ascii="Arial" w:hAnsi="Arial" w:cs="Arial"/>
          <w:color w:val="000000"/>
          <w:sz w:val="22"/>
          <w:szCs w:val="22"/>
        </w:rPr>
      </w:pPr>
    </w:p>
    <w:p w14:paraId="455B1AF6" w14:textId="77777777" w:rsidR="00C60528" w:rsidRPr="00BA5F6A" w:rsidRDefault="00C60528" w:rsidP="00C60528">
      <w:pPr>
        <w:ind w:right="-36"/>
        <w:rPr>
          <w:rFonts w:ascii="Arial" w:hAnsi="Arial" w:cs="Arial"/>
          <w:color w:val="000000"/>
          <w:sz w:val="22"/>
          <w:szCs w:val="22"/>
        </w:rPr>
      </w:pPr>
      <w:r w:rsidRPr="00BA5F6A">
        <w:rPr>
          <w:rFonts w:ascii="Arial" w:hAnsi="Arial" w:cs="Arial"/>
          <w:color w:val="000000"/>
          <w:sz w:val="22"/>
          <w:szCs w:val="22"/>
        </w:rPr>
        <w:t>P.S.  Please feel free to forward this commentary to family, friends</w:t>
      </w:r>
      <w:r>
        <w:rPr>
          <w:rFonts w:ascii="Arial" w:hAnsi="Arial" w:cs="Arial"/>
          <w:color w:val="000000"/>
          <w:sz w:val="22"/>
          <w:szCs w:val="22"/>
        </w:rPr>
        <w:t xml:space="preserve"> </w:t>
      </w:r>
      <w:r w:rsidRPr="00BA5F6A">
        <w:rPr>
          <w:rFonts w:ascii="Arial" w:hAnsi="Arial" w:cs="Arial"/>
          <w:color w:val="000000"/>
          <w:sz w:val="22"/>
          <w:szCs w:val="22"/>
        </w:rPr>
        <w:t>or colleagues. If you would like us to add them to the list, please reply to this email with their email address and we will ask for their permission to be added.</w:t>
      </w:r>
    </w:p>
    <w:p w14:paraId="532621CA" w14:textId="77777777" w:rsidR="00C60528" w:rsidRPr="00BA5F6A" w:rsidRDefault="00C60528" w:rsidP="00C60528">
      <w:pPr>
        <w:rPr>
          <w:rFonts w:ascii="Arial" w:hAnsi="Arial" w:cs="Arial"/>
          <w:color w:val="000000"/>
          <w:sz w:val="22"/>
          <w:szCs w:val="22"/>
        </w:rPr>
      </w:pPr>
    </w:p>
    <w:p w14:paraId="78EB14BA" w14:textId="5B4712BC" w:rsidR="00C60528" w:rsidRPr="00BA5F6A" w:rsidRDefault="00C60528" w:rsidP="00C60528">
      <w:pPr>
        <w:ind w:right="-36"/>
        <w:rPr>
          <w:rFonts w:ascii="Arial" w:hAnsi="Arial" w:cs="Arial"/>
          <w:color w:val="000000"/>
          <w:sz w:val="22"/>
          <w:szCs w:val="22"/>
        </w:rPr>
      </w:pPr>
      <w:r w:rsidRPr="00BA5F6A">
        <w:rPr>
          <w:rFonts w:ascii="Arial" w:hAnsi="Arial" w:cs="Arial"/>
          <w:color w:val="000000"/>
          <w:sz w:val="22"/>
          <w:szCs w:val="22"/>
        </w:rPr>
        <w:t>Securities offered through</w:t>
      </w:r>
      <w:r w:rsidRPr="00BA5F6A">
        <w:rPr>
          <w:rStyle w:val="apple-converted-space"/>
          <w:rFonts w:ascii="Arial" w:hAnsi="Arial" w:cs="Arial"/>
          <w:color w:val="000000"/>
          <w:sz w:val="22"/>
          <w:szCs w:val="22"/>
        </w:rPr>
        <w:t> </w:t>
      </w:r>
      <w:r w:rsidR="000D7C28" w:rsidRPr="000D7C28">
        <w:rPr>
          <w:rFonts w:ascii="Arial" w:hAnsi="Arial" w:cs="Arial"/>
          <w:sz w:val="22"/>
          <w:szCs w:val="22"/>
        </w:rPr>
        <w:t>Parkland Securities,</w:t>
      </w:r>
      <w:r w:rsidRPr="000D7C28">
        <w:rPr>
          <w:rFonts w:ascii="Arial" w:hAnsi="Arial" w:cs="Arial"/>
          <w:sz w:val="22"/>
          <w:szCs w:val="22"/>
        </w:rPr>
        <w:t xml:space="preserve"> </w:t>
      </w:r>
      <w:r w:rsidRPr="00BA5F6A">
        <w:rPr>
          <w:rFonts w:ascii="Arial" w:hAnsi="Arial" w:cs="Arial"/>
          <w:color w:val="000000"/>
          <w:sz w:val="22"/>
          <w:szCs w:val="22"/>
        </w:rPr>
        <w:t>Member FINRA/SIPC.</w:t>
      </w:r>
    </w:p>
    <w:p w14:paraId="6D87154F" w14:textId="77777777" w:rsidR="00C60528" w:rsidRPr="00BA5F6A" w:rsidRDefault="00C60528" w:rsidP="00C60528">
      <w:pPr>
        <w:rPr>
          <w:rFonts w:ascii="Arial" w:hAnsi="Arial" w:cs="Arial"/>
          <w:color w:val="000000"/>
          <w:sz w:val="18"/>
          <w:szCs w:val="18"/>
        </w:rPr>
      </w:pPr>
      <w:r w:rsidRPr="00BA5F6A">
        <w:rPr>
          <w:rFonts w:ascii="Arial" w:hAnsi="Arial" w:cs="Arial"/>
          <w:color w:val="000000"/>
          <w:sz w:val="18"/>
          <w:szCs w:val="18"/>
        </w:rPr>
        <w:t> </w:t>
      </w:r>
    </w:p>
    <w:p w14:paraId="72496DB5" w14:textId="77777777" w:rsidR="00C60528" w:rsidRPr="00BA5F6A" w:rsidRDefault="00C60528" w:rsidP="00C60528">
      <w:pPr>
        <w:ind w:right="-36"/>
        <w:rPr>
          <w:rFonts w:ascii="Arial" w:hAnsi="Arial" w:cs="Arial"/>
          <w:color w:val="000000"/>
          <w:sz w:val="18"/>
          <w:szCs w:val="18"/>
        </w:rPr>
      </w:pPr>
      <w:r w:rsidRPr="00BA5F6A">
        <w:rPr>
          <w:rFonts w:ascii="Arial" w:hAnsi="Arial" w:cs="Arial"/>
          <w:color w:val="000000"/>
          <w:sz w:val="18"/>
          <w:szCs w:val="18"/>
        </w:rPr>
        <w:t>* These views are those of Carson Coaching, not the presenting Representative, the Representative’s Broker/Dealer, or Registered Investment Advisor, and should not be construed as investment advice.</w:t>
      </w:r>
    </w:p>
    <w:p w14:paraId="0602BC42" w14:textId="77777777" w:rsidR="00C60528" w:rsidRPr="00BA5F6A" w:rsidRDefault="00C60528" w:rsidP="00C60528">
      <w:pPr>
        <w:ind w:right="-36"/>
        <w:rPr>
          <w:rFonts w:ascii="Arial" w:hAnsi="Arial" w:cs="Arial"/>
          <w:color w:val="000000"/>
          <w:sz w:val="18"/>
          <w:szCs w:val="18"/>
        </w:rPr>
      </w:pPr>
      <w:r w:rsidRPr="00BA5F6A">
        <w:rPr>
          <w:rFonts w:ascii="Arial" w:hAnsi="Arial" w:cs="Arial"/>
          <w:color w:val="000000"/>
          <w:sz w:val="18"/>
          <w:szCs w:val="18"/>
        </w:rPr>
        <w:t>* This newsletter was prepared by Carson Coaching. Carson Coaching is not affiliated with the named firm or broker/dealer.</w:t>
      </w:r>
    </w:p>
    <w:p w14:paraId="31FCDB10" w14:textId="77777777" w:rsidR="00C60528" w:rsidRPr="00BA5F6A" w:rsidRDefault="00C60528" w:rsidP="00C60528">
      <w:pPr>
        <w:ind w:right="-36"/>
        <w:rPr>
          <w:rFonts w:ascii="Arial" w:hAnsi="Arial" w:cs="Arial"/>
          <w:color w:val="000000"/>
          <w:sz w:val="18"/>
          <w:szCs w:val="18"/>
        </w:rPr>
      </w:pPr>
      <w:r w:rsidRPr="00BA5F6A">
        <w:rPr>
          <w:rFonts w:ascii="Arial" w:hAnsi="Arial" w:cs="Arial"/>
          <w:color w:val="000000"/>
          <w:sz w:val="18"/>
          <w:szCs w:val="18"/>
        </w:rPr>
        <w:lastRenderedPageBreak/>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4C6CB94C" w14:textId="77777777" w:rsidR="00C60528" w:rsidRPr="00BA5F6A" w:rsidRDefault="00C60528" w:rsidP="00C60528">
      <w:pPr>
        <w:ind w:right="-36"/>
        <w:rPr>
          <w:rFonts w:ascii="Arial" w:hAnsi="Arial" w:cs="Arial"/>
          <w:color w:val="000000"/>
          <w:sz w:val="18"/>
          <w:szCs w:val="18"/>
        </w:rPr>
      </w:pPr>
      <w:r w:rsidRPr="00BA5F6A">
        <w:rPr>
          <w:rFonts w:ascii="Arial" w:hAnsi="Arial" w:cs="Arial"/>
          <w:color w:val="000000"/>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20D7334" w14:textId="77777777" w:rsidR="00C60528" w:rsidRPr="00BA5F6A" w:rsidRDefault="00C60528" w:rsidP="00C60528">
      <w:pPr>
        <w:ind w:right="-36"/>
        <w:rPr>
          <w:rFonts w:ascii="Arial" w:hAnsi="Arial" w:cs="Arial"/>
          <w:color w:val="000000"/>
          <w:sz w:val="18"/>
          <w:szCs w:val="18"/>
        </w:rPr>
      </w:pPr>
      <w:r w:rsidRPr="00BA5F6A">
        <w:rPr>
          <w:rFonts w:ascii="Arial" w:hAnsi="Arial" w:cs="Arial"/>
          <w:color w:val="000000"/>
          <w:sz w:val="18"/>
          <w:szCs w:val="18"/>
        </w:rPr>
        <w:t>* The Standard &amp; Poor's 500 (S&amp;P 500) is an unmanaged group of securities considered to be representative of the stock market in general. You cannot invest directly in this index.</w:t>
      </w:r>
    </w:p>
    <w:p w14:paraId="59093628" w14:textId="77777777" w:rsidR="00C60528" w:rsidRPr="00BA5F6A" w:rsidRDefault="00C60528" w:rsidP="00C60528">
      <w:pPr>
        <w:ind w:right="-36"/>
        <w:rPr>
          <w:rFonts w:ascii="Arial" w:hAnsi="Arial" w:cs="Arial"/>
          <w:color w:val="000000"/>
          <w:sz w:val="18"/>
          <w:szCs w:val="18"/>
        </w:rPr>
      </w:pPr>
      <w:r w:rsidRPr="00BA5F6A">
        <w:rPr>
          <w:rFonts w:ascii="Arial" w:hAnsi="Arial" w:cs="Arial"/>
          <w:color w:val="000000"/>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516F7313" w14:textId="77777777" w:rsidR="00C60528" w:rsidRPr="00BA5F6A" w:rsidRDefault="00C60528" w:rsidP="00C60528">
      <w:pPr>
        <w:ind w:right="-36"/>
        <w:rPr>
          <w:rFonts w:ascii="Arial" w:hAnsi="Arial" w:cs="Arial"/>
          <w:color w:val="000000"/>
          <w:sz w:val="18"/>
          <w:szCs w:val="18"/>
        </w:rPr>
      </w:pPr>
      <w:r w:rsidRPr="00BA5F6A">
        <w:rPr>
          <w:rFonts w:ascii="Arial" w:hAnsi="Arial" w:cs="Arial"/>
          <w:color w:val="000000"/>
          <w:sz w:val="18"/>
          <w:szCs w:val="18"/>
        </w:rPr>
        <w:t>* The Dow Jones Global ex-U.S. Index covers approximately 95% of the market capitalization of the 45 developed and emerging countries included in the Index.</w:t>
      </w:r>
    </w:p>
    <w:p w14:paraId="3B9E88E1" w14:textId="77777777" w:rsidR="00C60528" w:rsidRPr="00BA5F6A" w:rsidRDefault="00C60528" w:rsidP="00C60528">
      <w:pPr>
        <w:ind w:right="-36"/>
        <w:rPr>
          <w:rFonts w:ascii="Arial" w:hAnsi="Arial" w:cs="Arial"/>
          <w:color w:val="000000"/>
          <w:sz w:val="18"/>
          <w:szCs w:val="18"/>
        </w:rPr>
      </w:pPr>
      <w:r w:rsidRPr="00BA5F6A">
        <w:rPr>
          <w:rFonts w:ascii="Arial" w:hAnsi="Arial" w:cs="Arial"/>
          <w:color w:val="000000"/>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4BF5E592" w14:textId="77777777" w:rsidR="00C60528" w:rsidRPr="00BA5F6A" w:rsidRDefault="00C60528" w:rsidP="00C60528">
      <w:pPr>
        <w:ind w:right="-36"/>
        <w:rPr>
          <w:rFonts w:ascii="Arial" w:hAnsi="Arial" w:cs="Arial"/>
          <w:color w:val="000000"/>
          <w:sz w:val="18"/>
          <w:szCs w:val="18"/>
        </w:rPr>
      </w:pPr>
      <w:r w:rsidRPr="00BA5F6A">
        <w:rPr>
          <w:rFonts w:ascii="Arial" w:hAnsi="Arial" w:cs="Arial"/>
          <w:color w:val="000000"/>
          <w:sz w:val="18"/>
          <w:szCs w:val="18"/>
        </w:rPr>
        <w:t>* Gold represents the 3:00 p.m. (London time) gold price as reported by the London Bullion Market Association and is expressed in U.S. Dollars per fine troy ounce. The source for gold data is Federal Reserve Bank of St. Louis (FRED),</w:t>
      </w:r>
      <w:r w:rsidRPr="00BA5F6A">
        <w:rPr>
          <w:rStyle w:val="apple-converted-space"/>
          <w:rFonts w:ascii="Arial" w:hAnsi="Arial" w:cs="Arial"/>
          <w:color w:val="000000"/>
          <w:sz w:val="18"/>
          <w:szCs w:val="18"/>
        </w:rPr>
        <w:t> </w:t>
      </w:r>
      <w:r w:rsidRPr="00D86C1E">
        <w:rPr>
          <w:rFonts w:ascii="Arial" w:hAnsi="Arial" w:cs="Arial"/>
          <w:sz w:val="18"/>
          <w:szCs w:val="18"/>
        </w:rPr>
        <w:t>https://fred.stlouisfed.org/series/GOLDPMGBD228NLBM</w:t>
      </w:r>
      <w:r w:rsidRPr="00BA5F6A">
        <w:rPr>
          <w:rFonts w:ascii="Arial" w:hAnsi="Arial" w:cs="Arial"/>
          <w:color w:val="000000"/>
          <w:sz w:val="18"/>
          <w:szCs w:val="18"/>
        </w:rPr>
        <w:t>.</w:t>
      </w:r>
    </w:p>
    <w:p w14:paraId="3374F6F8" w14:textId="77777777" w:rsidR="00C60528" w:rsidRPr="00BA5F6A" w:rsidRDefault="00C60528" w:rsidP="00C60528">
      <w:pPr>
        <w:ind w:right="-36"/>
        <w:rPr>
          <w:rFonts w:ascii="Arial" w:hAnsi="Arial" w:cs="Arial"/>
          <w:color w:val="000000"/>
          <w:sz w:val="18"/>
          <w:szCs w:val="18"/>
        </w:rPr>
      </w:pPr>
      <w:r w:rsidRPr="00BA5F6A">
        <w:rPr>
          <w:rFonts w:ascii="Arial" w:hAnsi="Arial" w:cs="Arial"/>
          <w:color w:val="000000"/>
          <w:sz w:val="18"/>
          <w:szCs w:val="18"/>
        </w:rPr>
        <w:t>* The Bloomberg Commodity Index is designed to be a highly liquid and diversified benchmark for the commodity futures market. The Index is composed of futures contracts on 19 physical commodities and was launched on July 14, 1998.</w:t>
      </w:r>
    </w:p>
    <w:p w14:paraId="29335546" w14:textId="77777777" w:rsidR="00C60528" w:rsidRPr="00BA5F6A" w:rsidRDefault="00C60528" w:rsidP="00C60528">
      <w:pPr>
        <w:ind w:right="-36"/>
        <w:rPr>
          <w:rFonts w:ascii="Arial" w:hAnsi="Arial" w:cs="Arial"/>
          <w:color w:val="000000"/>
          <w:sz w:val="18"/>
          <w:szCs w:val="18"/>
        </w:rPr>
      </w:pPr>
      <w:r w:rsidRPr="00BA5F6A">
        <w:rPr>
          <w:rFonts w:ascii="Arial" w:hAnsi="Arial" w:cs="Arial"/>
          <w:color w:val="000000"/>
          <w:sz w:val="18"/>
          <w:szCs w:val="18"/>
        </w:rPr>
        <w:t>* The DJ Equity All REIT Total Return Index measures the total return performance of the equity subcategory of the Real Estate Investment Trust (REIT) industry as calculated by Dow Jones.</w:t>
      </w:r>
    </w:p>
    <w:p w14:paraId="315B155A" w14:textId="77777777" w:rsidR="00C60528" w:rsidRPr="00BA5F6A" w:rsidRDefault="00C60528" w:rsidP="00C60528">
      <w:pPr>
        <w:ind w:right="-36"/>
        <w:rPr>
          <w:rFonts w:ascii="Arial" w:hAnsi="Arial" w:cs="Arial"/>
          <w:color w:val="000000"/>
          <w:sz w:val="18"/>
          <w:szCs w:val="18"/>
        </w:rPr>
      </w:pPr>
      <w:r w:rsidRPr="00BA5F6A">
        <w:rPr>
          <w:rFonts w:ascii="Arial" w:hAnsi="Arial" w:cs="Arial"/>
          <w:color w:val="000000"/>
          <w:sz w:val="18"/>
          <w:szCs w:val="18"/>
        </w:rPr>
        <w:t xml:space="preserve">* The Dow Jones Industrial Average (DJIA), commonly known as “The Dow,” is an index representing 30 </w:t>
      </w:r>
      <w:proofErr w:type="gramStart"/>
      <w:r w:rsidRPr="00BA5F6A">
        <w:rPr>
          <w:rFonts w:ascii="Arial" w:hAnsi="Arial" w:cs="Arial"/>
          <w:color w:val="000000"/>
          <w:sz w:val="18"/>
          <w:szCs w:val="18"/>
        </w:rPr>
        <w:t>stock</w:t>
      </w:r>
      <w:proofErr w:type="gramEnd"/>
      <w:r w:rsidRPr="00BA5F6A">
        <w:rPr>
          <w:rFonts w:ascii="Arial" w:hAnsi="Arial" w:cs="Arial"/>
          <w:color w:val="000000"/>
          <w:sz w:val="18"/>
          <w:szCs w:val="18"/>
        </w:rPr>
        <w:t xml:space="preserve"> of companies maintained and reviewed by the editors of The Wall Street Journal.</w:t>
      </w:r>
    </w:p>
    <w:p w14:paraId="0E4EFD02" w14:textId="77777777" w:rsidR="00C60528" w:rsidRPr="00BA5F6A" w:rsidRDefault="00C60528" w:rsidP="00C60528">
      <w:pPr>
        <w:ind w:right="-36"/>
        <w:rPr>
          <w:rFonts w:ascii="Arial" w:hAnsi="Arial" w:cs="Arial"/>
          <w:color w:val="000000"/>
          <w:sz w:val="18"/>
          <w:szCs w:val="18"/>
        </w:rPr>
      </w:pPr>
      <w:r w:rsidRPr="00BA5F6A">
        <w:rPr>
          <w:rFonts w:ascii="Arial" w:hAnsi="Arial" w:cs="Arial"/>
          <w:color w:val="000000"/>
          <w:sz w:val="18"/>
          <w:szCs w:val="18"/>
        </w:rPr>
        <w:t>* The NASDAQ Composite is an unmanaged index of securities traded on the NASDAQ system.</w:t>
      </w:r>
    </w:p>
    <w:p w14:paraId="074CEB01" w14:textId="77777777" w:rsidR="00C60528" w:rsidRPr="00BA5F6A" w:rsidRDefault="00C60528" w:rsidP="00C60528">
      <w:pPr>
        <w:ind w:right="-36"/>
        <w:rPr>
          <w:rFonts w:ascii="Arial" w:hAnsi="Arial" w:cs="Arial"/>
          <w:color w:val="000000"/>
          <w:sz w:val="18"/>
          <w:szCs w:val="18"/>
        </w:rPr>
      </w:pPr>
      <w:r w:rsidRPr="00BA5F6A">
        <w:rPr>
          <w:rFonts w:ascii="Arial" w:hAnsi="Arial" w:cs="Arial"/>
          <w:color w:val="000000"/>
          <w:sz w:val="18"/>
          <w:szCs w:val="18"/>
        </w:rPr>
        <w:t>* International investing involves special risks such as currency fluctuation and political instability and may not be suitable for all investors. These risks are often heightened for investments in emerging markets.</w:t>
      </w:r>
    </w:p>
    <w:p w14:paraId="2CE03E76" w14:textId="77777777" w:rsidR="00C60528" w:rsidRPr="00BA5F6A" w:rsidRDefault="00C60528" w:rsidP="00C60528">
      <w:pPr>
        <w:ind w:right="-36"/>
        <w:rPr>
          <w:rFonts w:ascii="Arial" w:hAnsi="Arial" w:cs="Arial"/>
          <w:color w:val="000000"/>
          <w:sz w:val="18"/>
          <w:szCs w:val="18"/>
        </w:rPr>
      </w:pPr>
      <w:r w:rsidRPr="00BA5F6A">
        <w:rPr>
          <w:rFonts w:ascii="Arial" w:hAnsi="Arial" w:cs="Arial"/>
          <w:color w:val="000000"/>
          <w:sz w:val="18"/>
          <w:szCs w:val="18"/>
        </w:rPr>
        <w:t>* Yahoo! Finance is the source for any reference to the performance of an index between two specific periods.</w:t>
      </w:r>
    </w:p>
    <w:p w14:paraId="31C8F814" w14:textId="77777777" w:rsidR="00C60528" w:rsidRPr="00BA5F6A" w:rsidRDefault="00C60528" w:rsidP="00C60528">
      <w:pPr>
        <w:rPr>
          <w:rFonts w:ascii="Arial" w:hAnsi="Arial" w:cs="Arial"/>
          <w:color w:val="000000"/>
          <w:sz w:val="18"/>
          <w:szCs w:val="18"/>
        </w:rPr>
      </w:pPr>
      <w:r w:rsidRPr="00BA5F6A">
        <w:rPr>
          <w:rFonts w:ascii="Arial" w:hAnsi="Arial" w:cs="Arial"/>
          <w:color w:val="000000"/>
          <w:sz w:val="18"/>
          <w:szCs w:val="18"/>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05E1EE7C" w14:textId="77777777" w:rsidR="00C60528" w:rsidRPr="00BA5F6A" w:rsidRDefault="00C60528" w:rsidP="00C60528">
      <w:pPr>
        <w:ind w:right="-36"/>
        <w:rPr>
          <w:rFonts w:ascii="Arial" w:hAnsi="Arial" w:cs="Arial"/>
          <w:color w:val="000000"/>
          <w:sz w:val="18"/>
          <w:szCs w:val="18"/>
        </w:rPr>
      </w:pPr>
      <w:r w:rsidRPr="00BA5F6A">
        <w:rPr>
          <w:rFonts w:ascii="Arial" w:hAnsi="Arial" w:cs="Arial"/>
          <w:color w:val="000000"/>
          <w:sz w:val="18"/>
          <w:szCs w:val="18"/>
        </w:rPr>
        <w:t>* Opinions expressed are subject to change without notice and are not intended as investment advice or to predict future performance.</w:t>
      </w:r>
    </w:p>
    <w:p w14:paraId="4786CF02" w14:textId="77777777" w:rsidR="00C60528" w:rsidRPr="00BA5F6A" w:rsidRDefault="00C60528" w:rsidP="00C60528">
      <w:pPr>
        <w:ind w:right="-36"/>
        <w:rPr>
          <w:rFonts w:ascii="Arial" w:hAnsi="Arial" w:cs="Arial"/>
          <w:color w:val="000000"/>
          <w:sz w:val="18"/>
          <w:szCs w:val="18"/>
        </w:rPr>
      </w:pPr>
      <w:r w:rsidRPr="00BA5F6A">
        <w:rPr>
          <w:rFonts w:ascii="Arial" w:hAnsi="Arial" w:cs="Arial"/>
          <w:color w:val="000000"/>
          <w:sz w:val="18"/>
          <w:szCs w:val="18"/>
        </w:rPr>
        <w:t>* Economic forecasts set forth may not develop as predicted and there can be no guarantee that strategies promoted will be successful.</w:t>
      </w:r>
    </w:p>
    <w:p w14:paraId="19C04FE7" w14:textId="77777777" w:rsidR="00C60528" w:rsidRPr="00BA5F6A" w:rsidRDefault="00C60528" w:rsidP="00C60528">
      <w:pPr>
        <w:ind w:right="-36"/>
        <w:rPr>
          <w:rFonts w:ascii="Arial" w:hAnsi="Arial" w:cs="Arial"/>
          <w:color w:val="000000"/>
          <w:sz w:val="18"/>
          <w:szCs w:val="18"/>
        </w:rPr>
      </w:pPr>
      <w:r w:rsidRPr="00BA5F6A">
        <w:rPr>
          <w:rFonts w:ascii="Arial" w:hAnsi="Arial" w:cs="Arial"/>
          <w:color w:val="000000"/>
          <w:sz w:val="18"/>
          <w:szCs w:val="18"/>
        </w:rPr>
        <w:t>* Past performance does not guarantee future results. Investing involves risk, including loss of principal.</w:t>
      </w:r>
    </w:p>
    <w:p w14:paraId="01C61209" w14:textId="77777777" w:rsidR="00C60528" w:rsidRPr="00BA5F6A" w:rsidRDefault="00C60528" w:rsidP="00C60528">
      <w:pPr>
        <w:ind w:right="-36"/>
        <w:rPr>
          <w:rFonts w:ascii="Arial" w:hAnsi="Arial" w:cs="Arial"/>
          <w:color w:val="000000"/>
          <w:sz w:val="18"/>
          <w:szCs w:val="18"/>
        </w:rPr>
      </w:pPr>
      <w:r w:rsidRPr="00BA5F6A">
        <w:rPr>
          <w:rFonts w:ascii="Arial" w:hAnsi="Arial" w:cs="Arial"/>
          <w:color w:val="000000"/>
          <w:sz w:val="18"/>
          <w:szCs w:val="18"/>
        </w:rPr>
        <w:t>*</w:t>
      </w:r>
      <w:r w:rsidRPr="00BA5F6A">
        <w:rPr>
          <w:rStyle w:val="apple-converted-space"/>
          <w:rFonts w:ascii="Arial" w:hAnsi="Arial" w:cs="Arial"/>
          <w:color w:val="000000"/>
          <w:sz w:val="18"/>
          <w:szCs w:val="18"/>
        </w:rPr>
        <w:t> </w:t>
      </w:r>
      <w:r w:rsidRPr="00BA5F6A">
        <w:rPr>
          <w:rFonts w:ascii="Arial" w:hAnsi="Arial" w:cs="Arial"/>
          <w:color w:val="000000"/>
          <w:sz w:val="18"/>
          <w:szCs w:val="18"/>
          <w:shd w:val="clear" w:color="auto" w:fill="FFFFFF"/>
        </w:rPr>
        <w:t>The foregoing information has been obtained from sources considered to be reliable, but we do not guarantee it is accurate or complete.</w:t>
      </w:r>
    </w:p>
    <w:p w14:paraId="26AE90D4" w14:textId="77777777" w:rsidR="00C60528" w:rsidRPr="00BA5F6A" w:rsidRDefault="00C60528" w:rsidP="00C60528">
      <w:pPr>
        <w:ind w:right="-36"/>
        <w:rPr>
          <w:rFonts w:ascii="Arial" w:hAnsi="Arial" w:cs="Arial"/>
          <w:color w:val="000000"/>
          <w:sz w:val="18"/>
          <w:szCs w:val="18"/>
        </w:rPr>
      </w:pPr>
      <w:r w:rsidRPr="00BA5F6A">
        <w:rPr>
          <w:rFonts w:ascii="Arial" w:hAnsi="Arial" w:cs="Arial"/>
          <w:color w:val="000000"/>
          <w:sz w:val="18"/>
          <w:szCs w:val="18"/>
        </w:rPr>
        <w:t>* There is no guarantee a diversified portfolio will enhance overall returns or outperform a non-diversified portfolio. Diversification does not protect against market risk.</w:t>
      </w:r>
    </w:p>
    <w:p w14:paraId="11F6D948" w14:textId="77777777" w:rsidR="00C60528" w:rsidRPr="00BA5F6A" w:rsidRDefault="00C60528" w:rsidP="00C60528">
      <w:pPr>
        <w:ind w:right="-36"/>
        <w:rPr>
          <w:rFonts w:ascii="Arial" w:hAnsi="Arial" w:cs="Arial"/>
          <w:color w:val="000000"/>
          <w:sz w:val="18"/>
          <w:szCs w:val="18"/>
        </w:rPr>
      </w:pPr>
      <w:r w:rsidRPr="00BA5F6A">
        <w:rPr>
          <w:rFonts w:ascii="Arial" w:hAnsi="Arial" w:cs="Arial"/>
          <w:color w:val="000000"/>
          <w:sz w:val="18"/>
          <w:szCs w:val="18"/>
        </w:rPr>
        <w:t>* Asset allocation does not ensure a profit or protect against a loss.</w:t>
      </w:r>
    </w:p>
    <w:p w14:paraId="45FA557B" w14:textId="77777777" w:rsidR="00C60528" w:rsidRPr="00BA5F6A" w:rsidRDefault="00C60528" w:rsidP="00C60528">
      <w:pPr>
        <w:ind w:right="-36"/>
        <w:rPr>
          <w:rFonts w:ascii="Arial" w:hAnsi="Arial" w:cs="Arial"/>
          <w:color w:val="000000"/>
          <w:sz w:val="18"/>
          <w:szCs w:val="18"/>
        </w:rPr>
      </w:pPr>
      <w:r w:rsidRPr="00BA5F6A">
        <w:rPr>
          <w:rFonts w:ascii="Arial" w:hAnsi="Arial" w:cs="Arial"/>
          <w:color w:val="000000"/>
          <w:sz w:val="18"/>
          <w:szCs w:val="18"/>
        </w:rPr>
        <w:t>* Consult your financial professional before making any investment decision.</w:t>
      </w:r>
    </w:p>
    <w:p w14:paraId="2FAE1D9C" w14:textId="2D0C27B2" w:rsidR="00C60528" w:rsidRPr="00BA5F6A" w:rsidRDefault="00C60528" w:rsidP="00C60528">
      <w:pPr>
        <w:ind w:right="-36"/>
        <w:rPr>
          <w:rFonts w:ascii="Arial" w:hAnsi="Arial" w:cs="Arial"/>
          <w:color w:val="000000"/>
          <w:sz w:val="18"/>
          <w:szCs w:val="18"/>
        </w:rPr>
      </w:pPr>
      <w:r w:rsidRPr="00BA5F6A">
        <w:rPr>
          <w:rFonts w:ascii="Arial" w:hAnsi="Arial" w:cs="Arial"/>
          <w:color w:val="000000"/>
          <w:sz w:val="18"/>
          <w:szCs w:val="18"/>
        </w:rPr>
        <w:t>* To unsubscribe from the</w:t>
      </w:r>
      <w:r w:rsidRPr="00BA5F6A">
        <w:rPr>
          <w:rStyle w:val="apple-converted-space"/>
          <w:rFonts w:ascii="Arial" w:hAnsi="Arial" w:cs="Arial"/>
          <w:color w:val="000000"/>
          <w:sz w:val="18"/>
          <w:szCs w:val="18"/>
        </w:rPr>
        <w:t> </w:t>
      </w:r>
      <w:r w:rsidR="000D7C28" w:rsidRPr="000D7C28">
        <w:rPr>
          <w:rFonts w:ascii="Arial" w:hAnsi="Arial" w:cs="Arial"/>
          <w:sz w:val="18"/>
          <w:szCs w:val="18"/>
        </w:rPr>
        <w:t>Market Commentary</w:t>
      </w:r>
      <w:r w:rsidRPr="000D7C28">
        <w:rPr>
          <w:rStyle w:val="apple-converted-space"/>
          <w:rFonts w:ascii="Arial" w:hAnsi="Arial" w:cs="Arial"/>
          <w:sz w:val="18"/>
          <w:szCs w:val="18"/>
        </w:rPr>
        <w:t> </w:t>
      </w:r>
      <w:r w:rsidRPr="00BA5F6A">
        <w:rPr>
          <w:rFonts w:ascii="Arial" w:hAnsi="Arial" w:cs="Arial"/>
          <w:color w:val="000000"/>
          <w:sz w:val="18"/>
          <w:szCs w:val="18"/>
        </w:rPr>
        <w:t>please</w:t>
      </w:r>
      <w:r w:rsidRPr="00BA5F6A">
        <w:rPr>
          <w:rStyle w:val="apple-converted-space"/>
          <w:rFonts w:ascii="Arial" w:hAnsi="Arial" w:cs="Arial"/>
          <w:color w:val="000000"/>
          <w:sz w:val="18"/>
          <w:szCs w:val="18"/>
        </w:rPr>
        <w:t> </w:t>
      </w:r>
      <w:r w:rsidRPr="00BA5F6A">
        <w:rPr>
          <w:rFonts w:ascii="Arial" w:hAnsi="Arial" w:cs="Arial"/>
          <w:color w:val="0000FF"/>
          <w:sz w:val="18"/>
          <w:szCs w:val="18"/>
          <w:u w:val="single"/>
        </w:rPr>
        <w:t>click here</w:t>
      </w:r>
      <w:r w:rsidRPr="00BA5F6A">
        <w:rPr>
          <w:rStyle w:val="apple-converted-space"/>
          <w:rFonts w:ascii="Arial" w:hAnsi="Arial" w:cs="Arial"/>
          <w:color w:val="000000"/>
          <w:sz w:val="18"/>
          <w:szCs w:val="18"/>
        </w:rPr>
        <w:t> </w:t>
      </w:r>
      <w:r w:rsidRPr="00BA5F6A">
        <w:rPr>
          <w:rFonts w:ascii="Arial" w:hAnsi="Arial" w:cs="Arial"/>
          <w:color w:val="000000"/>
          <w:sz w:val="18"/>
          <w:szCs w:val="18"/>
        </w:rPr>
        <w:t xml:space="preserve">or write us </w:t>
      </w:r>
      <w:r w:rsidR="000D7C28">
        <w:rPr>
          <w:rFonts w:ascii="Arial" w:hAnsi="Arial" w:cs="Arial"/>
          <w:color w:val="000000"/>
          <w:sz w:val="18"/>
          <w:szCs w:val="18"/>
        </w:rPr>
        <w:t>at Team@MidwestMoneyManagement.com</w:t>
      </w:r>
    </w:p>
    <w:p w14:paraId="75795077" w14:textId="77777777" w:rsidR="00C60528" w:rsidRPr="00B56857" w:rsidRDefault="00C60528" w:rsidP="00C60528">
      <w:pPr>
        <w:rPr>
          <w:rFonts w:ascii="Arial" w:hAnsi="Arial" w:cs="Arial"/>
          <w:color w:val="000000"/>
          <w:sz w:val="18"/>
          <w:szCs w:val="18"/>
        </w:rPr>
      </w:pPr>
    </w:p>
    <w:p w14:paraId="4A10EAFA" w14:textId="77777777" w:rsidR="00C60528" w:rsidRPr="00B56857" w:rsidRDefault="00C60528" w:rsidP="00C60528">
      <w:pPr>
        <w:widowControl w:val="0"/>
        <w:adjustRightInd w:val="0"/>
        <w:ind w:right="-36"/>
        <w:rPr>
          <w:rFonts w:ascii="Arial" w:hAnsi="Arial" w:cs="Arial"/>
          <w:sz w:val="22"/>
          <w:szCs w:val="22"/>
        </w:rPr>
      </w:pPr>
    </w:p>
    <w:p w14:paraId="06135B81" w14:textId="77777777" w:rsidR="00C60528" w:rsidRPr="00BA5F6A" w:rsidRDefault="00C60528" w:rsidP="00C60528">
      <w:pPr>
        <w:widowControl w:val="0"/>
        <w:adjustRightInd w:val="0"/>
        <w:ind w:right="-36"/>
        <w:rPr>
          <w:rFonts w:ascii="Arial" w:hAnsi="Arial" w:cs="Arial"/>
          <w:sz w:val="18"/>
          <w:szCs w:val="18"/>
        </w:rPr>
      </w:pPr>
      <w:r w:rsidRPr="00BA5F6A">
        <w:rPr>
          <w:rFonts w:ascii="Arial" w:hAnsi="Arial" w:cs="Arial"/>
          <w:sz w:val="18"/>
          <w:szCs w:val="18"/>
        </w:rPr>
        <w:t>Sources:</w:t>
      </w:r>
    </w:p>
    <w:p w14:paraId="2FAA1FCF" w14:textId="6A713675" w:rsidR="00C60528" w:rsidRDefault="000D7C28" w:rsidP="00C60528">
      <w:pPr>
        <w:widowControl w:val="0"/>
        <w:adjustRightInd w:val="0"/>
        <w:ind w:right="-36"/>
        <w:rPr>
          <w:rFonts w:ascii="Arial" w:hAnsi="Arial" w:cs="Arial"/>
          <w:sz w:val="18"/>
          <w:szCs w:val="18"/>
        </w:rPr>
      </w:pPr>
      <w:hyperlink r:id="rId5" w:history="1">
        <w:r w:rsidR="00C60528" w:rsidRPr="00EF78F4">
          <w:rPr>
            <w:rStyle w:val="Hyperlink"/>
            <w:rFonts w:ascii="Arial" w:hAnsi="Arial" w:cs="Arial"/>
            <w:sz w:val="18"/>
            <w:szCs w:val="18"/>
          </w:rPr>
          <w:t>https://www.barrons.com/articles/jobs-report-covid-19-fed-policy-51628296221</w:t>
        </w:r>
      </w:hyperlink>
      <w:r w:rsidR="00C60528" w:rsidRPr="00076E96">
        <w:rPr>
          <w:rStyle w:val="Hyperlink"/>
          <w:rFonts w:ascii="Arial" w:hAnsi="Arial" w:cs="Arial"/>
          <w:sz w:val="18"/>
          <w:szCs w:val="18"/>
          <w:u w:val="none"/>
        </w:rPr>
        <w:t xml:space="preserve"> </w:t>
      </w:r>
      <w:r w:rsidR="00C60528">
        <w:rPr>
          <w:rFonts w:ascii="Arial" w:hAnsi="Arial" w:cs="Arial"/>
          <w:sz w:val="18"/>
          <w:szCs w:val="18"/>
        </w:rPr>
        <w:t>(</w:t>
      </w:r>
      <w:r w:rsidR="00C60528" w:rsidRPr="007D18E3">
        <w:rPr>
          <w:rFonts w:ascii="Arial" w:hAnsi="Arial" w:cs="Arial"/>
          <w:i/>
          <w:iCs/>
          <w:sz w:val="18"/>
          <w:szCs w:val="18"/>
        </w:rPr>
        <w:t>or go to</w:t>
      </w:r>
      <w:r w:rsidR="00C60528">
        <w:rPr>
          <w:rFonts w:ascii="Arial" w:hAnsi="Arial" w:cs="Arial"/>
          <w:i/>
          <w:iCs/>
          <w:sz w:val="18"/>
          <w:szCs w:val="18"/>
        </w:rPr>
        <w:t xml:space="preserve"> </w:t>
      </w:r>
      <w:hyperlink r:id="rId6" w:history="1">
        <w:r w:rsidR="00C60528" w:rsidRPr="00616DEA">
          <w:rPr>
            <w:rStyle w:val="Hyperlink"/>
            <w:rFonts w:ascii="Arial" w:hAnsi="Arial" w:cs="Arial"/>
            <w:sz w:val="18"/>
            <w:szCs w:val="18"/>
          </w:rPr>
          <w:t>https://resources.carsongroup.com/hubfs/WMC-Source/2021/08-09-21_Barrons_Good%20News%20on%20Jobs_1.pdf</w:t>
        </w:r>
      </w:hyperlink>
      <w:r w:rsidR="00C60528">
        <w:rPr>
          <w:rFonts w:ascii="Arial" w:hAnsi="Arial" w:cs="Arial"/>
          <w:sz w:val="18"/>
          <w:szCs w:val="18"/>
        </w:rPr>
        <w:t>)</w:t>
      </w:r>
    </w:p>
    <w:p w14:paraId="2C9307AA" w14:textId="14430537" w:rsidR="00C60528" w:rsidRPr="00EF78F4" w:rsidRDefault="000D7C28" w:rsidP="00C60528">
      <w:pPr>
        <w:widowControl w:val="0"/>
        <w:adjustRightInd w:val="0"/>
        <w:ind w:right="-36"/>
        <w:rPr>
          <w:rFonts w:ascii="Arial" w:hAnsi="Arial" w:cs="Arial"/>
          <w:sz w:val="18"/>
          <w:szCs w:val="18"/>
        </w:rPr>
      </w:pPr>
      <w:hyperlink r:id="rId7" w:history="1">
        <w:r w:rsidR="00C60528" w:rsidRPr="00EF78F4">
          <w:rPr>
            <w:rStyle w:val="Hyperlink"/>
            <w:rFonts w:ascii="Arial" w:hAnsi="Arial" w:cs="Arial"/>
            <w:sz w:val="18"/>
            <w:szCs w:val="18"/>
          </w:rPr>
          <w:t>https://www.brookings.edu/blog/up-front/2021/07/15/what-does-the-federal-reserve-mean-when-it-talks-about-tapering/</w:t>
        </w:r>
      </w:hyperlink>
    </w:p>
    <w:p w14:paraId="1F99D8D4" w14:textId="6A2BD93B" w:rsidR="00C60528" w:rsidRPr="00EF78F4" w:rsidRDefault="000D7C28" w:rsidP="00C60528">
      <w:pPr>
        <w:widowControl w:val="0"/>
        <w:adjustRightInd w:val="0"/>
        <w:ind w:right="-36"/>
        <w:rPr>
          <w:rFonts w:ascii="Arial" w:hAnsi="Arial" w:cs="Arial"/>
          <w:sz w:val="18"/>
          <w:szCs w:val="18"/>
        </w:rPr>
      </w:pPr>
      <w:hyperlink r:id="rId8" w:history="1">
        <w:r w:rsidR="00C60528" w:rsidRPr="00EF78F4">
          <w:rPr>
            <w:rStyle w:val="Hyperlink"/>
            <w:rFonts w:ascii="Arial" w:hAnsi="Arial" w:cs="Arial"/>
            <w:sz w:val="18"/>
            <w:szCs w:val="18"/>
          </w:rPr>
          <w:t>https://www.federalreserve.gov/newsevents/pressreleases/monetary20210728a.htm</w:t>
        </w:r>
      </w:hyperlink>
    </w:p>
    <w:p w14:paraId="6C200F36" w14:textId="2F39ACDD" w:rsidR="00C60528" w:rsidRPr="00EF78F4" w:rsidRDefault="000D7C28" w:rsidP="00C60528">
      <w:pPr>
        <w:widowControl w:val="0"/>
        <w:adjustRightInd w:val="0"/>
        <w:ind w:right="-36"/>
        <w:rPr>
          <w:rFonts w:ascii="Arial" w:hAnsi="Arial" w:cs="Arial"/>
          <w:sz w:val="18"/>
          <w:szCs w:val="18"/>
        </w:rPr>
      </w:pPr>
      <w:hyperlink r:id="rId9" w:history="1">
        <w:r w:rsidR="00C60528" w:rsidRPr="00EF78F4">
          <w:rPr>
            <w:rStyle w:val="Hyperlink"/>
            <w:rFonts w:ascii="Arial" w:hAnsi="Arial" w:cs="Arial"/>
            <w:sz w:val="18"/>
            <w:szCs w:val="18"/>
          </w:rPr>
          <w:t>https://www.bea.gov/news/2021/personal-income-and-outlays-june-2021-and-annual-update</w:t>
        </w:r>
      </w:hyperlink>
    </w:p>
    <w:p w14:paraId="24F46E6C" w14:textId="52A95A7F" w:rsidR="00C60528" w:rsidRPr="00EF78F4" w:rsidRDefault="000D7C28" w:rsidP="00C60528">
      <w:pPr>
        <w:widowControl w:val="0"/>
        <w:adjustRightInd w:val="0"/>
        <w:ind w:right="-36"/>
        <w:rPr>
          <w:rFonts w:ascii="Arial" w:hAnsi="Arial" w:cs="Arial"/>
          <w:sz w:val="18"/>
          <w:szCs w:val="18"/>
        </w:rPr>
      </w:pPr>
      <w:hyperlink r:id="rId10" w:history="1">
        <w:r w:rsidR="00C60528" w:rsidRPr="00EF78F4">
          <w:rPr>
            <w:rStyle w:val="Hyperlink"/>
            <w:rFonts w:ascii="Arial" w:hAnsi="Arial" w:cs="Arial"/>
            <w:sz w:val="18"/>
            <w:szCs w:val="18"/>
          </w:rPr>
          <w:t>https://research.stlouisfed.org/publications/economic-synopses/2021/05/19/two-percent-inflation-over-the-next-year-should-you-take-the-over-or-the-under</w:t>
        </w:r>
      </w:hyperlink>
    </w:p>
    <w:p w14:paraId="503CFCFA" w14:textId="4601AD87" w:rsidR="00C60528" w:rsidRPr="00EF78F4" w:rsidRDefault="000D7C28" w:rsidP="00C60528">
      <w:pPr>
        <w:widowControl w:val="0"/>
        <w:adjustRightInd w:val="0"/>
        <w:ind w:right="-36"/>
        <w:rPr>
          <w:rFonts w:ascii="Arial" w:hAnsi="Arial" w:cs="Arial"/>
          <w:sz w:val="18"/>
          <w:szCs w:val="18"/>
        </w:rPr>
      </w:pPr>
      <w:hyperlink r:id="rId11" w:history="1">
        <w:r w:rsidR="00C60528" w:rsidRPr="00EF78F4">
          <w:rPr>
            <w:rStyle w:val="Hyperlink"/>
            <w:rFonts w:ascii="Arial" w:hAnsi="Arial" w:cs="Arial"/>
            <w:sz w:val="18"/>
            <w:szCs w:val="18"/>
          </w:rPr>
          <w:t>https://www.barrons.com/articles/stock-market-bubble-2021-51628296340?mod=hp_DAY_7</w:t>
        </w:r>
      </w:hyperlink>
    </w:p>
    <w:p w14:paraId="4EC1D132" w14:textId="496AE364" w:rsidR="00C60528" w:rsidRDefault="000D7C28" w:rsidP="00C60528">
      <w:pPr>
        <w:widowControl w:val="0"/>
        <w:adjustRightInd w:val="0"/>
        <w:ind w:right="-36"/>
        <w:rPr>
          <w:rFonts w:ascii="Arial" w:hAnsi="Arial" w:cs="Arial"/>
          <w:sz w:val="18"/>
          <w:szCs w:val="18"/>
        </w:rPr>
      </w:pPr>
      <w:hyperlink r:id="rId12" w:history="1">
        <w:r w:rsidR="00C60528" w:rsidRPr="00EF78F4">
          <w:rPr>
            <w:rStyle w:val="Hyperlink"/>
            <w:rFonts w:ascii="Arial" w:hAnsi="Arial" w:cs="Arial"/>
            <w:sz w:val="18"/>
            <w:szCs w:val="18"/>
          </w:rPr>
          <w:t>https://www.treasury.gov/resource-center/data-chart-center/interest-rates/Pages/TextView.aspx?data=yield</w:t>
        </w:r>
      </w:hyperlink>
      <w:r w:rsidR="00C60528" w:rsidRPr="00076E96">
        <w:rPr>
          <w:rStyle w:val="Hyperlink"/>
          <w:rFonts w:ascii="Arial" w:hAnsi="Arial" w:cs="Arial"/>
          <w:sz w:val="18"/>
          <w:szCs w:val="18"/>
          <w:u w:val="none"/>
        </w:rPr>
        <w:t xml:space="preserve"> </w:t>
      </w:r>
      <w:r w:rsidR="00C60528" w:rsidRPr="00076E96">
        <w:rPr>
          <w:rFonts w:ascii="Arial" w:hAnsi="Arial" w:cs="Arial"/>
          <w:sz w:val="18"/>
          <w:szCs w:val="18"/>
        </w:rPr>
        <w:t>(</w:t>
      </w:r>
      <w:r w:rsidR="00C60528" w:rsidRPr="007D18E3">
        <w:rPr>
          <w:rFonts w:ascii="Arial" w:hAnsi="Arial" w:cs="Arial"/>
          <w:i/>
          <w:iCs/>
          <w:sz w:val="18"/>
          <w:szCs w:val="18"/>
        </w:rPr>
        <w:t>or go to</w:t>
      </w:r>
      <w:r w:rsidR="00C60528">
        <w:rPr>
          <w:rFonts w:ascii="Arial" w:hAnsi="Arial" w:cs="Arial"/>
          <w:i/>
          <w:iCs/>
          <w:sz w:val="18"/>
          <w:szCs w:val="18"/>
        </w:rPr>
        <w:t xml:space="preserve"> </w:t>
      </w:r>
      <w:hyperlink r:id="rId13" w:history="1">
        <w:r w:rsidR="00C60528" w:rsidRPr="00616DEA">
          <w:rPr>
            <w:rStyle w:val="Hyperlink"/>
            <w:rFonts w:ascii="Arial" w:hAnsi="Arial" w:cs="Arial"/>
            <w:sz w:val="18"/>
            <w:szCs w:val="18"/>
          </w:rPr>
          <w:t>https://resources.carsongroup.com/hubfs/WMC-Source/2021/08-09-21_Barrons_The%20Stock%20Market%20is%20In%20a%20Bubble_7.pdf</w:t>
        </w:r>
      </w:hyperlink>
      <w:r w:rsidR="00C60528">
        <w:rPr>
          <w:rFonts w:ascii="Arial" w:hAnsi="Arial" w:cs="Arial"/>
          <w:sz w:val="18"/>
          <w:szCs w:val="18"/>
        </w:rPr>
        <w:t>)</w:t>
      </w:r>
    </w:p>
    <w:p w14:paraId="7C8344DA" w14:textId="24A25AE2" w:rsidR="00C60528" w:rsidRPr="00EF78F4" w:rsidRDefault="000D7C28" w:rsidP="00C60528">
      <w:pPr>
        <w:widowControl w:val="0"/>
        <w:adjustRightInd w:val="0"/>
        <w:ind w:right="-36"/>
        <w:rPr>
          <w:rFonts w:ascii="Arial" w:hAnsi="Arial" w:cs="Arial"/>
          <w:sz w:val="18"/>
          <w:szCs w:val="18"/>
        </w:rPr>
      </w:pPr>
      <w:hyperlink r:id="rId14" w:history="1">
        <w:r w:rsidR="00C60528" w:rsidRPr="00616DEA">
          <w:rPr>
            <w:rStyle w:val="Hyperlink"/>
            <w:rFonts w:ascii="Arial" w:hAnsi="Arial" w:cs="Arial"/>
            <w:sz w:val="18"/>
            <w:szCs w:val="18"/>
          </w:rPr>
          <w:t>https://www.economist.com/finance-and-economics/2021/08/07/americas-roaring-recovery-might-carry-lessons-for-future-recessions</w:t>
        </w:r>
      </w:hyperlink>
      <w:r w:rsidR="00C60528">
        <w:rPr>
          <w:rFonts w:ascii="Arial" w:hAnsi="Arial" w:cs="Arial"/>
          <w:sz w:val="18"/>
          <w:szCs w:val="18"/>
        </w:rPr>
        <w:t xml:space="preserve"> (</w:t>
      </w:r>
      <w:r w:rsidR="00C60528" w:rsidRPr="00076E96">
        <w:rPr>
          <w:rFonts w:ascii="Arial" w:hAnsi="Arial" w:cs="Arial"/>
          <w:i/>
          <w:iCs/>
          <w:sz w:val="18"/>
          <w:szCs w:val="18"/>
        </w:rPr>
        <w:t>or go to</w:t>
      </w:r>
      <w:r w:rsidR="00C60528">
        <w:rPr>
          <w:rFonts w:ascii="Arial" w:hAnsi="Arial" w:cs="Arial"/>
          <w:sz w:val="18"/>
          <w:szCs w:val="18"/>
        </w:rPr>
        <w:t xml:space="preserve"> </w:t>
      </w:r>
      <w:hyperlink r:id="rId15" w:history="1">
        <w:r w:rsidR="00C60528" w:rsidRPr="00616DEA">
          <w:rPr>
            <w:rStyle w:val="Hyperlink"/>
            <w:rFonts w:ascii="Arial" w:hAnsi="Arial" w:cs="Arial"/>
            <w:sz w:val="18"/>
            <w:szCs w:val="18"/>
          </w:rPr>
          <w:t>https://resources.carsongroup.com/hubfs/WMC-Source/2021/08-09-21_Economist_Amercas%20Roaring%20Recovery_8.pdf</w:t>
        </w:r>
      </w:hyperlink>
      <w:r w:rsidR="00C60528">
        <w:rPr>
          <w:rFonts w:ascii="Arial" w:hAnsi="Arial" w:cs="Arial"/>
          <w:sz w:val="18"/>
          <w:szCs w:val="18"/>
        </w:rPr>
        <w:t xml:space="preserve">) </w:t>
      </w:r>
    </w:p>
    <w:p w14:paraId="52F5494B" w14:textId="038544A1" w:rsidR="00C60528" w:rsidRPr="00EF78F4" w:rsidRDefault="000D7C28" w:rsidP="00C60528">
      <w:pPr>
        <w:widowControl w:val="0"/>
        <w:adjustRightInd w:val="0"/>
        <w:ind w:right="-36"/>
        <w:rPr>
          <w:rFonts w:ascii="Arial" w:hAnsi="Arial" w:cs="Arial"/>
          <w:sz w:val="18"/>
          <w:szCs w:val="18"/>
        </w:rPr>
      </w:pPr>
      <w:hyperlink r:id="rId16" w:history="1">
        <w:r w:rsidR="00C60528" w:rsidRPr="00EF78F4">
          <w:rPr>
            <w:rStyle w:val="Hyperlink"/>
            <w:rFonts w:ascii="Arial" w:hAnsi="Arial" w:cs="Arial"/>
            <w:sz w:val="18"/>
            <w:szCs w:val="18"/>
          </w:rPr>
          <w:t>https://hbr.org/2020/12/the-pandemic-is-widening-a-corporate-productivity-gap</w:t>
        </w:r>
      </w:hyperlink>
    </w:p>
    <w:p w14:paraId="2709A3E1" w14:textId="2AA694A1" w:rsidR="00C60528" w:rsidRPr="00EF78F4" w:rsidRDefault="000D7C28" w:rsidP="00C60528">
      <w:pPr>
        <w:widowControl w:val="0"/>
        <w:adjustRightInd w:val="0"/>
        <w:ind w:right="-36"/>
        <w:rPr>
          <w:rFonts w:ascii="Arial" w:hAnsi="Arial" w:cs="Arial"/>
          <w:sz w:val="18"/>
          <w:szCs w:val="18"/>
        </w:rPr>
      </w:pPr>
      <w:hyperlink r:id="rId17" w:history="1">
        <w:r w:rsidR="00C60528" w:rsidRPr="00EF78F4">
          <w:rPr>
            <w:rStyle w:val="Hyperlink"/>
            <w:rFonts w:ascii="Arial" w:hAnsi="Arial" w:cs="Arial"/>
            <w:sz w:val="18"/>
            <w:szCs w:val="18"/>
          </w:rPr>
          <w:t>https://conference-board.org/press/Return-to-Work-Survey-June2021</w:t>
        </w:r>
      </w:hyperlink>
    </w:p>
    <w:p w14:paraId="37E0BC37" w14:textId="53A0AA8C" w:rsidR="00C60528" w:rsidRPr="00EF78F4" w:rsidRDefault="000D7C28" w:rsidP="00C60528">
      <w:pPr>
        <w:widowControl w:val="0"/>
        <w:adjustRightInd w:val="0"/>
        <w:ind w:right="-36"/>
        <w:rPr>
          <w:rFonts w:ascii="Arial" w:hAnsi="Arial" w:cs="Arial"/>
          <w:sz w:val="18"/>
          <w:szCs w:val="18"/>
        </w:rPr>
      </w:pPr>
      <w:hyperlink r:id="rId18" w:history="1">
        <w:r w:rsidR="00C60528" w:rsidRPr="00EF78F4">
          <w:rPr>
            <w:rStyle w:val="Hyperlink"/>
            <w:rFonts w:ascii="Arial" w:hAnsi="Arial" w:cs="Arial"/>
            <w:sz w:val="18"/>
            <w:szCs w:val="18"/>
          </w:rPr>
          <w:t>https://www.goodreads.com/quotes/tag/productivity</w:t>
        </w:r>
      </w:hyperlink>
    </w:p>
    <w:p w14:paraId="43A15CC7" w14:textId="77777777" w:rsidR="00C60528" w:rsidRPr="00B56857" w:rsidRDefault="00C60528" w:rsidP="00C60528">
      <w:pPr>
        <w:widowControl w:val="0"/>
        <w:adjustRightInd w:val="0"/>
        <w:ind w:right="-36"/>
        <w:rPr>
          <w:rFonts w:ascii="Arial" w:hAnsi="Arial" w:cs="Arial"/>
        </w:rPr>
      </w:pPr>
    </w:p>
    <w:p w14:paraId="20710D1F" w14:textId="77777777" w:rsidR="00C60528" w:rsidRPr="00723A25" w:rsidRDefault="00C60528" w:rsidP="00C60528">
      <w:pPr>
        <w:tabs>
          <w:tab w:val="left" w:pos="8550"/>
        </w:tabs>
        <w:rPr>
          <w:rStyle w:val="Hyperlink"/>
          <w:rFonts w:ascii="Arial" w:hAnsi="Arial" w:cs="Arial"/>
          <w:sz w:val="18"/>
          <w:szCs w:val="18"/>
        </w:rPr>
      </w:pPr>
    </w:p>
    <w:p w14:paraId="2C111509" w14:textId="77777777" w:rsidR="00C60528" w:rsidRPr="0036086B" w:rsidRDefault="00C60528" w:rsidP="00C60528">
      <w:pPr>
        <w:tabs>
          <w:tab w:val="left" w:pos="8550"/>
        </w:tabs>
        <w:rPr>
          <w:rFonts w:ascii="Arial" w:hAnsi="Arial" w:cs="Arial"/>
          <w:sz w:val="18"/>
          <w:szCs w:val="18"/>
        </w:rPr>
      </w:pPr>
    </w:p>
    <w:p w14:paraId="2660CBA5" w14:textId="77777777" w:rsidR="00C60528" w:rsidRPr="00076E96" w:rsidRDefault="00C60528" w:rsidP="00C60528">
      <w:pPr>
        <w:rPr>
          <w:rStyle w:val="Hyperlink"/>
          <w:color w:val="auto"/>
          <w:u w:val="none"/>
        </w:rPr>
      </w:pPr>
    </w:p>
    <w:p w14:paraId="66C2295B" w14:textId="77777777" w:rsidR="00441CE6" w:rsidRPr="00C60528" w:rsidRDefault="00441CE6" w:rsidP="00C60528"/>
    <w:sectPr w:rsidR="00441CE6" w:rsidRPr="00C60528" w:rsidSect="00A616C5">
      <w:pgSz w:w="12240" w:h="15840" w:code="1"/>
      <w:pgMar w:top="1440" w:right="720" w:bottom="1440" w:left="144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409"/>
    <w:multiLevelType w:val="hybridMultilevel"/>
    <w:tmpl w:val="06125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F2DF4"/>
    <w:multiLevelType w:val="hybridMultilevel"/>
    <w:tmpl w:val="2D08D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E3FB5"/>
    <w:multiLevelType w:val="hybridMultilevel"/>
    <w:tmpl w:val="978E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B0250"/>
    <w:multiLevelType w:val="hybridMultilevel"/>
    <w:tmpl w:val="950A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5192B"/>
    <w:multiLevelType w:val="hybridMultilevel"/>
    <w:tmpl w:val="73E20A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097722"/>
    <w:multiLevelType w:val="hybridMultilevel"/>
    <w:tmpl w:val="EF1A6350"/>
    <w:lvl w:ilvl="0" w:tplc="D7CE7EB2">
      <w:start w:val="10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B29B6"/>
    <w:multiLevelType w:val="hybridMultilevel"/>
    <w:tmpl w:val="BBC63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0B6AB5"/>
    <w:multiLevelType w:val="hybridMultilevel"/>
    <w:tmpl w:val="C37E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E6DAA"/>
    <w:multiLevelType w:val="hybridMultilevel"/>
    <w:tmpl w:val="9F0AD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5416EE"/>
    <w:multiLevelType w:val="hybridMultilevel"/>
    <w:tmpl w:val="953ED84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0" w15:restartNumberingAfterBreak="0">
    <w:nsid w:val="33C370E6"/>
    <w:multiLevelType w:val="hybridMultilevel"/>
    <w:tmpl w:val="09BCB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453B1A"/>
    <w:multiLevelType w:val="hybridMultilevel"/>
    <w:tmpl w:val="21F6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972C56"/>
    <w:multiLevelType w:val="hybridMultilevel"/>
    <w:tmpl w:val="1D70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F47A02"/>
    <w:multiLevelType w:val="hybridMultilevel"/>
    <w:tmpl w:val="E90AD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1992665"/>
    <w:multiLevelType w:val="hybridMultilevel"/>
    <w:tmpl w:val="44F25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955C04"/>
    <w:multiLevelType w:val="hybridMultilevel"/>
    <w:tmpl w:val="AF98E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5B0DB2"/>
    <w:multiLevelType w:val="hybridMultilevel"/>
    <w:tmpl w:val="3822C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733DC4"/>
    <w:multiLevelType w:val="hybridMultilevel"/>
    <w:tmpl w:val="AA32B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4F7A96"/>
    <w:multiLevelType w:val="hybridMultilevel"/>
    <w:tmpl w:val="4C969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EE3F56"/>
    <w:multiLevelType w:val="hybridMultilevel"/>
    <w:tmpl w:val="F990B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B60D9C"/>
    <w:multiLevelType w:val="hybridMultilevel"/>
    <w:tmpl w:val="4532F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CE675B"/>
    <w:multiLevelType w:val="hybridMultilevel"/>
    <w:tmpl w:val="9EBADA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D737C0"/>
    <w:multiLevelType w:val="hybridMultilevel"/>
    <w:tmpl w:val="DE0C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837AF3"/>
    <w:multiLevelType w:val="hybridMultilevel"/>
    <w:tmpl w:val="0A468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C0135D"/>
    <w:multiLevelType w:val="hybridMultilevel"/>
    <w:tmpl w:val="EA46420A"/>
    <w:lvl w:ilvl="0" w:tplc="B5DA12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D17296"/>
    <w:multiLevelType w:val="hybridMultilevel"/>
    <w:tmpl w:val="56C2C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4F4729"/>
    <w:multiLevelType w:val="hybridMultilevel"/>
    <w:tmpl w:val="5E1E0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A0747C"/>
    <w:multiLevelType w:val="hybridMultilevel"/>
    <w:tmpl w:val="3A567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15"/>
  </w:num>
  <w:num w:numId="5">
    <w:abstractNumId w:val="16"/>
  </w:num>
  <w:num w:numId="6">
    <w:abstractNumId w:val="11"/>
  </w:num>
  <w:num w:numId="7">
    <w:abstractNumId w:val="9"/>
  </w:num>
  <w:num w:numId="8">
    <w:abstractNumId w:val="12"/>
  </w:num>
  <w:num w:numId="9">
    <w:abstractNumId w:val="5"/>
  </w:num>
  <w:num w:numId="10">
    <w:abstractNumId w:val="6"/>
  </w:num>
  <w:num w:numId="11">
    <w:abstractNumId w:val="26"/>
  </w:num>
  <w:num w:numId="12">
    <w:abstractNumId w:val="23"/>
  </w:num>
  <w:num w:numId="13">
    <w:abstractNumId w:val="7"/>
  </w:num>
  <w:num w:numId="14">
    <w:abstractNumId w:val="22"/>
  </w:num>
  <w:num w:numId="15">
    <w:abstractNumId w:val="27"/>
  </w:num>
  <w:num w:numId="16">
    <w:abstractNumId w:val="18"/>
  </w:num>
  <w:num w:numId="17">
    <w:abstractNumId w:val="13"/>
  </w:num>
  <w:num w:numId="18">
    <w:abstractNumId w:val="0"/>
  </w:num>
  <w:num w:numId="19">
    <w:abstractNumId w:val="8"/>
  </w:num>
  <w:num w:numId="20">
    <w:abstractNumId w:val="25"/>
  </w:num>
  <w:num w:numId="21">
    <w:abstractNumId w:val="10"/>
  </w:num>
  <w:num w:numId="22">
    <w:abstractNumId w:val="3"/>
  </w:num>
  <w:num w:numId="23">
    <w:abstractNumId w:val="20"/>
  </w:num>
  <w:num w:numId="24">
    <w:abstractNumId w:val="14"/>
  </w:num>
  <w:num w:numId="25">
    <w:abstractNumId w:val="19"/>
  </w:num>
  <w:num w:numId="26">
    <w:abstractNumId w:val="17"/>
  </w:num>
  <w:num w:numId="27">
    <w:abstractNumId w:val="21"/>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223"/>
    <w:rsid w:val="000018DF"/>
    <w:rsid w:val="00002E5E"/>
    <w:rsid w:val="00003BD6"/>
    <w:rsid w:val="00005B39"/>
    <w:rsid w:val="00007ADD"/>
    <w:rsid w:val="000114D0"/>
    <w:rsid w:val="00011CF5"/>
    <w:rsid w:val="000131D2"/>
    <w:rsid w:val="00020660"/>
    <w:rsid w:val="0002429D"/>
    <w:rsid w:val="00027925"/>
    <w:rsid w:val="00037A48"/>
    <w:rsid w:val="00040355"/>
    <w:rsid w:val="0004692A"/>
    <w:rsid w:val="00046C29"/>
    <w:rsid w:val="00047E7A"/>
    <w:rsid w:val="0005391E"/>
    <w:rsid w:val="000714AC"/>
    <w:rsid w:val="00076A1B"/>
    <w:rsid w:val="000904E6"/>
    <w:rsid w:val="00091995"/>
    <w:rsid w:val="000A2F00"/>
    <w:rsid w:val="000A4F61"/>
    <w:rsid w:val="000A7C39"/>
    <w:rsid w:val="000B2434"/>
    <w:rsid w:val="000B3CA3"/>
    <w:rsid w:val="000B4D8D"/>
    <w:rsid w:val="000B538D"/>
    <w:rsid w:val="000B6A47"/>
    <w:rsid w:val="000C208B"/>
    <w:rsid w:val="000C7051"/>
    <w:rsid w:val="000D0C07"/>
    <w:rsid w:val="000D0E05"/>
    <w:rsid w:val="000D1C7E"/>
    <w:rsid w:val="000D3D55"/>
    <w:rsid w:val="000D6275"/>
    <w:rsid w:val="000D67B9"/>
    <w:rsid w:val="000D7006"/>
    <w:rsid w:val="000D7C28"/>
    <w:rsid w:val="000D7E7F"/>
    <w:rsid w:val="000E2069"/>
    <w:rsid w:val="000E521F"/>
    <w:rsid w:val="000E677A"/>
    <w:rsid w:val="000F1B97"/>
    <w:rsid w:val="000F2E36"/>
    <w:rsid w:val="000F7C71"/>
    <w:rsid w:val="0010177A"/>
    <w:rsid w:val="00106F5A"/>
    <w:rsid w:val="0010774B"/>
    <w:rsid w:val="00107EBB"/>
    <w:rsid w:val="00110376"/>
    <w:rsid w:val="00113599"/>
    <w:rsid w:val="00120D3F"/>
    <w:rsid w:val="00121DD6"/>
    <w:rsid w:val="00126020"/>
    <w:rsid w:val="00132B31"/>
    <w:rsid w:val="00141158"/>
    <w:rsid w:val="00141E14"/>
    <w:rsid w:val="00147083"/>
    <w:rsid w:val="00150303"/>
    <w:rsid w:val="00150C05"/>
    <w:rsid w:val="00152195"/>
    <w:rsid w:val="001547C4"/>
    <w:rsid w:val="00161491"/>
    <w:rsid w:val="00164487"/>
    <w:rsid w:val="00166885"/>
    <w:rsid w:val="00166A76"/>
    <w:rsid w:val="0018162D"/>
    <w:rsid w:val="00184719"/>
    <w:rsid w:val="00191B71"/>
    <w:rsid w:val="00194EA9"/>
    <w:rsid w:val="00195082"/>
    <w:rsid w:val="00196B4B"/>
    <w:rsid w:val="00197FA6"/>
    <w:rsid w:val="001A12A7"/>
    <w:rsid w:val="001A1379"/>
    <w:rsid w:val="001A3095"/>
    <w:rsid w:val="001A357D"/>
    <w:rsid w:val="001A73D8"/>
    <w:rsid w:val="001B261F"/>
    <w:rsid w:val="001B6265"/>
    <w:rsid w:val="001C00E6"/>
    <w:rsid w:val="001C0C7A"/>
    <w:rsid w:val="001C34D8"/>
    <w:rsid w:val="001D4DE8"/>
    <w:rsid w:val="001D63FA"/>
    <w:rsid w:val="001E30EF"/>
    <w:rsid w:val="001F571B"/>
    <w:rsid w:val="001F5AB2"/>
    <w:rsid w:val="002008B0"/>
    <w:rsid w:val="002009BB"/>
    <w:rsid w:val="00202B58"/>
    <w:rsid w:val="00210F61"/>
    <w:rsid w:val="00211F09"/>
    <w:rsid w:val="00212A22"/>
    <w:rsid w:val="00222004"/>
    <w:rsid w:val="002223B0"/>
    <w:rsid w:val="00222D97"/>
    <w:rsid w:val="002248E1"/>
    <w:rsid w:val="00230970"/>
    <w:rsid w:val="00232DAC"/>
    <w:rsid w:val="00236793"/>
    <w:rsid w:val="002377AD"/>
    <w:rsid w:val="00243FEB"/>
    <w:rsid w:val="002441D8"/>
    <w:rsid w:val="002445FA"/>
    <w:rsid w:val="0025133E"/>
    <w:rsid w:val="00256B2D"/>
    <w:rsid w:val="00257207"/>
    <w:rsid w:val="00265B3C"/>
    <w:rsid w:val="00266864"/>
    <w:rsid w:val="00267A14"/>
    <w:rsid w:val="0027188F"/>
    <w:rsid w:val="00272248"/>
    <w:rsid w:val="00273218"/>
    <w:rsid w:val="00274A48"/>
    <w:rsid w:val="0027618F"/>
    <w:rsid w:val="00277DC9"/>
    <w:rsid w:val="0028611B"/>
    <w:rsid w:val="0029089C"/>
    <w:rsid w:val="0029202D"/>
    <w:rsid w:val="00293126"/>
    <w:rsid w:val="00294682"/>
    <w:rsid w:val="00297B52"/>
    <w:rsid w:val="00297F0A"/>
    <w:rsid w:val="002A41F2"/>
    <w:rsid w:val="002A759E"/>
    <w:rsid w:val="002A7B8E"/>
    <w:rsid w:val="002A7FDC"/>
    <w:rsid w:val="002B262F"/>
    <w:rsid w:val="002C52DC"/>
    <w:rsid w:val="002C62D1"/>
    <w:rsid w:val="002D7EFF"/>
    <w:rsid w:val="002E27ED"/>
    <w:rsid w:val="002E5E35"/>
    <w:rsid w:val="002E658A"/>
    <w:rsid w:val="002F1A0D"/>
    <w:rsid w:val="00300598"/>
    <w:rsid w:val="00304F68"/>
    <w:rsid w:val="00310887"/>
    <w:rsid w:val="00310A2B"/>
    <w:rsid w:val="003140AB"/>
    <w:rsid w:val="00314BDF"/>
    <w:rsid w:val="00317036"/>
    <w:rsid w:val="00325CBE"/>
    <w:rsid w:val="00330E2C"/>
    <w:rsid w:val="0033217F"/>
    <w:rsid w:val="00332CAC"/>
    <w:rsid w:val="00334AF2"/>
    <w:rsid w:val="00337089"/>
    <w:rsid w:val="003378B1"/>
    <w:rsid w:val="0034055E"/>
    <w:rsid w:val="00341A5E"/>
    <w:rsid w:val="003433AE"/>
    <w:rsid w:val="00345A48"/>
    <w:rsid w:val="00346479"/>
    <w:rsid w:val="003506A5"/>
    <w:rsid w:val="00351318"/>
    <w:rsid w:val="003523DD"/>
    <w:rsid w:val="00352572"/>
    <w:rsid w:val="00357BDD"/>
    <w:rsid w:val="00357DC9"/>
    <w:rsid w:val="0036086B"/>
    <w:rsid w:val="00362D69"/>
    <w:rsid w:val="00363FED"/>
    <w:rsid w:val="003650D4"/>
    <w:rsid w:val="0036514B"/>
    <w:rsid w:val="00367287"/>
    <w:rsid w:val="003732F3"/>
    <w:rsid w:val="003822B1"/>
    <w:rsid w:val="003837AC"/>
    <w:rsid w:val="00387487"/>
    <w:rsid w:val="00391004"/>
    <w:rsid w:val="0039119F"/>
    <w:rsid w:val="0039130B"/>
    <w:rsid w:val="00391EDC"/>
    <w:rsid w:val="00392235"/>
    <w:rsid w:val="003931F0"/>
    <w:rsid w:val="0039467B"/>
    <w:rsid w:val="003A359F"/>
    <w:rsid w:val="003A4502"/>
    <w:rsid w:val="003B27E3"/>
    <w:rsid w:val="003B3E7E"/>
    <w:rsid w:val="003B5DB0"/>
    <w:rsid w:val="003B62A6"/>
    <w:rsid w:val="003C5EE4"/>
    <w:rsid w:val="003C6577"/>
    <w:rsid w:val="003D018C"/>
    <w:rsid w:val="003D1CE1"/>
    <w:rsid w:val="003D25ED"/>
    <w:rsid w:val="003D4817"/>
    <w:rsid w:val="003D565F"/>
    <w:rsid w:val="003D7732"/>
    <w:rsid w:val="003D7E67"/>
    <w:rsid w:val="003E41ED"/>
    <w:rsid w:val="003F1E90"/>
    <w:rsid w:val="003F50F9"/>
    <w:rsid w:val="00400958"/>
    <w:rsid w:val="00402592"/>
    <w:rsid w:val="004054DE"/>
    <w:rsid w:val="00406CD6"/>
    <w:rsid w:val="00416750"/>
    <w:rsid w:val="00417262"/>
    <w:rsid w:val="0042027F"/>
    <w:rsid w:val="00421E9F"/>
    <w:rsid w:val="004228A4"/>
    <w:rsid w:val="0043057B"/>
    <w:rsid w:val="0043157A"/>
    <w:rsid w:val="00432C9D"/>
    <w:rsid w:val="00436E81"/>
    <w:rsid w:val="00441CE6"/>
    <w:rsid w:val="00443622"/>
    <w:rsid w:val="00452146"/>
    <w:rsid w:val="0045336F"/>
    <w:rsid w:val="00453C73"/>
    <w:rsid w:val="00454989"/>
    <w:rsid w:val="004559EB"/>
    <w:rsid w:val="00461B83"/>
    <w:rsid w:val="0047155D"/>
    <w:rsid w:val="004723E6"/>
    <w:rsid w:val="00477CC3"/>
    <w:rsid w:val="004822F8"/>
    <w:rsid w:val="0048320D"/>
    <w:rsid w:val="0048770E"/>
    <w:rsid w:val="00487FDD"/>
    <w:rsid w:val="004916A7"/>
    <w:rsid w:val="004A1FC2"/>
    <w:rsid w:val="004A4404"/>
    <w:rsid w:val="004A73A5"/>
    <w:rsid w:val="004B3D96"/>
    <w:rsid w:val="004B448C"/>
    <w:rsid w:val="004B475A"/>
    <w:rsid w:val="004C37B0"/>
    <w:rsid w:val="004C5BB7"/>
    <w:rsid w:val="004C5D41"/>
    <w:rsid w:val="004C6AB7"/>
    <w:rsid w:val="004D2D6D"/>
    <w:rsid w:val="004E0FE2"/>
    <w:rsid w:val="004E6E4B"/>
    <w:rsid w:val="004F2CDD"/>
    <w:rsid w:val="00503B1E"/>
    <w:rsid w:val="0050651D"/>
    <w:rsid w:val="00510DFD"/>
    <w:rsid w:val="00510FA9"/>
    <w:rsid w:val="00513EAF"/>
    <w:rsid w:val="0051540E"/>
    <w:rsid w:val="0053476B"/>
    <w:rsid w:val="00540A0D"/>
    <w:rsid w:val="00541AA4"/>
    <w:rsid w:val="00542417"/>
    <w:rsid w:val="005424AF"/>
    <w:rsid w:val="00543F0F"/>
    <w:rsid w:val="00551630"/>
    <w:rsid w:val="005531B2"/>
    <w:rsid w:val="00553AAC"/>
    <w:rsid w:val="0055466C"/>
    <w:rsid w:val="005568FB"/>
    <w:rsid w:val="00556FA5"/>
    <w:rsid w:val="005620C1"/>
    <w:rsid w:val="00564223"/>
    <w:rsid w:val="00564A46"/>
    <w:rsid w:val="00565B7B"/>
    <w:rsid w:val="00570523"/>
    <w:rsid w:val="00570B8F"/>
    <w:rsid w:val="00572E57"/>
    <w:rsid w:val="005812DC"/>
    <w:rsid w:val="00581320"/>
    <w:rsid w:val="005845C3"/>
    <w:rsid w:val="005A2FC7"/>
    <w:rsid w:val="005B0A6C"/>
    <w:rsid w:val="005B344B"/>
    <w:rsid w:val="005B47F3"/>
    <w:rsid w:val="005B51F6"/>
    <w:rsid w:val="005B5FF7"/>
    <w:rsid w:val="005D3F71"/>
    <w:rsid w:val="005D67C2"/>
    <w:rsid w:val="005E33CC"/>
    <w:rsid w:val="005E58E1"/>
    <w:rsid w:val="005F0271"/>
    <w:rsid w:val="00607EEF"/>
    <w:rsid w:val="00610EDB"/>
    <w:rsid w:val="006125EE"/>
    <w:rsid w:val="006142D8"/>
    <w:rsid w:val="00622194"/>
    <w:rsid w:val="00624506"/>
    <w:rsid w:val="0062484E"/>
    <w:rsid w:val="00625082"/>
    <w:rsid w:val="00625D80"/>
    <w:rsid w:val="00627296"/>
    <w:rsid w:val="00627CD0"/>
    <w:rsid w:val="006300CE"/>
    <w:rsid w:val="00633EAD"/>
    <w:rsid w:val="006412FE"/>
    <w:rsid w:val="00641342"/>
    <w:rsid w:val="0064520C"/>
    <w:rsid w:val="006453EE"/>
    <w:rsid w:val="00645F51"/>
    <w:rsid w:val="00646BC6"/>
    <w:rsid w:val="00647CD6"/>
    <w:rsid w:val="00647D2E"/>
    <w:rsid w:val="006567D7"/>
    <w:rsid w:val="00660586"/>
    <w:rsid w:val="00661439"/>
    <w:rsid w:val="00664CD4"/>
    <w:rsid w:val="006654FD"/>
    <w:rsid w:val="00665B5A"/>
    <w:rsid w:val="00666889"/>
    <w:rsid w:val="00677E62"/>
    <w:rsid w:val="0068066D"/>
    <w:rsid w:val="0068164C"/>
    <w:rsid w:val="00687965"/>
    <w:rsid w:val="0069617F"/>
    <w:rsid w:val="00696B94"/>
    <w:rsid w:val="006A117B"/>
    <w:rsid w:val="006A27DA"/>
    <w:rsid w:val="006A2DFF"/>
    <w:rsid w:val="006A4FA8"/>
    <w:rsid w:val="006B13D6"/>
    <w:rsid w:val="006B4844"/>
    <w:rsid w:val="006C040C"/>
    <w:rsid w:val="006C0418"/>
    <w:rsid w:val="006C1B9B"/>
    <w:rsid w:val="006C5DF7"/>
    <w:rsid w:val="006C607B"/>
    <w:rsid w:val="006E22A9"/>
    <w:rsid w:val="006E30E0"/>
    <w:rsid w:val="006E3596"/>
    <w:rsid w:val="006E7B36"/>
    <w:rsid w:val="006F53E7"/>
    <w:rsid w:val="006F74D3"/>
    <w:rsid w:val="006F7613"/>
    <w:rsid w:val="007016B4"/>
    <w:rsid w:val="007067D4"/>
    <w:rsid w:val="00713498"/>
    <w:rsid w:val="00714381"/>
    <w:rsid w:val="00714AD0"/>
    <w:rsid w:val="00714B5B"/>
    <w:rsid w:val="007159B4"/>
    <w:rsid w:val="00717ED1"/>
    <w:rsid w:val="007227D7"/>
    <w:rsid w:val="007232DE"/>
    <w:rsid w:val="00727330"/>
    <w:rsid w:val="0074149D"/>
    <w:rsid w:val="00747110"/>
    <w:rsid w:val="0075188D"/>
    <w:rsid w:val="00754E4F"/>
    <w:rsid w:val="007611DA"/>
    <w:rsid w:val="00762657"/>
    <w:rsid w:val="00764D1F"/>
    <w:rsid w:val="007658A4"/>
    <w:rsid w:val="0076643C"/>
    <w:rsid w:val="00770A51"/>
    <w:rsid w:val="00771865"/>
    <w:rsid w:val="007729DC"/>
    <w:rsid w:val="007743DE"/>
    <w:rsid w:val="007876C7"/>
    <w:rsid w:val="00790F60"/>
    <w:rsid w:val="007922E5"/>
    <w:rsid w:val="007A4A0D"/>
    <w:rsid w:val="007A593D"/>
    <w:rsid w:val="007A75CF"/>
    <w:rsid w:val="007A7934"/>
    <w:rsid w:val="007B2CC2"/>
    <w:rsid w:val="007B3081"/>
    <w:rsid w:val="007B781E"/>
    <w:rsid w:val="007C2EFA"/>
    <w:rsid w:val="007C4583"/>
    <w:rsid w:val="007D26DA"/>
    <w:rsid w:val="007D561A"/>
    <w:rsid w:val="007D6C5A"/>
    <w:rsid w:val="007E13E1"/>
    <w:rsid w:val="007E29B8"/>
    <w:rsid w:val="007F20C1"/>
    <w:rsid w:val="007F2153"/>
    <w:rsid w:val="007F2A1D"/>
    <w:rsid w:val="007F3D48"/>
    <w:rsid w:val="007F74E8"/>
    <w:rsid w:val="008024C9"/>
    <w:rsid w:val="00806EF1"/>
    <w:rsid w:val="00807417"/>
    <w:rsid w:val="008079A4"/>
    <w:rsid w:val="00823F8C"/>
    <w:rsid w:val="0083029D"/>
    <w:rsid w:val="00843C3C"/>
    <w:rsid w:val="00846FB2"/>
    <w:rsid w:val="00846FF6"/>
    <w:rsid w:val="008508E1"/>
    <w:rsid w:val="00851479"/>
    <w:rsid w:val="00852B9E"/>
    <w:rsid w:val="00857CAC"/>
    <w:rsid w:val="00863AD2"/>
    <w:rsid w:val="0087091E"/>
    <w:rsid w:val="00871809"/>
    <w:rsid w:val="00875061"/>
    <w:rsid w:val="00876AD2"/>
    <w:rsid w:val="00876CBE"/>
    <w:rsid w:val="008806F8"/>
    <w:rsid w:val="00881788"/>
    <w:rsid w:val="00885C1F"/>
    <w:rsid w:val="0088601B"/>
    <w:rsid w:val="00886873"/>
    <w:rsid w:val="008977E9"/>
    <w:rsid w:val="008A0A38"/>
    <w:rsid w:val="008A11C5"/>
    <w:rsid w:val="008A3F22"/>
    <w:rsid w:val="008A7CD8"/>
    <w:rsid w:val="008B073A"/>
    <w:rsid w:val="008B3B2C"/>
    <w:rsid w:val="008B3E93"/>
    <w:rsid w:val="008B45AD"/>
    <w:rsid w:val="008C06EB"/>
    <w:rsid w:val="008C4339"/>
    <w:rsid w:val="008D081C"/>
    <w:rsid w:val="008D1548"/>
    <w:rsid w:val="008D212A"/>
    <w:rsid w:val="008E1473"/>
    <w:rsid w:val="008F221D"/>
    <w:rsid w:val="008F2BC5"/>
    <w:rsid w:val="008F457E"/>
    <w:rsid w:val="00902484"/>
    <w:rsid w:val="00912862"/>
    <w:rsid w:val="0091382B"/>
    <w:rsid w:val="00914AB6"/>
    <w:rsid w:val="0091680D"/>
    <w:rsid w:val="0092156D"/>
    <w:rsid w:val="009232D9"/>
    <w:rsid w:val="00933B05"/>
    <w:rsid w:val="0094000E"/>
    <w:rsid w:val="0094287B"/>
    <w:rsid w:val="0095112B"/>
    <w:rsid w:val="009524C7"/>
    <w:rsid w:val="009531F5"/>
    <w:rsid w:val="00956332"/>
    <w:rsid w:val="00957F36"/>
    <w:rsid w:val="00961FD2"/>
    <w:rsid w:val="00963B05"/>
    <w:rsid w:val="0097278D"/>
    <w:rsid w:val="00983613"/>
    <w:rsid w:val="00990584"/>
    <w:rsid w:val="00993990"/>
    <w:rsid w:val="009947F0"/>
    <w:rsid w:val="00997527"/>
    <w:rsid w:val="009A5F5F"/>
    <w:rsid w:val="009B7598"/>
    <w:rsid w:val="009C084C"/>
    <w:rsid w:val="009C1C60"/>
    <w:rsid w:val="009C2F87"/>
    <w:rsid w:val="009C2FD5"/>
    <w:rsid w:val="009C3795"/>
    <w:rsid w:val="009C47CF"/>
    <w:rsid w:val="009C53AE"/>
    <w:rsid w:val="009C75D3"/>
    <w:rsid w:val="009D0E21"/>
    <w:rsid w:val="009D3086"/>
    <w:rsid w:val="009D3B1C"/>
    <w:rsid w:val="009D7627"/>
    <w:rsid w:val="009E143D"/>
    <w:rsid w:val="009E2A38"/>
    <w:rsid w:val="009E794E"/>
    <w:rsid w:val="009F2D77"/>
    <w:rsid w:val="009F6834"/>
    <w:rsid w:val="00A00B2E"/>
    <w:rsid w:val="00A00B45"/>
    <w:rsid w:val="00A038A2"/>
    <w:rsid w:val="00A118CA"/>
    <w:rsid w:val="00A16561"/>
    <w:rsid w:val="00A16609"/>
    <w:rsid w:val="00A20672"/>
    <w:rsid w:val="00A20EA5"/>
    <w:rsid w:val="00A21D68"/>
    <w:rsid w:val="00A248B2"/>
    <w:rsid w:val="00A30350"/>
    <w:rsid w:val="00A311B9"/>
    <w:rsid w:val="00A33D20"/>
    <w:rsid w:val="00A34F01"/>
    <w:rsid w:val="00A35B9D"/>
    <w:rsid w:val="00A37040"/>
    <w:rsid w:val="00A410BE"/>
    <w:rsid w:val="00A461D7"/>
    <w:rsid w:val="00A4769B"/>
    <w:rsid w:val="00A479FC"/>
    <w:rsid w:val="00A5713B"/>
    <w:rsid w:val="00A57CA2"/>
    <w:rsid w:val="00A62B53"/>
    <w:rsid w:val="00A67D86"/>
    <w:rsid w:val="00A73E13"/>
    <w:rsid w:val="00A75470"/>
    <w:rsid w:val="00A758FE"/>
    <w:rsid w:val="00A831D6"/>
    <w:rsid w:val="00A87AB7"/>
    <w:rsid w:val="00A92D2C"/>
    <w:rsid w:val="00A931D3"/>
    <w:rsid w:val="00A945D0"/>
    <w:rsid w:val="00A94F79"/>
    <w:rsid w:val="00AA194C"/>
    <w:rsid w:val="00AA2B8A"/>
    <w:rsid w:val="00AA4EB6"/>
    <w:rsid w:val="00AA5C47"/>
    <w:rsid w:val="00AB314E"/>
    <w:rsid w:val="00AB56D5"/>
    <w:rsid w:val="00AB7481"/>
    <w:rsid w:val="00AC002E"/>
    <w:rsid w:val="00AC2062"/>
    <w:rsid w:val="00AC2107"/>
    <w:rsid w:val="00AC2321"/>
    <w:rsid w:val="00AC51A6"/>
    <w:rsid w:val="00AC5A14"/>
    <w:rsid w:val="00AC7A74"/>
    <w:rsid w:val="00AD3D85"/>
    <w:rsid w:val="00AD56BE"/>
    <w:rsid w:val="00AD5D2C"/>
    <w:rsid w:val="00AD6738"/>
    <w:rsid w:val="00AD7302"/>
    <w:rsid w:val="00AD7C79"/>
    <w:rsid w:val="00AE0728"/>
    <w:rsid w:val="00AE27E0"/>
    <w:rsid w:val="00AE3795"/>
    <w:rsid w:val="00AE3E50"/>
    <w:rsid w:val="00AE7266"/>
    <w:rsid w:val="00AE7790"/>
    <w:rsid w:val="00AE77DD"/>
    <w:rsid w:val="00AF200C"/>
    <w:rsid w:val="00AF6F6B"/>
    <w:rsid w:val="00B00911"/>
    <w:rsid w:val="00B01517"/>
    <w:rsid w:val="00B03707"/>
    <w:rsid w:val="00B06756"/>
    <w:rsid w:val="00B10112"/>
    <w:rsid w:val="00B13080"/>
    <w:rsid w:val="00B21028"/>
    <w:rsid w:val="00B2144E"/>
    <w:rsid w:val="00B21658"/>
    <w:rsid w:val="00B2298A"/>
    <w:rsid w:val="00B30C21"/>
    <w:rsid w:val="00B310BE"/>
    <w:rsid w:val="00B34E72"/>
    <w:rsid w:val="00B34F1C"/>
    <w:rsid w:val="00B414B3"/>
    <w:rsid w:val="00B4212B"/>
    <w:rsid w:val="00B46DA1"/>
    <w:rsid w:val="00B477C3"/>
    <w:rsid w:val="00B47FDE"/>
    <w:rsid w:val="00B50689"/>
    <w:rsid w:val="00B517F1"/>
    <w:rsid w:val="00B552B7"/>
    <w:rsid w:val="00B55724"/>
    <w:rsid w:val="00B55C86"/>
    <w:rsid w:val="00B61031"/>
    <w:rsid w:val="00B65A36"/>
    <w:rsid w:val="00B7140B"/>
    <w:rsid w:val="00B808F8"/>
    <w:rsid w:val="00B81E1A"/>
    <w:rsid w:val="00B836F9"/>
    <w:rsid w:val="00B86ACE"/>
    <w:rsid w:val="00B9056A"/>
    <w:rsid w:val="00B92D68"/>
    <w:rsid w:val="00B972A0"/>
    <w:rsid w:val="00BA3AC7"/>
    <w:rsid w:val="00BA44DC"/>
    <w:rsid w:val="00BA4AB4"/>
    <w:rsid w:val="00BB284F"/>
    <w:rsid w:val="00BC46FD"/>
    <w:rsid w:val="00BD1192"/>
    <w:rsid w:val="00BD5C48"/>
    <w:rsid w:val="00BE0A0C"/>
    <w:rsid w:val="00BE3ED6"/>
    <w:rsid w:val="00BE3F69"/>
    <w:rsid w:val="00BE417E"/>
    <w:rsid w:val="00BE7D4C"/>
    <w:rsid w:val="00BF40D2"/>
    <w:rsid w:val="00BF56B9"/>
    <w:rsid w:val="00BF6C35"/>
    <w:rsid w:val="00BF7652"/>
    <w:rsid w:val="00C01882"/>
    <w:rsid w:val="00C03C06"/>
    <w:rsid w:val="00C0676E"/>
    <w:rsid w:val="00C1018D"/>
    <w:rsid w:val="00C10506"/>
    <w:rsid w:val="00C10E11"/>
    <w:rsid w:val="00C11254"/>
    <w:rsid w:val="00C20FE6"/>
    <w:rsid w:val="00C225FA"/>
    <w:rsid w:val="00C22E01"/>
    <w:rsid w:val="00C249C4"/>
    <w:rsid w:val="00C265A5"/>
    <w:rsid w:val="00C32384"/>
    <w:rsid w:val="00C353B0"/>
    <w:rsid w:val="00C40274"/>
    <w:rsid w:val="00C41214"/>
    <w:rsid w:val="00C41FE1"/>
    <w:rsid w:val="00C451DA"/>
    <w:rsid w:val="00C5001F"/>
    <w:rsid w:val="00C503AD"/>
    <w:rsid w:val="00C51414"/>
    <w:rsid w:val="00C522CC"/>
    <w:rsid w:val="00C60528"/>
    <w:rsid w:val="00C60CCD"/>
    <w:rsid w:val="00C61F62"/>
    <w:rsid w:val="00C62365"/>
    <w:rsid w:val="00C629B4"/>
    <w:rsid w:val="00C6402C"/>
    <w:rsid w:val="00C65017"/>
    <w:rsid w:val="00C800D6"/>
    <w:rsid w:val="00C8376A"/>
    <w:rsid w:val="00C83DD4"/>
    <w:rsid w:val="00C859AC"/>
    <w:rsid w:val="00C9067B"/>
    <w:rsid w:val="00C92216"/>
    <w:rsid w:val="00C94395"/>
    <w:rsid w:val="00C9491C"/>
    <w:rsid w:val="00C94BC4"/>
    <w:rsid w:val="00C951E4"/>
    <w:rsid w:val="00C957C5"/>
    <w:rsid w:val="00C966FE"/>
    <w:rsid w:val="00C968AE"/>
    <w:rsid w:val="00C97168"/>
    <w:rsid w:val="00C9743E"/>
    <w:rsid w:val="00CB397E"/>
    <w:rsid w:val="00CB461B"/>
    <w:rsid w:val="00CB79C2"/>
    <w:rsid w:val="00CC06CA"/>
    <w:rsid w:val="00CC080E"/>
    <w:rsid w:val="00CC30DD"/>
    <w:rsid w:val="00CC5167"/>
    <w:rsid w:val="00CC7DBC"/>
    <w:rsid w:val="00CC7F25"/>
    <w:rsid w:val="00CD08FB"/>
    <w:rsid w:val="00CD3889"/>
    <w:rsid w:val="00CD647A"/>
    <w:rsid w:val="00CD6D61"/>
    <w:rsid w:val="00CD7B84"/>
    <w:rsid w:val="00CE036D"/>
    <w:rsid w:val="00CE0594"/>
    <w:rsid w:val="00CE0B34"/>
    <w:rsid w:val="00CE19F0"/>
    <w:rsid w:val="00CF0301"/>
    <w:rsid w:val="00CF1C25"/>
    <w:rsid w:val="00CF6FA7"/>
    <w:rsid w:val="00D00C8C"/>
    <w:rsid w:val="00D01759"/>
    <w:rsid w:val="00D0202C"/>
    <w:rsid w:val="00D0223E"/>
    <w:rsid w:val="00D10EC7"/>
    <w:rsid w:val="00D137D1"/>
    <w:rsid w:val="00D20464"/>
    <w:rsid w:val="00D20FAB"/>
    <w:rsid w:val="00D26A2E"/>
    <w:rsid w:val="00D276E5"/>
    <w:rsid w:val="00D33A1B"/>
    <w:rsid w:val="00D33ECB"/>
    <w:rsid w:val="00D34F58"/>
    <w:rsid w:val="00D379FF"/>
    <w:rsid w:val="00D40C8F"/>
    <w:rsid w:val="00D40C94"/>
    <w:rsid w:val="00D44572"/>
    <w:rsid w:val="00D506A1"/>
    <w:rsid w:val="00D506BE"/>
    <w:rsid w:val="00D5573E"/>
    <w:rsid w:val="00D579ED"/>
    <w:rsid w:val="00D612CA"/>
    <w:rsid w:val="00D6135E"/>
    <w:rsid w:val="00D62752"/>
    <w:rsid w:val="00D72580"/>
    <w:rsid w:val="00D76A69"/>
    <w:rsid w:val="00D77EEF"/>
    <w:rsid w:val="00D80D39"/>
    <w:rsid w:val="00D8211F"/>
    <w:rsid w:val="00D8435B"/>
    <w:rsid w:val="00D933A2"/>
    <w:rsid w:val="00DA2679"/>
    <w:rsid w:val="00DA268C"/>
    <w:rsid w:val="00DB559E"/>
    <w:rsid w:val="00DC02F7"/>
    <w:rsid w:val="00DC2627"/>
    <w:rsid w:val="00DC2DDE"/>
    <w:rsid w:val="00DC6995"/>
    <w:rsid w:val="00DC7095"/>
    <w:rsid w:val="00DC7CD9"/>
    <w:rsid w:val="00DD2F8F"/>
    <w:rsid w:val="00DE1BDE"/>
    <w:rsid w:val="00DE213C"/>
    <w:rsid w:val="00DE215F"/>
    <w:rsid w:val="00DE7EA8"/>
    <w:rsid w:val="00DF0ECF"/>
    <w:rsid w:val="00DF107B"/>
    <w:rsid w:val="00DF3D10"/>
    <w:rsid w:val="00E01BDB"/>
    <w:rsid w:val="00E05181"/>
    <w:rsid w:val="00E125CA"/>
    <w:rsid w:val="00E1388E"/>
    <w:rsid w:val="00E14A5C"/>
    <w:rsid w:val="00E1743A"/>
    <w:rsid w:val="00E23B8D"/>
    <w:rsid w:val="00E31B35"/>
    <w:rsid w:val="00E335CF"/>
    <w:rsid w:val="00E41364"/>
    <w:rsid w:val="00E43A0A"/>
    <w:rsid w:val="00E53F24"/>
    <w:rsid w:val="00E54870"/>
    <w:rsid w:val="00E60283"/>
    <w:rsid w:val="00E642E3"/>
    <w:rsid w:val="00E64D97"/>
    <w:rsid w:val="00E66F78"/>
    <w:rsid w:val="00E83BCB"/>
    <w:rsid w:val="00E85465"/>
    <w:rsid w:val="00E85C67"/>
    <w:rsid w:val="00E90FCC"/>
    <w:rsid w:val="00E938BE"/>
    <w:rsid w:val="00EA0761"/>
    <w:rsid w:val="00EA2DA3"/>
    <w:rsid w:val="00EA4022"/>
    <w:rsid w:val="00EA5CA9"/>
    <w:rsid w:val="00EA6B3A"/>
    <w:rsid w:val="00EB3A63"/>
    <w:rsid w:val="00EB549A"/>
    <w:rsid w:val="00EC1186"/>
    <w:rsid w:val="00EC2507"/>
    <w:rsid w:val="00EC2C8A"/>
    <w:rsid w:val="00ED1650"/>
    <w:rsid w:val="00ED25C9"/>
    <w:rsid w:val="00ED7498"/>
    <w:rsid w:val="00ED752E"/>
    <w:rsid w:val="00EE2BB7"/>
    <w:rsid w:val="00EE3147"/>
    <w:rsid w:val="00EE44D7"/>
    <w:rsid w:val="00EE4B70"/>
    <w:rsid w:val="00EF1E5E"/>
    <w:rsid w:val="00F04876"/>
    <w:rsid w:val="00F04B11"/>
    <w:rsid w:val="00F07339"/>
    <w:rsid w:val="00F12461"/>
    <w:rsid w:val="00F153A5"/>
    <w:rsid w:val="00F176A5"/>
    <w:rsid w:val="00F20A4B"/>
    <w:rsid w:val="00F24357"/>
    <w:rsid w:val="00F25A5E"/>
    <w:rsid w:val="00F31C4F"/>
    <w:rsid w:val="00F32638"/>
    <w:rsid w:val="00F3644B"/>
    <w:rsid w:val="00F40C3E"/>
    <w:rsid w:val="00F42032"/>
    <w:rsid w:val="00F43D77"/>
    <w:rsid w:val="00F45D88"/>
    <w:rsid w:val="00F46205"/>
    <w:rsid w:val="00F4723B"/>
    <w:rsid w:val="00F51763"/>
    <w:rsid w:val="00F51F17"/>
    <w:rsid w:val="00F53AAB"/>
    <w:rsid w:val="00F53F9D"/>
    <w:rsid w:val="00F54E69"/>
    <w:rsid w:val="00F60F73"/>
    <w:rsid w:val="00F62F7D"/>
    <w:rsid w:val="00F63B4E"/>
    <w:rsid w:val="00F66585"/>
    <w:rsid w:val="00F72CA1"/>
    <w:rsid w:val="00F73690"/>
    <w:rsid w:val="00F803A0"/>
    <w:rsid w:val="00F82699"/>
    <w:rsid w:val="00F833F8"/>
    <w:rsid w:val="00F84BD0"/>
    <w:rsid w:val="00F85FE5"/>
    <w:rsid w:val="00F86461"/>
    <w:rsid w:val="00F909DA"/>
    <w:rsid w:val="00F925C0"/>
    <w:rsid w:val="00F93FAB"/>
    <w:rsid w:val="00FA74DB"/>
    <w:rsid w:val="00FB7A9B"/>
    <w:rsid w:val="00FC3C25"/>
    <w:rsid w:val="00FC4ACC"/>
    <w:rsid w:val="00FD0626"/>
    <w:rsid w:val="00FD1B25"/>
    <w:rsid w:val="00FF2379"/>
    <w:rsid w:val="00FF26F5"/>
    <w:rsid w:val="00FF5094"/>
    <w:rsid w:val="00FF6555"/>
    <w:rsid w:val="00FF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2C99D"/>
  <w15:chartTrackingRefBased/>
  <w15:docId w15:val="{6F0F0A2B-5D99-F848-8F16-05C5A2E8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1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31D3"/>
    <w:rPr>
      <w:color w:val="0000FF"/>
      <w:u w:val="single"/>
    </w:rPr>
  </w:style>
  <w:style w:type="character" w:customStyle="1" w:styleId="apple-converted-space">
    <w:name w:val="apple-converted-space"/>
    <w:basedOn w:val="DefaultParagraphFont"/>
    <w:rsid w:val="00A931D3"/>
  </w:style>
  <w:style w:type="character" w:styleId="UnresolvedMention">
    <w:name w:val="Unresolved Mention"/>
    <w:basedOn w:val="DefaultParagraphFont"/>
    <w:uiPriority w:val="99"/>
    <w:semiHidden/>
    <w:unhideWhenUsed/>
    <w:rsid w:val="00FB7A9B"/>
    <w:rPr>
      <w:color w:val="605E5C"/>
      <w:shd w:val="clear" w:color="auto" w:fill="E1DFDD"/>
    </w:rPr>
  </w:style>
  <w:style w:type="character" w:styleId="FollowedHyperlink">
    <w:name w:val="FollowedHyperlink"/>
    <w:basedOn w:val="DefaultParagraphFont"/>
    <w:uiPriority w:val="99"/>
    <w:semiHidden/>
    <w:unhideWhenUsed/>
    <w:rsid w:val="00222004"/>
    <w:rPr>
      <w:color w:val="954F72" w:themeColor="followedHyperlink"/>
      <w:u w:val="single"/>
    </w:rPr>
  </w:style>
  <w:style w:type="paragraph" w:styleId="ListParagraph">
    <w:name w:val="List Paragraph"/>
    <w:basedOn w:val="Normal"/>
    <w:uiPriority w:val="34"/>
    <w:qFormat/>
    <w:rsid w:val="001B6265"/>
    <w:pPr>
      <w:ind w:left="720"/>
      <w:contextualSpacing/>
    </w:pPr>
  </w:style>
  <w:style w:type="paragraph" w:styleId="BalloonText">
    <w:name w:val="Balloon Text"/>
    <w:basedOn w:val="Normal"/>
    <w:link w:val="BalloonTextChar"/>
    <w:uiPriority w:val="99"/>
    <w:semiHidden/>
    <w:unhideWhenUsed/>
    <w:rsid w:val="008C4339"/>
    <w:rPr>
      <w:sz w:val="18"/>
      <w:szCs w:val="18"/>
    </w:rPr>
  </w:style>
  <w:style w:type="character" w:customStyle="1" w:styleId="BalloonTextChar">
    <w:name w:val="Balloon Text Char"/>
    <w:basedOn w:val="DefaultParagraphFont"/>
    <w:link w:val="BalloonText"/>
    <w:uiPriority w:val="99"/>
    <w:semiHidden/>
    <w:rsid w:val="008C4339"/>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810">
      <w:bodyDiv w:val="1"/>
      <w:marLeft w:val="0"/>
      <w:marRight w:val="0"/>
      <w:marTop w:val="0"/>
      <w:marBottom w:val="0"/>
      <w:divBdr>
        <w:top w:val="none" w:sz="0" w:space="0" w:color="auto"/>
        <w:left w:val="none" w:sz="0" w:space="0" w:color="auto"/>
        <w:bottom w:val="none" w:sz="0" w:space="0" w:color="auto"/>
        <w:right w:val="none" w:sz="0" w:space="0" w:color="auto"/>
      </w:divBdr>
    </w:div>
    <w:div w:id="15930057">
      <w:bodyDiv w:val="1"/>
      <w:marLeft w:val="0"/>
      <w:marRight w:val="0"/>
      <w:marTop w:val="0"/>
      <w:marBottom w:val="0"/>
      <w:divBdr>
        <w:top w:val="none" w:sz="0" w:space="0" w:color="auto"/>
        <w:left w:val="none" w:sz="0" w:space="0" w:color="auto"/>
        <w:bottom w:val="none" w:sz="0" w:space="0" w:color="auto"/>
        <w:right w:val="none" w:sz="0" w:space="0" w:color="auto"/>
      </w:divBdr>
    </w:div>
    <w:div w:id="16348541">
      <w:bodyDiv w:val="1"/>
      <w:marLeft w:val="0"/>
      <w:marRight w:val="0"/>
      <w:marTop w:val="0"/>
      <w:marBottom w:val="0"/>
      <w:divBdr>
        <w:top w:val="none" w:sz="0" w:space="0" w:color="auto"/>
        <w:left w:val="none" w:sz="0" w:space="0" w:color="auto"/>
        <w:bottom w:val="none" w:sz="0" w:space="0" w:color="auto"/>
        <w:right w:val="none" w:sz="0" w:space="0" w:color="auto"/>
      </w:divBdr>
    </w:div>
    <w:div w:id="18364041">
      <w:bodyDiv w:val="1"/>
      <w:marLeft w:val="0"/>
      <w:marRight w:val="0"/>
      <w:marTop w:val="0"/>
      <w:marBottom w:val="0"/>
      <w:divBdr>
        <w:top w:val="none" w:sz="0" w:space="0" w:color="auto"/>
        <w:left w:val="none" w:sz="0" w:space="0" w:color="auto"/>
        <w:bottom w:val="none" w:sz="0" w:space="0" w:color="auto"/>
        <w:right w:val="none" w:sz="0" w:space="0" w:color="auto"/>
      </w:divBdr>
    </w:div>
    <w:div w:id="20403916">
      <w:bodyDiv w:val="1"/>
      <w:marLeft w:val="0"/>
      <w:marRight w:val="0"/>
      <w:marTop w:val="0"/>
      <w:marBottom w:val="0"/>
      <w:divBdr>
        <w:top w:val="none" w:sz="0" w:space="0" w:color="auto"/>
        <w:left w:val="none" w:sz="0" w:space="0" w:color="auto"/>
        <w:bottom w:val="none" w:sz="0" w:space="0" w:color="auto"/>
        <w:right w:val="none" w:sz="0" w:space="0" w:color="auto"/>
      </w:divBdr>
    </w:div>
    <w:div w:id="25569515">
      <w:bodyDiv w:val="1"/>
      <w:marLeft w:val="0"/>
      <w:marRight w:val="0"/>
      <w:marTop w:val="0"/>
      <w:marBottom w:val="0"/>
      <w:divBdr>
        <w:top w:val="none" w:sz="0" w:space="0" w:color="auto"/>
        <w:left w:val="none" w:sz="0" w:space="0" w:color="auto"/>
        <w:bottom w:val="none" w:sz="0" w:space="0" w:color="auto"/>
        <w:right w:val="none" w:sz="0" w:space="0" w:color="auto"/>
      </w:divBdr>
    </w:div>
    <w:div w:id="34014298">
      <w:bodyDiv w:val="1"/>
      <w:marLeft w:val="0"/>
      <w:marRight w:val="0"/>
      <w:marTop w:val="0"/>
      <w:marBottom w:val="0"/>
      <w:divBdr>
        <w:top w:val="none" w:sz="0" w:space="0" w:color="auto"/>
        <w:left w:val="none" w:sz="0" w:space="0" w:color="auto"/>
        <w:bottom w:val="none" w:sz="0" w:space="0" w:color="auto"/>
        <w:right w:val="none" w:sz="0" w:space="0" w:color="auto"/>
      </w:divBdr>
    </w:div>
    <w:div w:id="64422709">
      <w:bodyDiv w:val="1"/>
      <w:marLeft w:val="0"/>
      <w:marRight w:val="0"/>
      <w:marTop w:val="0"/>
      <w:marBottom w:val="0"/>
      <w:divBdr>
        <w:top w:val="none" w:sz="0" w:space="0" w:color="auto"/>
        <w:left w:val="none" w:sz="0" w:space="0" w:color="auto"/>
        <w:bottom w:val="none" w:sz="0" w:space="0" w:color="auto"/>
        <w:right w:val="none" w:sz="0" w:space="0" w:color="auto"/>
      </w:divBdr>
    </w:div>
    <w:div w:id="79913446">
      <w:bodyDiv w:val="1"/>
      <w:marLeft w:val="0"/>
      <w:marRight w:val="0"/>
      <w:marTop w:val="0"/>
      <w:marBottom w:val="0"/>
      <w:divBdr>
        <w:top w:val="none" w:sz="0" w:space="0" w:color="auto"/>
        <w:left w:val="none" w:sz="0" w:space="0" w:color="auto"/>
        <w:bottom w:val="none" w:sz="0" w:space="0" w:color="auto"/>
        <w:right w:val="none" w:sz="0" w:space="0" w:color="auto"/>
      </w:divBdr>
    </w:div>
    <w:div w:id="117187370">
      <w:bodyDiv w:val="1"/>
      <w:marLeft w:val="0"/>
      <w:marRight w:val="0"/>
      <w:marTop w:val="0"/>
      <w:marBottom w:val="0"/>
      <w:divBdr>
        <w:top w:val="none" w:sz="0" w:space="0" w:color="auto"/>
        <w:left w:val="none" w:sz="0" w:space="0" w:color="auto"/>
        <w:bottom w:val="none" w:sz="0" w:space="0" w:color="auto"/>
        <w:right w:val="none" w:sz="0" w:space="0" w:color="auto"/>
      </w:divBdr>
    </w:div>
    <w:div w:id="118228140">
      <w:bodyDiv w:val="1"/>
      <w:marLeft w:val="0"/>
      <w:marRight w:val="0"/>
      <w:marTop w:val="0"/>
      <w:marBottom w:val="0"/>
      <w:divBdr>
        <w:top w:val="none" w:sz="0" w:space="0" w:color="auto"/>
        <w:left w:val="none" w:sz="0" w:space="0" w:color="auto"/>
        <w:bottom w:val="none" w:sz="0" w:space="0" w:color="auto"/>
        <w:right w:val="none" w:sz="0" w:space="0" w:color="auto"/>
      </w:divBdr>
    </w:div>
    <w:div w:id="119108954">
      <w:bodyDiv w:val="1"/>
      <w:marLeft w:val="0"/>
      <w:marRight w:val="0"/>
      <w:marTop w:val="0"/>
      <w:marBottom w:val="0"/>
      <w:divBdr>
        <w:top w:val="none" w:sz="0" w:space="0" w:color="auto"/>
        <w:left w:val="none" w:sz="0" w:space="0" w:color="auto"/>
        <w:bottom w:val="none" w:sz="0" w:space="0" w:color="auto"/>
        <w:right w:val="none" w:sz="0" w:space="0" w:color="auto"/>
      </w:divBdr>
    </w:div>
    <w:div w:id="141701622">
      <w:bodyDiv w:val="1"/>
      <w:marLeft w:val="0"/>
      <w:marRight w:val="0"/>
      <w:marTop w:val="0"/>
      <w:marBottom w:val="0"/>
      <w:divBdr>
        <w:top w:val="none" w:sz="0" w:space="0" w:color="auto"/>
        <w:left w:val="none" w:sz="0" w:space="0" w:color="auto"/>
        <w:bottom w:val="none" w:sz="0" w:space="0" w:color="auto"/>
        <w:right w:val="none" w:sz="0" w:space="0" w:color="auto"/>
      </w:divBdr>
    </w:div>
    <w:div w:id="161437110">
      <w:bodyDiv w:val="1"/>
      <w:marLeft w:val="0"/>
      <w:marRight w:val="0"/>
      <w:marTop w:val="0"/>
      <w:marBottom w:val="0"/>
      <w:divBdr>
        <w:top w:val="none" w:sz="0" w:space="0" w:color="auto"/>
        <w:left w:val="none" w:sz="0" w:space="0" w:color="auto"/>
        <w:bottom w:val="none" w:sz="0" w:space="0" w:color="auto"/>
        <w:right w:val="none" w:sz="0" w:space="0" w:color="auto"/>
      </w:divBdr>
    </w:div>
    <w:div w:id="162938156">
      <w:bodyDiv w:val="1"/>
      <w:marLeft w:val="0"/>
      <w:marRight w:val="0"/>
      <w:marTop w:val="0"/>
      <w:marBottom w:val="0"/>
      <w:divBdr>
        <w:top w:val="none" w:sz="0" w:space="0" w:color="auto"/>
        <w:left w:val="none" w:sz="0" w:space="0" w:color="auto"/>
        <w:bottom w:val="none" w:sz="0" w:space="0" w:color="auto"/>
        <w:right w:val="none" w:sz="0" w:space="0" w:color="auto"/>
      </w:divBdr>
    </w:div>
    <w:div w:id="163908946">
      <w:bodyDiv w:val="1"/>
      <w:marLeft w:val="0"/>
      <w:marRight w:val="0"/>
      <w:marTop w:val="0"/>
      <w:marBottom w:val="0"/>
      <w:divBdr>
        <w:top w:val="none" w:sz="0" w:space="0" w:color="auto"/>
        <w:left w:val="none" w:sz="0" w:space="0" w:color="auto"/>
        <w:bottom w:val="none" w:sz="0" w:space="0" w:color="auto"/>
        <w:right w:val="none" w:sz="0" w:space="0" w:color="auto"/>
      </w:divBdr>
    </w:div>
    <w:div w:id="176161540">
      <w:bodyDiv w:val="1"/>
      <w:marLeft w:val="0"/>
      <w:marRight w:val="0"/>
      <w:marTop w:val="0"/>
      <w:marBottom w:val="0"/>
      <w:divBdr>
        <w:top w:val="none" w:sz="0" w:space="0" w:color="auto"/>
        <w:left w:val="none" w:sz="0" w:space="0" w:color="auto"/>
        <w:bottom w:val="none" w:sz="0" w:space="0" w:color="auto"/>
        <w:right w:val="none" w:sz="0" w:space="0" w:color="auto"/>
      </w:divBdr>
    </w:div>
    <w:div w:id="189029884">
      <w:bodyDiv w:val="1"/>
      <w:marLeft w:val="0"/>
      <w:marRight w:val="0"/>
      <w:marTop w:val="0"/>
      <w:marBottom w:val="0"/>
      <w:divBdr>
        <w:top w:val="none" w:sz="0" w:space="0" w:color="auto"/>
        <w:left w:val="none" w:sz="0" w:space="0" w:color="auto"/>
        <w:bottom w:val="none" w:sz="0" w:space="0" w:color="auto"/>
        <w:right w:val="none" w:sz="0" w:space="0" w:color="auto"/>
      </w:divBdr>
    </w:div>
    <w:div w:id="201788680">
      <w:bodyDiv w:val="1"/>
      <w:marLeft w:val="0"/>
      <w:marRight w:val="0"/>
      <w:marTop w:val="0"/>
      <w:marBottom w:val="0"/>
      <w:divBdr>
        <w:top w:val="none" w:sz="0" w:space="0" w:color="auto"/>
        <w:left w:val="none" w:sz="0" w:space="0" w:color="auto"/>
        <w:bottom w:val="none" w:sz="0" w:space="0" w:color="auto"/>
        <w:right w:val="none" w:sz="0" w:space="0" w:color="auto"/>
      </w:divBdr>
    </w:div>
    <w:div w:id="205459060">
      <w:bodyDiv w:val="1"/>
      <w:marLeft w:val="0"/>
      <w:marRight w:val="0"/>
      <w:marTop w:val="0"/>
      <w:marBottom w:val="0"/>
      <w:divBdr>
        <w:top w:val="none" w:sz="0" w:space="0" w:color="auto"/>
        <w:left w:val="none" w:sz="0" w:space="0" w:color="auto"/>
        <w:bottom w:val="none" w:sz="0" w:space="0" w:color="auto"/>
        <w:right w:val="none" w:sz="0" w:space="0" w:color="auto"/>
      </w:divBdr>
    </w:div>
    <w:div w:id="218176341">
      <w:bodyDiv w:val="1"/>
      <w:marLeft w:val="0"/>
      <w:marRight w:val="0"/>
      <w:marTop w:val="0"/>
      <w:marBottom w:val="0"/>
      <w:divBdr>
        <w:top w:val="none" w:sz="0" w:space="0" w:color="auto"/>
        <w:left w:val="none" w:sz="0" w:space="0" w:color="auto"/>
        <w:bottom w:val="none" w:sz="0" w:space="0" w:color="auto"/>
        <w:right w:val="none" w:sz="0" w:space="0" w:color="auto"/>
      </w:divBdr>
    </w:div>
    <w:div w:id="246037133">
      <w:bodyDiv w:val="1"/>
      <w:marLeft w:val="0"/>
      <w:marRight w:val="0"/>
      <w:marTop w:val="0"/>
      <w:marBottom w:val="0"/>
      <w:divBdr>
        <w:top w:val="none" w:sz="0" w:space="0" w:color="auto"/>
        <w:left w:val="none" w:sz="0" w:space="0" w:color="auto"/>
        <w:bottom w:val="none" w:sz="0" w:space="0" w:color="auto"/>
        <w:right w:val="none" w:sz="0" w:space="0" w:color="auto"/>
      </w:divBdr>
    </w:div>
    <w:div w:id="264962337">
      <w:bodyDiv w:val="1"/>
      <w:marLeft w:val="0"/>
      <w:marRight w:val="0"/>
      <w:marTop w:val="0"/>
      <w:marBottom w:val="0"/>
      <w:divBdr>
        <w:top w:val="none" w:sz="0" w:space="0" w:color="auto"/>
        <w:left w:val="none" w:sz="0" w:space="0" w:color="auto"/>
        <w:bottom w:val="none" w:sz="0" w:space="0" w:color="auto"/>
        <w:right w:val="none" w:sz="0" w:space="0" w:color="auto"/>
      </w:divBdr>
      <w:divsChild>
        <w:div w:id="1848253139">
          <w:marLeft w:val="0"/>
          <w:marRight w:val="0"/>
          <w:marTop w:val="0"/>
          <w:marBottom w:val="0"/>
          <w:divBdr>
            <w:top w:val="none" w:sz="0" w:space="0" w:color="auto"/>
            <w:left w:val="none" w:sz="0" w:space="0" w:color="auto"/>
            <w:bottom w:val="none" w:sz="0" w:space="0" w:color="auto"/>
            <w:right w:val="none" w:sz="0" w:space="0" w:color="auto"/>
          </w:divBdr>
        </w:div>
        <w:div w:id="555699226">
          <w:marLeft w:val="0"/>
          <w:marRight w:val="0"/>
          <w:marTop w:val="0"/>
          <w:marBottom w:val="0"/>
          <w:divBdr>
            <w:top w:val="none" w:sz="0" w:space="0" w:color="auto"/>
            <w:left w:val="none" w:sz="0" w:space="0" w:color="auto"/>
            <w:bottom w:val="none" w:sz="0" w:space="0" w:color="auto"/>
            <w:right w:val="none" w:sz="0" w:space="0" w:color="auto"/>
          </w:divBdr>
        </w:div>
      </w:divsChild>
    </w:div>
    <w:div w:id="325473451">
      <w:bodyDiv w:val="1"/>
      <w:marLeft w:val="0"/>
      <w:marRight w:val="0"/>
      <w:marTop w:val="0"/>
      <w:marBottom w:val="0"/>
      <w:divBdr>
        <w:top w:val="none" w:sz="0" w:space="0" w:color="auto"/>
        <w:left w:val="none" w:sz="0" w:space="0" w:color="auto"/>
        <w:bottom w:val="none" w:sz="0" w:space="0" w:color="auto"/>
        <w:right w:val="none" w:sz="0" w:space="0" w:color="auto"/>
      </w:divBdr>
    </w:div>
    <w:div w:id="333460544">
      <w:bodyDiv w:val="1"/>
      <w:marLeft w:val="0"/>
      <w:marRight w:val="0"/>
      <w:marTop w:val="0"/>
      <w:marBottom w:val="0"/>
      <w:divBdr>
        <w:top w:val="none" w:sz="0" w:space="0" w:color="auto"/>
        <w:left w:val="none" w:sz="0" w:space="0" w:color="auto"/>
        <w:bottom w:val="none" w:sz="0" w:space="0" w:color="auto"/>
        <w:right w:val="none" w:sz="0" w:space="0" w:color="auto"/>
      </w:divBdr>
    </w:div>
    <w:div w:id="336225629">
      <w:bodyDiv w:val="1"/>
      <w:marLeft w:val="0"/>
      <w:marRight w:val="0"/>
      <w:marTop w:val="0"/>
      <w:marBottom w:val="0"/>
      <w:divBdr>
        <w:top w:val="none" w:sz="0" w:space="0" w:color="auto"/>
        <w:left w:val="none" w:sz="0" w:space="0" w:color="auto"/>
        <w:bottom w:val="none" w:sz="0" w:space="0" w:color="auto"/>
        <w:right w:val="none" w:sz="0" w:space="0" w:color="auto"/>
      </w:divBdr>
    </w:div>
    <w:div w:id="346563856">
      <w:bodyDiv w:val="1"/>
      <w:marLeft w:val="0"/>
      <w:marRight w:val="0"/>
      <w:marTop w:val="0"/>
      <w:marBottom w:val="0"/>
      <w:divBdr>
        <w:top w:val="none" w:sz="0" w:space="0" w:color="auto"/>
        <w:left w:val="none" w:sz="0" w:space="0" w:color="auto"/>
        <w:bottom w:val="none" w:sz="0" w:space="0" w:color="auto"/>
        <w:right w:val="none" w:sz="0" w:space="0" w:color="auto"/>
      </w:divBdr>
    </w:div>
    <w:div w:id="357901417">
      <w:bodyDiv w:val="1"/>
      <w:marLeft w:val="0"/>
      <w:marRight w:val="0"/>
      <w:marTop w:val="0"/>
      <w:marBottom w:val="0"/>
      <w:divBdr>
        <w:top w:val="none" w:sz="0" w:space="0" w:color="auto"/>
        <w:left w:val="none" w:sz="0" w:space="0" w:color="auto"/>
        <w:bottom w:val="none" w:sz="0" w:space="0" w:color="auto"/>
        <w:right w:val="none" w:sz="0" w:space="0" w:color="auto"/>
      </w:divBdr>
    </w:div>
    <w:div w:id="363334752">
      <w:bodyDiv w:val="1"/>
      <w:marLeft w:val="0"/>
      <w:marRight w:val="0"/>
      <w:marTop w:val="0"/>
      <w:marBottom w:val="0"/>
      <w:divBdr>
        <w:top w:val="none" w:sz="0" w:space="0" w:color="auto"/>
        <w:left w:val="none" w:sz="0" w:space="0" w:color="auto"/>
        <w:bottom w:val="none" w:sz="0" w:space="0" w:color="auto"/>
        <w:right w:val="none" w:sz="0" w:space="0" w:color="auto"/>
      </w:divBdr>
    </w:div>
    <w:div w:id="366806027">
      <w:bodyDiv w:val="1"/>
      <w:marLeft w:val="0"/>
      <w:marRight w:val="0"/>
      <w:marTop w:val="0"/>
      <w:marBottom w:val="0"/>
      <w:divBdr>
        <w:top w:val="none" w:sz="0" w:space="0" w:color="auto"/>
        <w:left w:val="none" w:sz="0" w:space="0" w:color="auto"/>
        <w:bottom w:val="none" w:sz="0" w:space="0" w:color="auto"/>
        <w:right w:val="none" w:sz="0" w:space="0" w:color="auto"/>
      </w:divBdr>
    </w:div>
    <w:div w:id="374547906">
      <w:bodyDiv w:val="1"/>
      <w:marLeft w:val="0"/>
      <w:marRight w:val="0"/>
      <w:marTop w:val="0"/>
      <w:marBottom w:val="0"/>
      <w:divBdr>
        <w:top w:val="none" w:sz="0" w:space="0" w:color="auto"/>
        <w:left w:val="none" w:sz="0" w:space="0" w:color="auto"/>
        <w:bottom w:val="none" w:sz="0" w:space="0" w:color="auto"/>
        <w:right w:val="none" w:sz="0" w:space="0" w:color="auto"/>
      </w:divBdr>
    </w:div>
    <w:div w:id="380180706">
      <w:bodyDiv w:val="1"/>
      <w:marLeft w:val="0"/>
      <w:marRight w:val="0"/>
      <w:marTop w:val="0"/>
      <w:marBottom w:val="0"/>
      <w:divBdr>
        <w:top w:val="none" w:sz="0" w:space="0" w:color="auto"/>
        <w:left w:val="none" w:sz="0" w:space="0" w:color="auto"/>
        <w:bottom w:val="none" w:sz="0" w:space="0" w:color="auto"/>
        <w:right w:val="none" w:sz="0" w:space="0" w:color="auto"/>
      </w:divBdr>
    </w:div>
    <w:div w:id="402145750">
      <w:bodyDiv w:val="1"/>
      <w:marLeft w:val="0"/>
      <w:marRight w:val="0"/>
      <w:marTop w:val="0"/>
      <w:marBottom w:val="0"/>
      <w:divBdr>
        <w:top w:val="none" w:sz="0" w:space="0" w:color="auto"/>
        <w:left w:val="none" w:sz="0" w:space="0" w:color="auto"/>
        <w:bottom w:val="none" w:sz="0" w:space="0" w:color="auto"/>
        <w:right w:val="none" w:sz="0" w:space="0" w:color="auto"/>
      </w:divBdr>
    </w:div>
    <w:div w:id="413286423">
      <w:bodyDiv w:val="1"/>
      <w:marLeft w:val="0"/>
      <w:marRight w:val="0"/>
      <w:marTop w:val="0"/>
      <w:marBottom w:val="0"/>
      <w:divBdr>
        <w:top w:val="none" w:sz="0" w:space="0" w:color="auto"/>
        <w:left w:val="none" w:sz="0" w:space="0" w:color="auto"/>
        <w:bottom w:val="none" w:sz="0" w:space="0" w:color="auto"/>
        <w:right w:val="none" w:sz="0" w:space="0" w:color="auto"/>
      </w:divBdr>
    </w:div>
    <w:div w:id="442309706">
      <w:bodyDiv w:val="1"/>
      <w:marLeft w:val="0"/>
      <w:marRight w:val="0"/>
      <w:marTop w:val="0"/>
      <w:marBottom w:val="0"/>
      <w:divBdr>
        <w:top w:val="none" w:sz="0" w:space="0" w:color="auto"/>
        <w:left w:val="none" w:sz="0" w:space="0" w:color="auto"/>
        <w:bottom w:val="none" w:sz="0" w:space="0" w:color="auto"/>
        <w:right w:val="none" w:sz="0" w:space="0" w:color="auto"/>
      </w:divBdr>
    </w:div>
    <w:div w:id="459760672">
      <w:bodyDiv w:val="1"/>
      <w:marLeft w:val="0"/>
      <w:marRight w:val="0"/>
      <w:marTop w:val="0"/>
      <w:marBottom w:val="0"/>
      <w:divBdr>
        <w:top w:val="none" w:sz="0" w:space="0" w:color="auto"/>
        <w:left w:val="none" w:sz="0" w:space="0" w:color="auto"/>
        <w:bottom w:val="none" w:sz="0" w:space="0" w:color="auto"/>
        <w:right w:val="none" w:sz="0" w:space="0" w:color="auto"/>
      </w:divBdr>
    </w:div>
    <w:div w:id="482242101">
      <w:bodyDiv w:val="1"/>
      <w:marLeft w:val="0"/>
      <w:marRight w:val="0"/>
      <w:marTop w:val="0"/>
      <w:marBottom w:val="0"/>
      <w:divBdr>
        <w:top w:val="none" w:sz="0" w:space="0" w:color="auto"/>
        <w:left w:val="none" w:sz="0" w:space="0" w:color="auto"/>
        <w:bottom w:val="none" w:sz="0" w:space="0" w:color="auto"/>
        <w:right w:val="none" w:sz="0" w:space="0" w:color="auto"/>
      </w:divBdr>
    </w:div>
    <w:div w:id="490293774">
      <w:bodyDiv w:val="1"/>
      <w:marLeft w:val="0"/>
      <w:marRight w:val="0"/>
      <w:marTop w:val="0"/>
      <w:marBottom w:val="0"/>
      <w:divBdr>
        <w:top w:val="none" w:sz="0" w:space="0" w:color="auto"/>
        <w:left w:val="none" w:sz="0" w:space="0" w:color="auto"/>
        <w:bottom w:val="none" w:sz="0" w:space="0" w:color="auto"/>
        <w:right w:val="none" w:sz="0" w:space="0" w:color="auto"/>
      </w:divBdr>
    </w:div>
    <w:div w:id="495727635">
      <w:bodyDiv w:val="1"/>
      <w:marLeft w:val="0"/>
      <w:marRight w:val="0"/>
      <w:marTop w:val="0"/>
      <w:marBottom w:val="0"/>
      <w:divBdr>
        <w:top w:val="none" w:sz="0" w:space="0" w:color="auto"/>
        <w:left w:val="none" w:sz="0" w:space="0" w:color="auto"/>
        <w:bottom w:val="none" w:sz="0" w:space="0" w:color="auto"/>
        <w:right w:val="none" w:sz="0" w:space="0" w:color="auto"/>
      </w:divBdr>
    </w:div>
    <w:div w:id="511989866">
      <w:bodyDiv w:val="1"/>
      <w:marLeft w:val="0"/>
      <w:marRight w:val="0"/>
      <w:marTop w:val="0"/>
      <w:marBottom w:val="0"/>
      <w:divBdr>
        <w:top w:val="none" w:sz="0" w:space="0" w:color="auto"/>
        <w:left w:val="none" w:sz="0" w:space="0" w:color="auto"/>
        <w:bottom w:val="none" w:sz="0" w:space="0" w:color="auto"/>
        <w:right w:val="none" w:sz="0" w:space="0" w:color="auto"/>
      </w:divBdr>
    </w:div>
    <w:div w:id="516848772">
      <w:bodyDiv w:val="1"/>
      <w:marLeft w:val="0"/>
      <w:marRight w:val="0"/>
      <w:marTop w:val="0"/>
      <w:marBottom w:val="0"/>
      <w:divBdr>
        <w:top w:val="none" w:sz="0" w:space="0" w:color="auto"/>
        <w:left w:val="none" w:sz="0" w:space="0" w:color="auto"/>
        <w:bottom w:val="none" w:sz="0" w:space="0" w:color="auto"/>
        <w:right w:val="none" w:sz="0" w:space="0" w:color="auto"/>
      </w:divBdr>
    </w:div>
    <w:div w:id="537008755">
      <w:bodyDiv w:val="1"/>
      <w:marLeft w:val="0"/>
      <w:marRight w:val="0"/>
      <w:marTop w:val="0"/>
      <w:marBottom w:val="0"/>
      <w:divBdr>
        <w:top w:val="none" w:sz="0" w:space="0" w:color="auto"/>
        <w:left w:val="none" w:sz="0" w:space="0" w:color="auto"/>
        <w:bottom w:val="none" w:sz="0" w:space="0" w:color="auto"/>
        <w:right w:val="none" w:sz="0" w:space="0" w:color="auto"/>
      </w:divBdr>
    </w:div>
    <w:div w:id="542402174">
      <w:bodyDiv w:val="1"/>
      <w:marLeft w:val="0"/>
      <w:marRight w:val="0"/>
      <w:marTop w:val="0"/>
      <w:marBottom w:val="0"/>
      <w:divBdr>
        <w:top w:val="none" w:sz="0" w:space="0" w:color="auto"/>
        <w:left w:val="none" w:sz="0" w:space="0" w:color="auto"/>
        <w:bottom w:val="none" w:sz="0" w:space="0" w:color="auto"/>
        <w:right w:val="none" w:sz="0" w:space="0" w:color="auto"/>
      </w:divBdr>
    </w:div>
    <w:div w:id="561864687">
      <w:bodyDiv w:val="1"/>
      <w:marLeft w:val="0"/>
      <w:marRight w:val="0"/>
      <w:marTop w:val="0"/>
      <w:marBottom w:val="0"/>
      <w:divBdr>
        <w:top w:val="none" w:sz="0" w:space="0" w:color="auto"/>
        <w:left w:val="none" w:sz="0" w:space="0" w:color="auto"/>
        <w:bottom w:val="none" w:sz="0" w:space="0" w:color="auto"/>
        <w:right w:val="none" w:sz="0" w:space="0" w:color="auto"/>
      </w:divBdr>
    </w:div>
    <w:div w:id="576520625">
      <w:bodyDiv w:val="1"/>
      <w:marLeft w:val="0"/>
      <w:marRight w:val="0"/>
      <w:marTop w:val="0"/>
      <w:marBottom w:val="0"/>
      <w:divBdr>
        <w:top w:val="none" w:sz="0" w:space="0" w:color="auto"/>
        <w:left w:val="none" w:sz="0" w:space="0" w:color="auto"/>
        <w:bottom w:val="none" w:sz="0" w:space="0" w:color="auto"/>
        <w:right w:val="none" w:sz="0" w:space="0" w:color="auto"/>
      </w:divBdr>
    </w:div>
    <w:div w:id="580022994">
      <w:bodyDiv w:val="1"/>
      <w:marLeft w:val="0"/>
      <w:marRight w:val="0"/>
      <w:marTop w:val="0"/>
      <w:marBottom w:val="0"/>
      <w:divBdr>
        <w:top w:val="none" w:sz="0" w:space="0" w:color="auto"/>
        <w:left w:val="none" w:sz="0" w:space="0" w:color="auto"/>
        <w:bottom w:val="none" w:sz="0" w:space="0" w:color="auto"/>
        <w:right w:val="none" w:sz="0" w:space="0" w:color="auto"/>
      </w:divBdr>
    </w:div>
    <w:div w:id="587466011">
      <w:bodyDiv w:val="1"/>
      <w:marLeft w:val="0"/>
      <w:marRight w:val="0"/>
      <w:marTop w:val="0"/>
      <w:marBottom w:val="0"/>
      <w:divBdr>
        <w:top w:val="none" w:sz="0" w:space="0" w:color="auto"/>
        <w:left w:val="none" w:sz="0" w:space="0" w:color="auto"/>
        <w:bottom w:val="none" w:sz="0" w:space="0" w:color="auto"/>
        <w:right w:val="none" w:sz="0" w:space="0" w:color="auto"/>
      </w:divBdr>
    </w:div>
    <w:div w:id="609435788">
      <w:bodyDiv w:val="1"/>
      <w:marLeft w:val="0"/>
      <w:marRight w:val="0"/>
      <w:marTop w:val="0"/>
      <w:marBottom w:val="0"/>
      <w:divBdr>
        <w:top w:val="none" w:sz="0" w:space="0" w:color="auto"/>
        <w:left w:val="none" w:sz="0" w:space="0" w:color="auto"/>
        <w:bottom w:val="none" w:sz="0" w:space="0" w:color="auto"/>
        <w:right w:val="none" w:sz="0" w:space="0" w:color="auto"/>
      </w:divBdr>
    </w:div>
    <w:div w:id="642198933">
      <w:bodyDiv w:val="1"/>
      <w:marLeft w:val="0"/>
      <w:marRight w:val="0"/>
      <w:marTop w:val="0"/>
      <w:marBottom w:val="0"/>
      <w:divBdr>
        <w:top w:val="none" w:sz="0" w:space="0" w:color="auto"/>
        <w:left w:val="none" w:sz="0" w:space="0" w:color="auto"/>
        <w:bottom w:val="none" w:sz="0" w:space="0" w:color="auto"/>
        <w:right w:val="none" w:sz="0" w:space="0" w:color="auto"/>
      </w:divBdr>
    </w:div>
    <w:div w:id="647561466">
      <w:bodyDiv w:val="1"/>
      <w:marLeft w:val="0"/>
      <w:marRight w:val="0"/>
      <w:marTop w:val="0"/>
      <w:marBottom w:val="0"/>
      <w:divBdr>
        <w:top w:val="none" w:sz="0" w:space="0" w:color="auto"/>
        <w:left w:val="none" w:sz="0" w:space="0" w:color="auto"/>
        <w:bottom w:val="none" w:sz="0" w:space="0" w:color="auto"/>
        <w:right w:val="none" w:sz="0" w:space="0" w:color="auto"/>
      </w:divBdr>
    </w:div>
    <w:div w:id="669255590">
      <w:bodyDiv w:val="1"/>
      <w:marLeft w:val="0"/>
      <w:marRight w:val="0"/>
      <w:marTop w:val="0"/>
      <w:marBottom w:val="0"/>
      <w:divBdr>
        <w:top w:val="none" w:sz="0" w:space="0" w:color="auto"/>
        <w:left w:val="none" w:sz="0" w:space="0" w:color="auto"/>
        <w:bottom w:val="none" w:sz="0" w:space="0" w:color="auto"/>
        <w:right w:val="none" w:sz="0" w:space="0" w:color="auto"/>
      </w:divBdr>
    </w:div>
    <w:div w:id="682440355">
      <w:bodyDiv w:val="1"/>
      <w:marLeft w:val="0"/>
      <w:marRight w:val="0"/>
      <w:marTop w:val="0"/>
      <w:marBottom w:val="0"/>
      <w:divBdr>
        <w:top w:val="none" w:sz="0" w:space="0" w:color="auto"/>
        <w:left w:val="none" w:sz="0" w:space="0" w:color="auto"/>
        <w:bottom w:val="none" w:sz="0" w:space="0" w:color="auto"/>
        <w:right w:val="none" w:sz="0" w:space="0" w:color="auto"/>
      </w:divBdr>
    </w:div>
    <w:div w:id="687759315">
      <w:bodyDiv w:val="1"/>
      <w:marLeft w:val="0"/>
      <w:marRight w:val="0"/>
      <w:marTop w:val="0"/>
      <w:marBottom w:val="0"/>
      <w:divBdr>
        <w:top w:val="none" w:sz="0" w:space="0" w:color="auto"/>
        <w:left w:val="none" w:sz="0" w:space="0" w:color="auto"/>
        <w:bottom w:val="none" w:sz="0" w:space="0" w:color="auto"/>
        <w:right w:val="none" w:sz="0" w:space="0" w:color="auto"/>
      </w:divBdr>
    </w:div>
    <w:div w:id="689988418">
      <w:bodyDiv w:val="1"/>
      <w:marLeft w:val="0"/>
      <w:marRight w:val="0"/>
      <w:marTop w:val="0"/>
      <w:marBottom w:val="0"/>
      <w:divBdr>
        <w:top w:val="none" w:sz="0" w:space="0" w:color="auto"/>
        <w:left w:val="none" w:sz="0" w:space="0" w:color="auto"/>
        <w:bottom w:val="none" w:sz="0" w:space="0" w:color="auto"/>
        <w:right w:val="none" w:sz="0" w:space="0" w:color="auto"/>
      </w:divBdr>
    </w:div>
    <w:div w:id="691147287">
      <w:bodyDiv w:val="1"/>
      <w:marLeft w:val="0"/>
      <w:marRight w:val="0"/>
      <w:marTop w:val="0"/>
      <w:marBottom w:val="0"/>
      <w:divBdr>
        <w:top w:val="none" w:sz="0" w:space="0" w:color="auto"/>
        <w:left w:val="none" w:sz="0" w:space="0" w:color="auto"/>
        <w:bottom w:val="none" w:sz="0" w:space="0" w:color="auto"/>
        <w:right w:val="none" w:sz="0" w:space="0" w:color="auto"/>
      </w:divBdr>
    </w:div>
    <w:div w:id="696934149">
      <w:bodyDiv w:val="1"/>
      <w:marLeft w:val="0"/>
      <w:marRight w:val="0"/>
      <w:marTop w:val="0"/>
      <w:marBottom w:val="0"/>
      <w:divBdr>
        <w:top w:val="none" w:sz="0" w:space="0" w:color="auto"/>
        <w:left w:val="none" w:sz="0" w:space="0" w:color="auto"/>
        <w:bottom w:val="none" w:sz="0" w:space="0" w:color="auto"/>
        <w:right w:val="none" w:sz="0" w:space="0" w:color="auto"/>
      </w:divBdr>
    </w:div>
    <w:div w:id="730348521">
      <w:bodyDiv w:val="1"/>
      <w:marLeft w:val="0"/>
      <w:marRight w:val="0"/>
      <w:marTop w:val="0"/>
      <w:marBottom w:val="0"/>
      <w:divBdr>
        <w:top w:val="none" w:sz="0" w:space="0" w:color="auto"/>
        <w:left w:val="none" w:sz="0" w:space="0" w:color="auto"/>
        <w:bottom w:val="none" w:sz="0" w:space="0" w:color="auto"/>
        <w:right w:val="none" w:sz="0" w:space="0" w:color="auto"/>
      </w:divBdr>
    </w:div>
    <w:div w:id="734863322">
      <w:bodyDiv w:val="1"/>
      <w:marLeft w:val="0"/>
      <w:marRight w:val="0"/>
      <w:marTop w:val="0"/>
      <w:marBottom w:val="0"/>
      <w:divBdr>
        <w:top w:val="none" w:sz="0" w:space="0" w:color="auto"/>
        <w:left w:val="none" w:sz="0" w:space="0" w:color="auto"/>
        <w:bottom w:val="none" w:sz="0" w:space="0" w:color="auto"/>
        <w:right w:val="none" w:sz="0" w:space="0" w:color="auto"/>
      </w:divBdr>
    </w:div>
    <w:div w:id="735250598">
      <w:bodyDiv w:val="1"/>
      <w:marLeft w:val="0"/>
      <w:marRight w:val="0"/>
      <w:marTop w:val="0"/>
      <w:marBottom w:val="0"/>
      <w:divBdr>
        <w:top w:val="none" w:sz="0" w:space="0" w:color="auto"/>
        <w:left w:val="none" w:sz="0" w:space="0" w:color="auto"/>
        <w:bottom w:val="none" w:sz="0" w:space="0" w:color="auto"/>
        <w:right w:val="none" w:sz="0" w:space="0" w:color="auto"/>
      </w:divBdr>
    </w:div>
    <w:div w:id="773939275">
      <w:bodyDiv w:val="1"/>
      <w:marLeft w:val="0"/>
      <w:marRight w:val="0"/>
      <w:marTop w:val="0"/>
      <w:marBottom w:val="0"/>
      <w:divBdr>
        <w:top w:val="none" w:sz="0" w:space="0" w:color="auto"/>
        <w:left w:val="none" w:sz="0" w:space="0" w:color="auto"/>
        <w:bottom w:val="none" w:sz="0" w:space="0" w:color="auto"/>
        <w:right w:val="none" w:sz="0" w:space="0" w:color="auto"/>
      </w:divBdr>
    </w:div>
    <w:div w:id="799612501">
      <w:bodyDiv w:val="1"/>
      <w:marLeft w:val="0"/>
      <w:marRight w:val="0"/>
      <w:marTop w:val="0"/>
      <w:marBottom w:val="0"/>
      <w:divBdr>
        <w:top w:val="none" w:sz="0" w:space="0" w:color="auto"/>
        <w:left w:val="none" w:sz="0" w:space="0" w:color="auto"/>
        <w:bottom w:val="none" w:sz="0" w:space="0" w:color="auto"/>
        <w:right w:val="none" w:sz="0" w:space="0" w:color="auto"/>
      </w:divBdr>
      <w:divsChild>
        <w:div w:id="977883156">
          <w:marLeft w:val="0"/>
          <w:marRight w:val="0"/>
          <w:marTop w:val="0"/>
          <w:marBottom w:val="0"/>
          <w:divBdr>
            <w:top w:val="none" w:sz="0" w:space="0" w:color="auto"/>
            <w:left w:val="none" w:sz="0" w:space="0" w:color="auto"/>
            <w:bottom w:val="none" w:sz="0" w:space="0" w:color="auto"/>
            <w:right w:val="none" w:sz="0" w:space="0" w:color="auto"/>
          </w:divBdr>
          <w:divsChild>
            <w:div w:id="1724717880">
              <w:marLeft w:val="0"/>
              <w:marRight w:val="0"/>
              <w:marTop w:val="0"/>
              <w:marBottom w:val="0"/>
              <w:divBdr>
                <w:top w:val="none" w:sz="0" w:space="0" w:color="auto"/>
                <w:left w:val="none" w:sz="0" w:space="0" w:color="auto"/>
                <w:bottom w:val="none" w:sz="0" w:space="0" w:color="auto"/>
                <w:right w:val="none" w:sz="0" w:space="0" w:color="auto"/>
              </w:divBdr>
              <w:divsChild>
                <w:div w:id="1445727532">
                  <w:marLeft w:val="0"/>
                  <w:marRight w:val="0"/>
                  <w:marTop w:val="0"/>
                  <w:marBottom w:val="0"/>
                  <w:divBdr>
                    <w:top w:val="none" w:sz="0" w:space="0" w:color="auto"/>
                    <w:left w:val="none" w:sz="0" w:space="0" w:color="auto"/>
                    <w:bottom w:val="none" w:sz="0" w:space="0" w:color="auto"/>
                    <w:right w:val="none" w:sz="0" w:space="0" w:color="auto"/>
                  </w:divBdr>
                  <w:divsChild>
                    <w:div w:id="152793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272637">
      <w:bodyDiv w:val="1"/>
      <w:marLeft w:val="0"/>
      <w:marRight w:val="0"/>
      <w:marTop w:val="0"/>
      <w:marBottom w:val="0"/>
      <w:divBdr>
        <w:top w:val="none" w:sz="0" w:space="0" w:color="auto"/>
        <w:left w:val="none" w:sz="0" w:space="0" w:color="auto"/>
        <w:bottom w:val="none" w:sz="0" w:space="0" w:color="auto"/>
        <w:right w:val="none" w:sz="0" w:space="0" w:color="auto"/>
      </w:divBdr>
    </w:div>
    <w:div w:id="807477833">
      <w:bodyDiv w:val="1"/>
      <w:marLeft w:val="0"/>
      <w:marRight w:val="0"/>
      <w:marTop w:val="0"/>
      <w:marBottom w:val="0"/>
      <w:divBdr>
        <w:top w:val="none" w:sz="0" w:space="0" w:color="auto"/>
        <w:left w:val="none" w:sz="0" w:space="0" w:color="auto"/>
        <w:bottom w:val="none" w:sz="0" w:space="0" w:color="auto"/>
        <w:right w:val="none" w:sz="0" w:space="0" w:color="auto"/>
      </w:divBdr>
    </w:div>
    <w:div w:id="812678322">
      <w:bodyDiv w:val="1"/>
      <w:marLeft w:val="0"/>
      <w:marRight w:val="0"/>
      <w:marTop w:val="0"/>
      <w:marBottom w:val="0"/>
      <w:divBdr>
        <w:top w:val="none" w:sz="0" w:space="0" w:color="auto"/>
        <w:left w:val="none" w:sz="0" w:space="0" w:color="auto"/>
        <w:bottom w:val="none" w:sz="0" w:space="0" w:color="auto"/>
        <w:right w:val="none" w:sz="0" w:space="0" w:color="auto"/>
      </w:divBdr>
      <w:divsChild>
        <w:div w:id="1596522875">
          <w:marLeft w:val="0"/>
          <w:marRight w:val="0"/>
          <w:marTop w:val="0"/>
          <w:marBottom w:val="0"/>
          <w:divBdr>
            <w:top w:val="none" w:sz="0" w:space="0" w:color="auto"/>
            <w:left w:val="none" w:sz="0" w:space="0" w:color="auto"/>
            <w:bottom w:val="none" w:sz="0" w:space="0" w:color="auto"/>
            <w:right w:val="none" w:sz="0" w:space="0" w:color="auto"/>
          </w:divBdr>
        </w:div>
        <w:div w:id="1100876248">
          <w:marLeft w:val="0"/>
          <w:marRight w:val="0"/>
          <w:marTop w:val="0"/>
          <w:marBottom w:val="0"/>
          <w:divBdr>
            <w:top w:val="none" w:sz="0" w:space="0" w:color="auto"/>
            <w:left w:val="none" w:sz="0" w:space="0" w:color="auto"/>
            <w:bottom w:val="none" w:sz="0" w:space="0" w:color="auto"/>
            <w:right w:val="none" w:sz="0" w:space="0" w:color="auto"/>
          </w:divBdr>
        </w:div>
      </w:divsChild>
    </w:div>
    <w:div w:id="815222109">
      <w:bodyDiv w:val="1"/>
      <w:marLeft w:val="0"/>
      <w:marRight w:val="0"/>
      <w:marTop w:val="0"/>
      <w:marBottom w:val="0"/>
      <w:divBdr>
        <w:top w:val="none" w:sz="0" w:space="0" w:color="auto"/>
        <w:left w:val="none" w:sz="0" w:space="0" w:color="auto"/>
        <w:bottom w:val="none" w:sz="0" w:space="0" w:color="auto"/>
        <w:right w:val="none" w:sz="0" w:space="0" w:color="auto"/>
      </w:divBdr>
    </w:div>
    <w:div w:id="830144684">
      <w:bodyDiv w:val="1"/>
      <w:marLeft w:val="0"/>
      <w:marRight w:val="0"/>
      <w:marTop w:val="0"/>
      <w:marBottom w:val="0"/>
      <w:divBdr>
        <w:top w:val="none" w:sz="0" w:space="0" w:color="auto"/>
        <w:left w:val="none" w:sz="0" w:space="0" w:color="auto"/>
        <w:bottom w:val="none" w:sz="0" w:space="0" w:color="auto"/>
        <w:right w:val="none" w:sz="0" w:space="0" w:color="auto"/>
      </w:divBdr>
    </w:div>
    <w:div w:id="839124200">
      <w:bodyDiv w:val="1"/>
      <w:marLeft w:val="0"/>
      <w:marRight w:val="0"/>
      <w:marTop w:val="0"/>
      <w:marBottom w:val="0"/>
      <w:divBdr>
        <w:top w:val="none" w:sz="0" w:space="0" w:color="auto"/>
        <w:left w:val="none" w:sz="0" w:space="0" w:color="auto"/>
        <w:bottom w:val="none" w:sz="0" w:space="0" w:color="auto"/>
        <w:right w:val="none" w:sz="0" w:space="0" w:color="auto"/>
      </w:divBdr>
    </w:div>
    <w:div w:id="841312960">
      <w:bodyDiv w:val="1"/>
      <w:marLeft w:val="0"/>
      <w:marRight w:val="0"/>
      <w:marTop w:val="0"/>
      <w:marBottom w:val="0"/>
      <w:divBdr>
        <w:top w:val="none" w:sz="0" w:space="0" w:color="auto"/>
        <w:left w:val="none" w:sz="0" w:space="0" w:color="auto"/>
        <w:bottom w:val="none" w:sz="0" w:space="0" w:color="auto"/>
        <w:right w:val="none" w:sz="0" w:space="0" w:color="auto"/>
      </w:divBdr>
    </w:div>
    <w:div w:id="845706729">
      <w:bodyDiv w:val="1"/>
      <w:marLeft w:val="0"/>
      <w:marRight w:val="0"/>
      <w:marTop w:val="0"/>
      <w:marBottom w:val="0"/>
      <w:divBdr>
        <w:top w:val="none" w:sz="0" w:space="0" w:color="auto"/>
        <w:left w:val="none" w:sz="0" w:space="0" w:color="auto"/>
        <w:bottom w:val="none" w:sz="0" w:space="0" w:color="auto"/>
        <w:right w:val="none" w:sz="0" w:space="0" w:color="auto"/>
      </w:divBdr>
    </w:div>
    <w:div w:id="875314107">
      <w:bodyDiv w:val="1"/>
      <w:marLeft w:val="0"/>
      <w:marRight w:val="0"/>
      <w:marTop w:val="0"/>
      <w:marBottom w:val="0"/>
      <w:divBdr>
        <w:top w:val="none" w:sz="0" w:space="0" w:color="auto"/>
        <w:left w:val="none" w:sz="0" w:space="0" w:color="auto"/>
        <w:bottom w:val="none" w:sz="0" w:space="0" w:color="auto"/>
        <w:right w:val="none" w:sz="0" w:space="0" w:color="auto"/>
      </w:divBdr>
    </w:div>
    <w:div w:id="885986622">
      <w:bodyDiv w:val="1"/>
      <w:marLeft w:val="0"/>
      <w:marRight w:val="0"/>
      <w:marTop w:val="0"/>
      <w:marBottom w:val="0"/>
      <w:divBdr>
        <w:top w:val="none" w:sz="0" w:space="0" w:color="auto"/>
        <w:left w:val="none" w:sz="0" w:space="0" w:color="auto"/>
        <w:bottom w:val="none" w:sz="0" w:space="0" w:color="auto"/>
        <w:right w:val="none" w:sz="0" w:space="0" w:color="auto"/>
      </w:divBdr>
    </w:div>
    <w:div w:id="893810730">
      <w:bodyDiv w:val="1"/>
      <w:marLeft w:val="0"/>
      <w:marRight w:val="0"/>
      <w:marTop w:val="0"/>
      <w:marBottom w:val="0"/>
      <w:divBdr>
        <w:top w:val="none" w:sz="0" w:space="0" w:color="auto"/>
        <w:left w:val="none" w:sz="0" w:space="0" w:color="auto"/>
        <w:bottom w:val="none" w:sz="0" w:space="0" w:color="auto"/>
        <w:right w:val="none" w:sz="0" w:space="0" w:color="auto"/>
      </w:divBdr>
      <w:divsChild>
        <w:div w:id="390495991">
          <w:marLeft w:val="0"/>
          <w:marRight w:val="0"/>
          <w:marTop w:val="0"/>
          <w:marBottom w:val="0"/>
          <w:divBdr>
            <w:top w:val="none" w:sz="0" w:space="0" w:color="auto"/>
            <w:left w:val="none" w:sz="0" w:space="0" w:color="auto"/>
            <w:bottom w:val="none" w:sz="0" w:space="0" w:color="auto"/>
            <w:right w:val="none" w:sz="0" w:space="0" w:color="auto"/>
          </w:divBdr>
        </w:div>
        <w:div w:id="2140146483">
          <w:marLeft w:val="0"/>
          <w:marRight w:val="0"/>
          <w:marTop w:val="0"/>
          <w:marBottom w:val="0"/>
          <w:divBdr>
            <w:top w:val="none" w:sz="0" w:space="0" w:color="auto"/>
            <w:left w:val="none" w:sz="0" w:space="0" w:color="auto"/>
            <w:bottom w:val="none" w:sz="0" w:space="0" w:color="auto"/>
            <w:right w:val="none" w:sz="0" w:space="0" w:color="auto"/>
          </w:divBdr>
        </w:div>
      </w:divsChild>
    </w:div>
    <w:div w:id="907229469">
      <w:bodyDiv w:val="1"/>
      <w:marLeft w:val="0"/>
      <w:marRight w:val="0"/>
      <w:marTop w:val="0"/>
      <w:marBottom w:val="0"/>
      <w:divBdr>
        <w:top w:val="none" w:sz="0" w:space="0" w:color="auto"/>
        <w:left w:val="none" w:sz="0" w:space="0" w:color="auto"/>
        <w:bottom w:val="none" w:sz="0" w:space="0" w:color="auto"/>
        <w:right w:val="none" w:sz="0" w:space="0" w:color="auto"/>
      </w:divBdr>
    </w:div>
    <w:div w:id="928537570">
      <w:bodyDiv w:val="1"/>
      <w:marLeft w:val="0"/>
      <w:marRight w:val="0"/>
      <w:marTop w:val="0"/>
      <w:marBottom w:val="0"/>
      <w:divBdr>
        <w:top w:val="none" w:sz="0" w:space="0" w:color="auto"/>
        <w:left w:val="none" w:sz="0" w:space="0" w:color="auto"/>
        <w:bottom w:val="none" w:sz="0" w:space="0" w:color="auto"/>
        <w:right w:val="none" w:sz="0" w:space="0" w:color="auto"/>
      </w:divBdr>
    </w:div>
    <w:div w:id="945963580">
      <w:bodyDiv w:val="1"/>
      <w:marLeft w:val="0"/>
      <w:marRight w:val="0"/>
      <w:marTop w:val="0"/>
      <w:marBottom w:val="0"/>
      <w:divBdr>
        <w:top w:val="none" w:sz="0" w:space="0" w:color="auto"/>
        <w:left w:val="none" w:sz="0" w:space="0" w:color="auto"/>
        <w:bottom w:val="none" w:sz="0" w:space="0" w:color="auto"/>
        <w:right w:val="none" w:sz="0" w:space="0" w:color="auto"/>
      </w:divBdr>
    </w:div>
    <w:div w:id="960963813">
      <w:bodyDiv w:val="1"/>
      <w:marLeft w:val="0"/>
      <w:marRight w:val="0"/>
      <w:marTop w:val="0"/>
      <w:marBottom w:val="0"/>
      <w:divBdr>
        <w:top w:val="none" w:sz="0" w:space="0" w:color="auto"/>
        <w:left w:val="none" w:sz="0" w:space="0" w:color="auto"/>
        <w:bottom w:val="none" w:sz="0" w:space="0" w:color="auto"/>
        <w:right w:val="none" w:sz="0" w:space="0" w:color="auto"/>
      </w:divBdr>
    </w:div>
    <w:div w:id="984817621">
      <w:bodyDiv w:val="1"/>
      <w:marLeft w:val="0"/>
      <w:marRight w:val="0"/>
      <w:marTop w:val="0"/>
      <w:marBottom w:val="0"/>
      <w:divBdr>
        <w:top w:val="none" w:sz="0" w:space="0" w:color="auto"/>
        <w:left w:val="none" w:sz="0" w:space="0" w:color="auto"/>
        <w:bottom w:val="none" w:sz="0" w:space="0" w:color="auto"/>
        <w:right w:val="none" w:sz="0" w:space="0" w:color="auto"/>
      </w:divBdr>
    </w:div>
    <w:div w:id="989283548">
      <w:bodyDiv w:val="1"/>
      <w:marLeft w:val="0"/>
      <w:marRight w:val="0"/>
      <w:marTop w:val="0"/>
      <w:marBottom w:val="0"/>
      <w:divBdr>
        <w:top w:val="none" w:sz="0" w:space="0" w:color="auto"/>
        <w:left w:val="none" w:sz="0" w:space="0" w:color="auto"/>
        <w:bottom w:val="none" w:sz="0" w:space="0" w:color="auto"/>
        <w:right w:val="none" w:sz="0" w:space="0" w:color="auto"/>
      </w:divBdr>
    </w:div>
    <w:div w:id="995454921">
      <w:bodyDiv w:val="1"/>
      <w:marLeft w:val="0"/>
      <w:marRight w:val="0"/>
      <w:marTop w:val="0"/>
      <w:marBottom w:val="0"/>
      <w:divBdr>
        <w:top w:val="none" w:sz="0" w:space="0" w:color="auto"/>
        <w:left w:val="none" w:sz="0" w:space="0" w:color="auto"/>
        <w:bottom w:val="none" w:sz="0" w:space="0" w:color="auto"/>
        <w:right w:val="none" w:sz="0" w:space="0" w:color="auto"/>
      </w:divBdr>
    </w:div>
    <w:div w:id="995568720">
      <w:bodyDiv w:val="1"/>
      <w:marLeft w:val="0"/>
      <w:marRight w:val="0"/>
      <w:marTop w:val="0"/>
      <w:marBottom w:val="0"/>
      <w:divBdr>
        <w:top w:val="none" w:sz="0" w:space="0" w:color="auto"/>
        <w:left w:val="none" w:sz="0" w:space="0" w:color="auto"/>
        <w:bottom w:val="none" w:sz="0" w:space="0" w:color="auto"/>
        <w:right w:val="none" w:sz="0" w:space="0" w:color="auto"/>
      </w:divBdr>
    </w:div>
    <w:div w:id="1004016076">
      <w:bodyDiv w:val="1"/>
      <w:marLeft w:val="0"/>
      <w:marRight w:val="0"/>
      <w:marTop w:val="0"/>
      <w:marBottom w:val="0"/>
      <w:divBdr>
        <w:top w:val="none" w:sz="0" w:space="0" w:color="auto"/>
        <w:left w:val="none" w:sz="0" w:space="0" w:color="auto"/>
        <w:bottom w:val="none" w:sz="0" w:space="0" w:color="auto"/>
        <w:right w:val="none" w:sz="0" w:space="0" w:color="auto"/>
      </w:divBdr>
    </w:div>
    <w:div w:id="1025253251">
      <w:bodyDiv w:val="1"/>
      <w:marLeft w:val="0"/>
      <w:marRight w:val="0"/>
      <w:marTop w:val="0"/>
      <w:marBottom w:val="0"/>
      <w:divBdr>
        <w:top w:val="none" w:sz="0" w:space="0" w:color="auto"/>
        <w:left w:val="none" w:sz="0" w:space="0" w:color="auto"/>
        <w:bottom w:val="none" w:sz="0" w:space="0" w:color="auto"/>
        <w:right w:val="none" w:sz="0" w:space="0" w:color="auto"/>
      </w:divBdr>
    </w:div>
    <w:div w:id="1026565405">
      <w:bodyDiv w:val="1"/>
      <w:marLeft w:val="0"/>
      <w:marRight w:val="0"/>
      <w:marTop w:val="0"/>
      <w:marBottom w:val="0"/>
      <w:divBdr>
        <w:top w:val="none" w:sz="0" w:space="0" w:color="auto"/>
        <w:left w:val="none" w:sz="0" w:space="0" w:color="auto"/>
        <w:bottom w:val="none" w:sz="0" w:space="0" w:color="auto"/>
        <w:right w:val="none" w:sz="0" w:space="0" w:color="auto"/>
      </w:divBdr>
    </w:div>
    <w:div w:id="1029186999">
      <w:bodyDiv w:val="1"/>
      <w:marLeft w:val="0"/>
      <w:marRight w:val="0"/>
      <w:marTop w:val="0"/>
      <w:marBottom w:val="0"/>
      <w:divBdr>
        <w:top w:val="none" w:sz="0" w:space="0" w:color="auto"/>
        <w:left w:val="none" w:sz="0" w:space="0" w:color="auto"/>
        <w:bottom w:val="none" w:sz="0" w:space="0" w:color="auto"/>
        <w:right w:val="none" w:sz="0" w:space="0" w:color="auto"/>
      </w:divBdr>
    </w:div>
    <w:div w:id="1064373678">
      <w:bodyDiv w:val="1"/>
      <w:marLeft w:val="0"/>
      <w:marRight w:val="0"/>
      <w:marTop w:val="0"/>
      <w:marBottom w:val="0"/>
      <w:divBdr>
        <w:top w:val="none" w:sz="0" w:space="0" w:color="auto"/>
        <w:left w:val="none" w:sz="0" w:space="0" w:color="auto"/>
        <w:bottom w:val="none" w:sz="0" w:space="0" w:color="auto"/>
        <w:right w:val="none" w:sz="0" w:space="0" w:color="auto"/>
      </w:divBdr>
      <w:divsChild>
        <w:div w:id="630018889">
          <w:marLeft w:val="300"/>
          <w:marRight w:val="0"/>
          <w:marTop w:val="0"/>
          <w:marBottom w:val="300"/>
          <w:divBdr>
            <w:top w:val="none" w:sz="0" w:space="0" w:color="auto"/>
            <w:left w:val="none" w:sz="0" w:space="0" w:color="auto"/>
            <w:bottom w:val="none" w:sz="0" w:space="0" w:color="auto"/>
            <w:right w:val="none" w:sz="0" w:space="0" w:color="auto"/>
          </w:divBdr>
          <w:divsChild>
            <w:div w:id="1075081899">
              <w:marLeft w:val="0"/>
              <w:marRight w:val="0"/>
              <w:marTop w:val="0"/>
              <w:marBottom w:val="0"/>
              <w:divBdr>
                <w:top w:val="none" w:sz="0" w:space="0" w:color="auto"/>
                <w:left w:val="none" w:sz="0" w:space="0" w:color="auto"/>
                <w:bottom w:val="none" w:sz="0" w:space="0" w:color="auto"/>
                <w:right w:val="none" w:sz="0" w:space="0" w:color="auto"/>
              </w:divBdr>
              <w:divsChild>
                <w:div w:id="435640708">
                  <w:marLeft w:val="0"/>
                  <w:marRight w:val="0"/>
                  <w:marTop w:val="0"/>
                  <w:marBottom w:val="0"/>
                  <w:divBdr>
                    <w:top w:val="none" w:sz="0" w:space="0" w:color="auto"/>
                    <w:left w:val="none" w:sz="0" w:space="0" w:color="auto"/>
                    <w:bottom w:val="none" w:sz="0" w:space="0" w:color="auto"/>
                    <w:right w:val="none" w:sz="0" w:space="0" w:color="auto"/>
                  </w:divBdr>
                  <w:divsChild>
                    <w:div w:id="425200566">
                      <w:marLeft w:val="0"/>
                      <w:marRight w:val="0"/>
                      <w:marTop w:val="0"/>
                      <w:marBottom w:val="0"/>
                      <w:divBdr>
                        <w:top w:val="none" w:sz="0" w:space="0" w:color="auto"/>
                        <w:left w:val="none" w:sz="0" w:space="0" w:color="auto"/>
                        <w:bottom w:val="none" w:sz="0" w:space="0" w:color="auto"/>
                        <w:right w:val="none" w:sz="0" w:space="0" w:color="auto"/>
                      </w:divBdr>
                    </w:div>
                    <w:div w:id="160125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89910">
      <w:bodyDiv w:val="1"/>
      <w:marLeft w:val="0"/>
      <w:marRight w:val="0"/>
      <w:marTop w:val="0"/>
      <w:marBottom w:val="0"/>
      <w:divBdr>
        <w:top w:val="none" w:sz="0" w:space="0" w:color="auto"/>
        <w:left w:val="none" w:sz="0" w:space="0" w:color="auto"/>
        <w:bottom w:val="none" w:sz="0" w:space="0" w:color="auto"/>
        <w:right w:val="none" w:sz="0" w:space="0" w:color="auto"/>
      </w:divBdr>
    </w:div>
    <w:div w:id="1116369574">
      <w:bodyDiv w:val="1"/>
      <w:marLeft w:val="0"/>
      <w:marRight w:val="0"/>
      <w:marTop w:val="0"/>
      <w:marBottom w:val="0"/>
      <w:divBdr>
        <w:top w:val="none" w:sz="0" w:space="0" w:color="auto"/>
        <w:left w:val="none" w:sz="0" w:space="0" w:color="auto"/>
        <w:bottom w:val="none" w:sz="0" w:space="0" w:color="auto"/>
        <w:right w:val="none" w:sz="0" w:space="0" w:color="auto"/>
      </w:divBdr>
    </w:div>
    <w:div w:id="1137383311">
      <w:bodyDiv w:val="1"/>
      <w:marLeft w:val="0"/>
      <w:marRight w:val="0"/>
      <w:marTop w:val="0"/>
      <w:marBottom w:val="0"/>
      <w:divBdr>
        <w:top w:val="none" w:sz="0" w:space="0" w:color="auto"/>
        <w:left w:val="none" w:sz="0" w:space="0" w:color="auto"/>
        <w:bottom w:val="none" w:sz="0" w:space="0" w:color="auto"/>
        <w:right w:val="none" w:sz="0" w:space="0" w:color="auto"/>
      </w:divBdr>
    </w:div>
    <w:div w:id="1160003868">
      <w:bodyDiv w:val="1"/>
      <w:marLeft w:val="0"/>
      <w:marRight w:val="0"/>
      <w:marTop w:val="0"/>
      <w:marBottom w:val="0"/>
      <w:divBdr>
        <w:top w:val="none" w:sz="0" w:space="0" w:color="auto"/>
        <w:left w:val="none" w:sz="0" w:space="0" w:color="auto"/>
        <w:bottom w:val="none" w:sz="0" w:space="0" w:color="auto"/>
        <w:right w:val="none" w:sz="0" w:space="0" w:color="auto"/>
      </w:divBdr>
      <w:divsChild>
        <w:div w:id="472721206">
          <w:marLeft w:val="0"/>
          <w:marRight w:val="0"/>
          <w:marTop w:val="0"/>
          <w:marBottom w:val="0"/>
          <w:divBdr>
            <w:top w:val="none" w:sz="0" w:space="0" w:color="auto"/>
            <w:left w:val="none" w:sz="0" w:space="0" w:color="auto"/>
            <w:bottom w:val="none" w:sz="0" w:space="0" w:color="auto"/>
            <w:right w:val="none" w:sz="0" w:space="0" w:color="auto"/>
          </w:divBdr>
          <w:divsChild>
            <w:div w:id="1495410391">
              <w:marLeft w:val="0"/>
              <w:marRight w:val="0"/>
              <w:marTop w:val="0"/>
              <w:marBottom w:val="0"/>
              <w:divBdr>
                <w:top w:val="none" w:sz="0" w:space="0" w:color="auto"/>
                <w:left w:val="none" w:sz="0" w:space="0" w:color="auto"/>
                <w:bottom w:val="none" w:sz="0" w:space="0" w:color="auto"/>
                <w:right w:val="none" w:sz="0" w:space="0" w:color="auto"/>
              </w:divBdr>
              <w:divsChild>
                <w:div w:id="3084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742428">
      <w:bodyDiv w:val="1"/>
      <w:marLeft w:val="0"/>
      <w:marRight w:val="0"/>
      <w:marTop w:val="0"/>
      <w:marBottom w:val="0"/>
      <w:divBdr>
        <w:top w:val="none" w:sz="0" w:space="0" w:color="auto"/>
        <w:left w:val="none" w:sz="0" w:space="0" w:color="auto"/>
        <w:bottom w:val="none" w:sz="0" w:space="0" w:color="auto"/>
        <w:right w:val="none" w:sz="0" w:space="0" w:color="auto"/>
      </w:divBdr>
    </w:div>
    <w:div w:id="1173496153">
      <w:bodyDiv w:val="1"/>
      <w:marLeft w:val="0"/>
      <w:marRight w:val="0"/>
      <w:marTop w:val="0"/>
      <w:marBottom w:val="0"/>
      <w:divBdr>
        <w:top w:val="none" w:sz="0" w:space="0" w:color="auto"/>
        <w:left w:val="none" w:sz="0" w:space="0" w:color="auto"/>
        <w:bottom w:val="none" w:sz="0" w:space="0" w:color="auto"/>
        <w:right w:val="none" w:sz="0" w:space="0" w:color="auto"/>
      </w:divBdr>
    </w:div>
    <w:div w:id="1175993480">
      <w:bodyDiv w:val="1"/>
      <w:marLeft w:val="0"/>
      <w:marRight w:val="0"/>
      <w:marTop w:val="0"/>
      <w:marBottom w:val="0"/>
      <w:divBdr>
        <w:top w:val="none" w:sz="0" w:space="0" w:color="auto"/>
        <w:left w:val="none" w:sz="0" w:space="0" w:color="auto"/>
        <w:bottom w:val="none" w:sz="0" w:space="0" w:color="auto"/>
        <w:right w:val="none" w:sz="0" w:space="0" w:color="auto"/>
      </w:divBdr>
    </w:div>
    <w:div w:id="1180588284">
      <w:bodyDiv w:val="1"/>
      <w:marLeft w:val="0"/>
      <w:marRight w:val="0"/>
      <w:marTop w:val="0"/>
      <w:marBottom w:val="0"/>
      <w:divBdr>
        <w:top w:val="none" w:sz="0" w:space="0" w:color="auto"/>
        <w:left w:val="none" w:sz="0" w:space="0" w:color="auto"/>
        <w:bottom w:val="none" w:sz="0" w:space="0" w:color="auto"/>
        <w:right w:val="none" w:sz="0" w:space="0" w:color="auto"/>
      </w:divBdr>
    </w:div>
    <w:div w:id="1182745783">
      <w:bodyDiv w:val="1"/>
      <w:marLeft w:val="0"/>
      <w:marRight w:val="0"/>
      <w:marTop w:val="0"/>
      <w:marBottom w:val="0"/>
      <w:divBdr>
        <w:top w:val="none" w:sz="0" w:space="0" w:color="auto"/>
        <w:left w:val="none" w:sz="0" w:space="0" w:color="auto"/>
        <w:bottom w:val="none" w:sz="0" w:space="0" w:color="auto"/>
        <w:right w:val="none" w:sz="0" w:space="0" w:color="auto"/>
      </w:divBdr>
    </w:div>
    <w:div w:id="1239100544">
      <w:bodyDiv w:val="1"/>
      <w:marLeft w:val="0"/>
      <w:marRight w:val="0"/>
      <w:marTop w:val="0"/>
      <w:marBottom w:val="0"/>
      <w:divBdr>
        <w:top w:val="none" w:sz="0" w:space="0" w:color="auto"/>
        <w:left w:val="none" w:sz="0" w:space="0" w:color="auto"/>
        <w:bottom w:val="none" w:sz="0" w:space="0" w:color="auto"/>
        <w:right w:val="none" w:sz="0" w:space="0" w:color="auto"/>
      </w:divBdr>
    </w:div>
    <w:div w:id="1248881735">
      <w:bodyDiv w:val="1"/>
      <w:marLeft w:val="0"/>
      <w:marRight w:val="0"/>
      <w:marTop w:val="0"/>
      <w:marBottom w:val="0"/>
      <w:divBdr>
        <w:top w:val="none" w:sz="0" w:space="0" w:color="auto"/>
        <w:left w:val="none" w:sz="0" w:space="0" w:color="auto"/>
        <w:bottom w:val="none" w:sz="0" w:space="0" w:color="auto"/>
        <w:right w:val="none" w:sz="0" w:space="0" w:color="auto"/>
      </w:divBdr>
    </w:div>
    <w:div w:id="1259219966">
      <w:bodyDiv w:val="1"/>
      <w:marLeft w:val="0"/>
      <w:marRight w:val="0"/>
      <w:marTop w:val="0"/>
      <w:marBottom w:val="0"/>
      <w:divBdr>
        <w:top w:val="none" w:sz="0" w:space="0" w:color="auto"/>
        <w:left w:val="none" w:sz="0" w:space="0" w:color="auto"/>
        <w:bottom w:val="none" w:sz="0" w:space="0" w:color="auto"/>
        <w:right w:val="none" w:sz="0" w:space="0" w:color="auto"/>
      </w:divBdr>
    </w:div>
    <w:div w:id="1263030138">
      <w:bodyDiv w:val="1"/>
      <w:marLeft w:val="0"/>
      <w:marRight w:val="0"/>
      <w:marTop w:val="0"/>
      <w:marBottom w:val="0"/>
      <w:divBdr>
        <w:top w:val="none" w:sz="0" w:space="0" w:color="auto"/>
        <w:left w:val="none" w:sz="0" w:space="0" w:color="auto"/>
        <w:bottom w:val="none" w:sz="0" w:space="0" w:color="auto"/>
        <w:right w:val="none" w:sz="0" w:space="0" w:color="auto"/>
      </w:divBdr>
    </w:div>
    <w:div w:id="1267735650">
      <w:bodyDiv w:val="1"/>
      <w:marLeft w:val="0"/>
      <w:marRight w:val="0"/>
      <w:marTop w:val="0"/>
      <w:marBottom w:val="0"/>
      <w:divBdr>
        <w:top w:val="none" w:sz="0" w:space="0" w:color="auto"/>
        <w:left w:val="none" w:sz="0" w:space="0" w:color="auto"/>
        <w:bottom w:val="none" w:sz="0" w:space="0" w:color="auto"/>
        <w:right w:val="none" w:sz="0" w:space="0" w:color="auto"/>
      </w:divBdr>
    </w:div>
    <w:div w:id="1295216616">
      <w:bodyDiv w:val="1"/>
      <w:marLeft w:val="0"/>
      <w:marRight w:val="0"/>
      <w:marTop w:val="0"/>
      <w:marBottom w:val="0"/>
      <w:divBdr>
        <w:top w:val="none" w:sz="0" w:space="0" w:color="auto"/>
        <w:left w:val="none" w:sz="0" w:space="0" w:color="auto"/>
        <w:bottom w:val="none" w:sz="0" w:space="0" w:color="auto"/>
        <w:right w:val="none" w:sz="0" w:space="0" w:color="auto"/>
      </w:divBdr>
    </w:div>
    <w:div w:id="1297760585">
      <w:bodyDiv w:val="1"/>
      <w:marLeft w:val="0"/>
      <w:marRight w:val="0"/>
      <w:marTop w:val="0"/>
      <w:marBottom w:val="0"/>
      <w:divBdr>
        <w:top w:val="none" w:sz="0" w:space="0" w:color="auto"/>
        <w:left w:val="none" w:sz="0" w:space="0" w:color="auto"/>
        <w:bottom w:val="none" w:sz="0" w:space="0" w:color="auto"/>
        <w:right w:val="none" w:sz="0" w:space="0" w:color="auto"/>
      </w:divBdr>
    </w:div>
    <w:div w:id="1298223512">
      <w:bodyDiv w:val="1"/>
      <w:marLeft w:val="0"/>
      <w:marRight w:val="0"/>
      <w:marTop w:val="0"/>
      <w:marBottom w:val="0"/>
      <w:divBdr>
        <w:top w:val="none" w:sz="0" w:space="0" w:color="auto"/>
        <w:left w:val="none" w:sz="0" w:space="0" w:color="auto"/>
        <w:bottom w:val="none" w:sz="0" w:space="0" w:color="auto"/>
        <w:right w:val="none" w:sz="0" w:space="0" w:color="auto"/>
      </w:divBdr>
    </w:div>
    <w:div w:id="1299342875">
      <w:bodyDiv w:val="1"/>
      <w:marLeft w:val="0"/>
      <w:marRight w:val="0"/>
      <w:marTop w:val="0"/>
      <w:marBottom w:val="0"/>
      <w:divBdr>
        <w:top w:val="none" w:sz="0" w:space="0" w:color="auto"/>
        <w:left w:val="none" w:sz="0" w:space="0" w:color="auto"/>
        <w:bottom w:val="none" w:sz="0" w:space="0" w:color="auto"/>
        <w:right w:val="none" w:sz="0" w:space="0" w:color="auto"/>
      </w:divBdr>
    </w:div>
    <w:div w:id="1304656346">
      <w:bodyDiv w:val="1"/>
      <w:marLeft w:val="0"/>
      <w:marRight w:val="0"/>
      <w:marTop w:val="0"/>
      <w:marBottom w:val="0"/>
      <w:divBdr>
        <w:top w:val="none" w:sz="0" w:space="0" w:color="auto"/>
        <w:left w:val="none" w:sz="0" w:space="0" w:color="auto"/>
        <w:bottom w:val="none" w:sz="0" w:space="0" w:color="auto"/>
        <w:right w:val="none" w:sz="0" w:space="0" w:color="auto"/>
      </w:divBdr>
    </w:div>
    <w:div w:id="1311058849">
      <w:bodyDiv w:val="1"/>
      <w:marLeft w:val="0"/>
      <w:marRight w:val="0"/>
      <w:marTop w:val="0"/>
      <w:marBottom w:val="0"/>
      <w:divBdr>
        <w:top w:val="none" w:sz="0" w:space="0" w:color="auto"/>
        <w:left w:val="none" w:sz="0" w:space="0" w:color="auto"/>
        <w:bottom w:val="none" w:sz="0" w:space="0" w:color="auto"/>
        <w:right w:val="none" w:sz="0" w:space="0" w:color="auto"/>
      </w:divBdr>
    </w:div>
    <w:div w:id="1315798920">
      <w:bodyDiv w:val="1"/>
      <w:marLeft w:val="0"/>
      <w:marRight w:val="0"/>
      <w:marTop w:val="0"/>
      <w:marBottom w:val="0"/>
      <w:divBdr>
        <w:top w:val="none" w:sz="0" w:space="0" w:color="auto"/>
        <w:left w:val="none" w:sz="0" w:space="0" w:color="auto"/>
        <w:bottom w:val="none" w:sz="0" w:space="0" w:color="auto"/>
        <w:right w:val="none" w:sz="0" w:space="0" w:color="auto"/>
      </w:divBdr>
      <w:divsChild>
        <w:div w:id="1493792596">
          <w:marLeft w:val="0"/>
          <w:marRight w:val="0"/>
          <w:marTop w:val="0"/>
          <w:marBottom w:val="0"/>
          <w:divBdr>
            <w:top w:val="none" w:sz="0" w:space="0" w:color="auto"/>
            <w:left w:val="none" w:sz="0" w:space="0" w:color="auto"/>
            <w:bottom w:val="none" w:sz="0" w:space="0" w:color="auto"/>
            <w:right w:val="none" w:sz="0" w:space="0" w:color="auto"/>
          </w:divBdr>
        </w:div>
        <w:div w:id="50274809">
          <w:marLeft w:val="0"/>
          <w:marRight w:val="0"/>
          <w:marTop w:val="0"/>
          <w:marBottom w:val="0"/>
          <w:divBdr>
            <w:top w:val="none" w:sz="0" w:space="0" w:color="auto"/>
            <w:left w:val="none" w:sz="0" w:space="0" w:color="auto"/>
            <w:bottom w:val="none" w:sz="0" w:space="0" w:color="auto"/>
            <w:right w:val="none" w:sz="0" w:space="0" w:color="auto"/>
          </w:divBdr>
        </w:div>
      </w:divsChild>
    </w:div>
    <w:div w:id="1321737408">
      <w:bodyDiv w:val="1"/>
      <w:marLeft w:val="0"/>
      <w:marRight w:val="0"/>
      <w:marTop w:val="0"/>
      <w:marBottom w:val="0"/>
      <w:divBdr>
        <w:top w:val="none" w:sz="0" w:space="0" w:color="auto"/>
        <w:left w:val="none" w:sz="0" w:space="0" w:color="auto"/>
        <w:bottom w:val="none" w:sz="0" w:space="0" w:color="auto"/>
        <w:right w:val="none" w:sz="0" w:space="0" w:color="auto"/>
      </w:divBdr>
    </w:div>
    <w:div w:id="1345327691">
      <w:bodyDiv w:val="1"/>
      <w:marLeft w:val="0"/>
      <w:marRight w:val="0"/>
      <w:marTop w:val="0"/>
      <w:marBottom w:val="0"/>
      <w:divBdr>
        <w:top w:val="none" w:sz="0" w:space="0" w:color="auto"/>
        <w:left w:val="none" w:sz="0" w:space="0" w:color="auto"/>
        <w:bottom w:val="none" w:sz="0" w:space="0" w:color="auto"/>
        <w:right w:val="none" w:sz="0" w:space="0" w:color="auto"/>
      </w:divBdr>
      <w:divsChild>
        <w:div w:id="1171410931">
          <w:marLeft w:val="0"/>
          <w:marRight w:val="0"/>
          <w:marTop w:val="0"/>
          <w:marBottom w:val="0"/>
          <w:divBdr>
            <w:top w:val="none" w:sz="0" w:space="0" w:color="auto"/>
            <w:left w:val="none" w:sz="0" w:space="0" w:color="auto"/>
            <w:bottom w:val="none" w:sz="0" w:space="0" w:color="auto"/>
            <w:right w:val="none" w:sz="0" w:space="0" w:color="auto"/>
          </w:divBdr>
          <w:divsChild>
            <w:div w:id="1488283670">
              <w:marLeft w:val="0"/>
              <w:marRight w:val="0"/>
              <w:marTop w:val="0"/>
              <w:marBottom w:val="0"/>
              <w:divBdr>
                <w:top w:val="none" w:sz="0" w:space="0" w:color="auto"/>
                <w:left w:val="none" w:sz="0" w:space="0" w:color="auto"/>
                <w:bottom w:val="none" w:sz="0" w:space="0" w:color="auto"/>
                <w:right w:val="none" w:sz="0" w:space="0" w:color="auto"/>
              </w:divBdr>
              <w:divsChild>
                <w:div w:id="551232216">
                  <w:marLeft w:val="0"/>
                  <w:marRight w:val="0"/>
                  <w:marTop w:val="0"/>
                  <w:marBottom w:val="0"/>
                  <w:divBdr>
                    <w:top w:val="none" w:sz="0" w:space="0" w:color="auto"/>
                    <w:left w:val="none" w:sz="0" w:space="0" w:color="auto"/>
                    <w:bottom w:val="none" w:sz="0" w:space="0" w:color="auto"/>
                    <w:right w:val="none" w:sz="0" w:space="0" w:color="auto"/>
                  </w:divBdr>
                  <w:divsChild>
                    <w:div w:id="21056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99583">
      <w:bodyDiv w:val="1"/>
      <w:marLeft w:val="0"/>
      <w:marRight w:val="0"/>
      <w:marTop w:val="0"/>
      <w:marBottom w:val="0"/>
      <w:divBdr>
        <w:top w:val="none" w:sz="0" w:space="0" w:color="auto"/>
        <w:left w:val="none" w:sz="0" w:space="0" w:color="auto"/>
        <w:bottom w:val="none" w:sz="0" w:space="0" w:color="auto"/>
        <w:right w:val="none" w:sz="0" w:space="0" w:color="auto"/>
      </w:divBdr>
    </w:div>
    <w:div w:id="1350185189">
      <w:bodyDiv w:val="1"/>
      <w:marLeft w:val="0"/>
      <w:marRight w:val="0"/>
      <w:marTop w:val="0"/>
      <w:marBottom w:val="0"/>
      <w:divBdr>
        <w:top w:val="none" w:sz="0" w:space="0" w:color="auto"/>
        <w:left w:val="none" w:sz="0" w:space="0" w:color="auto"/>
        <w:bottom w:val="none" w:sz="0" w:space="0" w:color="auto"/>
        <w:right w:val="none" w:sz="0" w:space="0" w:color="auto"/>
      </w:divBdr>
    </w:div>
    <w:div w:id="1359282955">
      <w:bodyDiv w:val="1"/>
      <w:marLeft w:val="0"/>
      <w:marRight w:val="0"/>
      <w:marTop w:val="0"/>
      <w:marBottom w:val="0"/>
      <w:divBdr>
        <w:top w:val="none" w:sz="0" w:space="0" w:color="auto"/>
        <w:left w:val="none" w:sz="0" w:space="0" w:color="auto"/>
        <w:bottom w:val="none" w:sz="0" w:space="0" w:color="auto"/>
        <w:right w:val="none" w:sz="0" w:space="0" w:color="auto"/>
      </w:divBdr>
    </w:div>
    <w:div w:id="1392074563">
      <w:bodyDiv w:val="1"/>
      <w:marLeft w:val="0"/>
      <w:marRight w:val="0"/>
      <w:marTop w:val="0"/>
      <w:marBottom w:val="0"/>
      <w:divBdr>
        <w:top w:val="none" w:sz="0" w:space="0" w:color="auto"/>
        <w:left w:val="none" w:sz="0" w:space="0" w:color="auto"/>
        <w:bottom w:val="none" w:sz="0" w:space="0" w:color="auto"/>
        <w:right w:val="none" w:sz="0" w:space="0" w:color="auto"/>
      </w:divBdr>
    </w:div>
    <w:div w:id="1413939509">
      <w:bodyDiv w:val="1"/>
      <w:marLeft w:val="0"/>
      <w:marRight w:val="0"/>
      <w:marTop w:val="0"/>
      <w:marBottom w:val="0"/>
      <w:divBdr>
        <w:top w:val="none" w:sz="0" w:space="0" w:color="auto"/>
        <w:left w:val="none" w:sz="0" w:space="0" w:color="auto"/>
        <w:bottom w:val="none" w:sz="0" w:space="0" w:color="auto"/>
        <w:right w:val="none" w:sz="0" w:space="0" w:color="auto"/>
      </w:divBdr>
    </w:div>
    <w:div w:id="1416125132">
      <w:bodyDiv w:val="1"/>
      <w:marLeft w:val="0"/>
      <w:marRight w:val="0"/>
      <w:marTop w:val="0"/>
      <w:marBottom w:val="0"/>
      <w:divBdr>
        <w:top w:val="none" w:sz="0" w:space="0" w:color="auto"/>
        <w:left w:val="none" w:sz="0" w:space="0" w:color="auto"/>
        <w:bottom w:val="none" w:sz="0" w:space="0" w:color="auto"/>
        <w:right w:val="none" w:sz="0" w:space="0" w:color="auto"/>
      </w:divBdr>
    </w:div>
    <w:div w:id="1427115780">
      <w:bodyDiv w:val="1"/>
      <w:marLeft w:val="0"/>
      <w:marRight w:val="0"/>
      <w:marTop w:val="0"/>
      <w:marBottom w:val="0"/>
      <w:divBdr>
        <w:top w:val="none" w:sz="0" w:space="0" w:color="auto"/>
        <w:left w:val="none" w:sz="0" w:space="0" w:color="auto"/>
        <w:bottom w:val="none" w:sz="0" w:space="0" w:color="auto"/>
        <w:right w:val="none" w:sz="0" w:space="0" w:color="auto"/>
      </w:divBdr>
    </w:div>
    <w:div w:id="1438210269">
      <w:bodyDiv w:val="1"/>
      <w:marLeft w:val="0"/>
      <w:marRight w:val="0"/>
      <w:marTop w:val="0"/>
      <w:marBottom w:val="0"/>
      <w:divBdr>
        <w:top w:val="none" w:sz="0" w:space="0" w:color="auto"/>
        <w:left w:val="none" w:sz="0" w:space="0" w:color="auto"/>
        <w:bottom w:val="none" w:sz="0" w:space="0" w:color="auto"/>
        <w:right w:val="none" w:sz="0" w:space="0" w:color="auto"/>
      </w:divBdr>
    </w:div>
    <w:div w:id="1445661307">
      <w:bodyDiv w:val="1"/>
      <w:marLeft w:val="0"/>
      <w:marRight w:val="0"/>
      <w:marTop w:val="0"/>
      <w:marBottom w:val="0"/>
      <w:divBdr>
        <w:top w:val="none" w:sz="0" w:space="0" w:color="auto"/>
        <w:left w:val="none" w:sz="0" w:space="0" w:color="auto"/>
        <w:bottom w:val="none" w:sz="0" w:space="0" w:color="auto"/>
        <w:right w:val="none" w:sz="0" w:space="0" w:color="auto"/>
      </w:divBdr>
    </w:div>
    <w:div w:id="1453864482">
      <w:bodyDiv w:val="1"/>
      <w:marLeft w:val="0"/>
      <w:marRight w:val="0"/>
      <w:marTop w:val="0"/>
      <w:marBottom w:val="0"/>
      <w:divBdr>
        <w:top w:val="none" w:sz="0" w:space="0" w:color="auto"/>
        <w:left w:val="none" w:sz="0" w:space="0" w:color="auto"/>
        <w:bottom w:val="none" w:sz="0" w:space="0" w:color="auto"/>
        <w:right w:val="none" w:sz="0" w:space="0" w:color="auto"/>
      </w:divBdr>
    </w:div>
    <w:div w:id="1460109162">
      <w:bodyDiv w:val="1"/>
      <w:marLeft w:val="0"/>
      <w:marRight w:val="0"/>
      <w:marTop w:val="0"/>
      <w:marBottom w:val="0"/>
      <w:divBdr>
        <w:top w:val="none" w:sz="0" w:space="0" w:color="auto"/>
        <w:left w:val="none" w:sz="0" w:space="0" w:color="auto"/>
        <w:bottom w:val="none" w:sz="0" w:space="0" w:color="auto"/>
        <w:right w:val="none" w:sz="0" w:space="0" w:color="auto"/>
      </w:divBdr>
    </w:div>
    <w:div w:id="1475685504">
      <w:bodyDiv w:val="1"/>
      <w:marLeft w:val="0"/>
      <w:marRight w:val="0"/>
      <w:marTop w:val="0"/>
      <w:marBottom w:val="0"/>
      <w:divBdr>
        <w:top w:val="none" w:sz="0" w:space="0" w:color="auto"/>
        <w:left w:val="none" w:sz="0" w:space="0" w:color="auto"/>
        <w:bottom w:val="none" w:sz="0" w:space="0" w:color="auto"/>
        <w:right w:val="none" w:sz="0" w:space="0" w:color="auto"/>
      </w:divBdr>
    </w:div>
    <w:div w:id="1492259375">
      <w:bodyDiv w:val="1"/>
      <w:marLeft w:val="0"/>
      <w:marRight w:val="0"/>
      <w:marTop w:val="0"/>
      <w:marBottom w:val="0"/>
      <w:divBdr>
        <w:top w:val="none" w:sz="0" w:space="0" w:color="auto"/>
        <w:left w:val="none" w:sz="0" w:space="0" w:color="auto"/>
        <w:bottom w:val="none" w:sz="0" w:space="0" w:color="auto"/>
        <w:right w:val="none" w:sz="0" w:space="0" w:color="auto"/>
      </w:divBdr>
    </w:div>
    <w:div w:id="1494762249">
      <w:bodyDiv w:val="1"/>
      <w:marLeft w:val="0"/>
      <w:marRight w:val="0"/>
      <w:marTop w:val="0"/>
      <w:marBottom w:val="0"/>
      <w:divBdr>
        <w:top w:val="none" w:sz="0" w:space="0" w:color="auto"/>
        <w:left w:val="none" w:sz="0" w:space="0" w:color="auto"/>
        <w:bottom w:val="none" w:sz="0" w:space="0" w:color="auto"/>
        <w:right w:val="none" w:sz="0" w:space="0" w:color="auto"/>
      </w:divBdr>
    </w:div>
    <w:div w:id="1524589408">
      <w:bodyDiv w:val="1"/>
      <w:marLeft w:val="0"/>
      <w:marRight w:val="0"/>
      <w:marTop w:val="0"/>
      <w:marBottom w:val="0"/>
      <w:divBdr>
        <w:top w:val="none" w:sz="0" w:space="0" w:color="auto"/>
        <w:left w:val="none" w:sz="0" w:space="0" w:color="auto"/>
        <w:bottom w:val="none" w:sz="0" w:space="0" w:color="auto"/>
        <w:right w:val="none" w:sz="0" w:space="0" w:color="auto"/>
      </w:divBdr>
    </w:div>
    <w:div w:id="1541749160">
      <w:bodyDiv w:val="1"/>
      <w:marLeft w:val="0"/>
      <w:marRight w:val="0"/>
      <w:marTop w:val="0"/>
      <w:marBottom w:val="0"/>
      <w:divBdr>
        <w:top w:val="none" w:sz="0" w:space="0" w:color="auto"/>
        <w:left w:val="none" w:sz="0" w:space="0" w:color="auto"/>
        <w:bottom w:val="none" w:sz="0" w:space="0" w:color="auto"/>
        <w:right w:val="none" w:sz="0" w:space="0" w:color="auto"/>
      </w:divBdr>
    </w:div>
    <w:div w:id="1544828669">
      <w:bodyDiv w:val="1"/>
      <w:marLeft w:val="0"/>
      <w:marRight w:val="0"/>
      <w:marTop w:val="0"/>
      <w:marBottom w:val="0"/>
      <w:divBdr>
        <w:top w:val="none" w:sz="0" w:space="0" w:color="auto"/>
        <w:left w:val="none" w:sz="0" w:space="0" w:color="auto"/>
        <w:bottom w:val="none" w:sz="0" w:space="0" w:color="auto"/>
        <w:right w:val="none" w:sz="0" w:space="0" w:color="auto"/>
      </w:divBdr>
    </w:div>
    <w:div w:id="1545411666">
      <w:bodyDiv w:val="1"/>
      <w:marLeft w:val="0"/>
      <w:marRight w:val="0"/>
      <w:marTop w:val="0"/>
      <w:marBottom w:val="0"/>
      <w:divBdr>
        <w:top w:val="none" w:sz="0" w:space="0" w:color="auto"/>
        <w:left w:val="none" w:sz="0" w:space="0" w:color="auto"/>
        <w:bottom w:val="none" w:sz="0" w:space="0" w:color="auto"/>
        <w:right w:val="none" w:sz="0" w:space="0" w:color="auto"/>
      </w:divBdr>
      <w:divsChild>
        <w:div w:id="1176655687">
          <w:marLeft w:val="0"/>
          <w:marRight w:val="0"/>
          <w:marTop w:val="0"/>
          <w:marBottom w:val="0"/>
          <w:divBdr>
            <w:top w:val="none" w:sz="0" w:space="0" w:color="auto"/>
            <w:left w:val="none" w:sz="0" w:space="0" w:color="auto"/>
            <w:bottom w:val="none" w:sz="0" w:space="0" w:color="auto"/>
            <w:right w:val="none" w:sz="0" w:space="0" w:color="auto"/>
          </w:divBdr>
          <w:divsChild>
            <w:div w:id="1211379467">
              <w:marLeft w:val="0"/>
              <w:marRight w:val="0"/>
              <w:marTop w:val="0"/>
              <w:marBottom w:val="0"/>
              <w:divBdr>
                <w:top w:val="none" w:sz="0" w:space="0" w:color="auto"/>
                <w:left w:val="none" w:sz="0" w:space="0" w:color="auto"/>
                <w:bottom w:val="none" w:sz="0" w:space="0" w:color="auto"/>
                <w:right w:val="none" w:sz="0" w:space="0" w:color="auto"/>
              </w:divBdr>
              <w:divsChild>
                <w:div w:id="10649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47092">
      <w:bodyDiv w:val="1"/>
      <w:marLeft w:val="0"/>
      <w:marRight w:val="0"/>
      <w:marTop w:val="0"/>
      <w:marBottom w:val="0"/>
      <w:divBdr>
        <w:top w:val="none" w:sz="0" w:space="0" w:color="auto"/>
        <w:left w:val="none" w:sz="0" w:space="0" w:color="auto"/>
        <w:bottom w:val="none" w:sz="0" w:space="0" w:color="auto"/>
        <w:right w:val="none" w:sz="0" w:space="0" w:color="auto"/>
      </w:divBdr>
    </w:div>
    <w:div w:id="1575428701">
      <w:bodyDiv w:val="1"/>
      <w:marLeft w:val="0"/>
      <w:marRight w:val="0"/>
      <w:marTop w:val="0"/>
      <w:marBottom w:val="0"/>
      <w:divBdr>
        <w:top w:val="none" w:sz="0" w:space="0" w:color="auto"/>
        <w:left w:val="none" w:sz="0" w:space="0" w:color="auto"/>
        <w:bottom w:val="none" w:sz="0" w:space="0" w:color="auto"/>
        <w:right w:val="none" w:sz="0" w:space="0" w:color="auto"/>
      </w:divBdr>
    </w:div>
    <w:div w:id="1580561506">
      <w:bodyDiv w:val="1"/>
      <w:marLeft w:val="0"/>
      <w:marRight w:val="0"/>
      <w:marTop w:val="0"/>
      <w:marBottom w:val="0"/>
      <w:divBdr>
        <w:top w:val="none" w:sz="0" w:space="0" w:color="auto"/>
        <w:left w:val="none" w:sz="0" w:space="0" w:color="auto"/>
        <w:bottom w:val="none" w:sz="0" w:space="0" w:color="auto"/>
        <w:right w:val="none" w:sz="0" w:space="0" w:color="auto"/>
      </w:divBdr>
    </w:div>
    <w:div w:id="1607224780">
      <w:bodyDiv w:val="1"/>
      <w:marLeft w:val="0"/>
      <w:marRight w:val="0"/>
      <w:marTop w:val="0"/>
      <w:marBottom w:val="0"/>
      <w:divBdr>
        <w:top w:val="none" w:sz="0" w:space="0" w:color="auto"/>
        <w:left w:val="none" w:sz="0" w:space="0" w:color="auto"/>
        <w:bottom w:val="none" w:sz="0" w:space="0" w:color="auto"/>
        <w:right w:val="none" w:sz="0" w:space="0" w:color="auto"/>
      </w:divBdr>
      <w:divsChild>
        <w:div w:id="1951350410">
          <w:marLeft w:val="0"/>
          <w:marRight w:val="0"/>
          <w:marTop w:val="0"/>
          <w:marBottom w:val="0"/>
          <w:divBdr>
            <w:top w:val="none" w:sz="0" w:space="0" w:color="auto"/>
            <w:left w:val="none" w:sz="0" w:space="0" w:color="auto"/>
            <w:bottom w:val="none" w:sz="0" w:space="0" w:color="auto"/>
            <w:right w:val="none" w:sz="0" w:space="0" w:color="auto"/>
          </w:divBdr>
          <w:divsChild>
            <w:div w:id="1038820371">
              <w:marLeft w:val="0"/>
              <w:marRight w:val="0"/>
              <w:marTop w:val="0"/>
              <w:marBottom w:val="0"/>
              <w:divBdr>
                <w:top w:val="none" w:sz="0" w:space="0" w:color="auto"/>
                <w:left w:val="none" w:sz="0" w:space="0" w:color="auto"/>
                <w:bottom w:val="none" w:sz="0" w:space="0" w:color="auto"/>
                <w:right w:val="none" w:sz="0" w:space="0" w:color="auto"/>
              </w:divBdr>
              <w:divsChild>
                <w:div w:id="1520581654">
                  <w:marLeft w:val="0"/>
                  <w:marRight w:val="0"/>
                  <w:marTop w:val="0"/>
                  <w:marBottom w:val="0"/>
                  <w:divBdr>
                    <w:top w:val="none" w:sz="0" w:space="0" w:color="auto"/>
                    <w:left w:val="none" w:sz="0" w:space="0" w:color="auto"/>
                    <w:bottom w:val="none" w:sz="0" w:space="0" w:color="auto"/>
                    <w:right w:val="none" w:sz="0" w:space="0" w:color="auto"/>
                  </w:divBdr>
                  <w:divsChild>
                    <w:div w:id="926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610958">
      <w:bodyDiv w:val="1"/>
      <w:marLeft w:val="0"/>
      <w:marRight w:val="0"/>
      <w:marTop w:val="0"/>
      <w:marBottom w:val="0"/>
      <w:divBdr>
        <w:top w:val="none" w:sz="0" w:space="0" w:color="auto"/>
        <w:left w:val="none" w:sz="0" w:space="0" w:color="auto"/>
        <w:bottom w:val="none" w:sz="0" w:space="0" w:color="auto"/>
        <w:right w:val="none" w:sz="0" w:space="0" w:color="auto"/>
      </w:divBdr>
    </w:div>
    <w:div w:id="1619797403">
      <w:bodyDiv w:val="1"/>
      <w:marLeft w:val="0"/>
      <w:marRight w:val="0"/>
      <w:marTop w:val="0"/>
      <w:marBottom w:val="0"/>
      <w:divBdr>
        <w:top w:val="none" w:sz="0" w:space="0" w:color="auto"/>
        <w:left w:val="none" w:sz="0" w:space="0" w:color="auto"/>
        <w:bottom w:val="none" w:sz="0" w:space="0" w:color="auto"/>
        <w:right w:val="none" w:sz="0" w:space="0" w:color="auto"/>
      </w:divBdr>
    </w:div>
    <w:div w:id="1626962302">
      <w:bodyDiv w:val="1"/>
      <w:marLeft w:val="0"/>
      <w:marRight w:val="0"/>
      <w:marTop w:val="0"/>
      <w:marBottom w:val="0"/>
      <w:divBdr>
        <w:top w:val="none" w:sz="0" w:space="0" w:color="auto"/>
        <w:left w:val="none" w:sz="0" w:space="0" w:color="auto"/>
        <w:bottom w:val="none" w:sz="0" w:space="0" w:color="auto"/>
        <w:right w:val="none" w:sz="0" w:space="0" w:color="auto"/>
      </w:divBdr>
    </w:div>
    <w:div w:id="1630554061">
      <w:bodyDiv w:val="1"/>
      <w:marLeft w:val="0"/>
      <w:marRight w:val="0"/>
      <w:marTop w:val="0"/>
      <w:marBottom w:val="0"/>
      <w:divBdr>
        <w:top w:val="none" w:sz="0" w:space="0" w:color="auto"/>
        <w:left w:val="none" w:sz="0" w:space="0" w:color="auto"/>
        <w:bottom w:val="none" w:sz="0" w:space="0" w:color="auto"/>
        <w:right w:val="none" w:sz="0" w:space="0" w:color="auto"/>
      </w:divBdr>
      <w:divsChild>
        <w:div w:id="1409572953">
          <w:marLeft w:val="0"/>
          <w:marRight w:val="0"/>
          <w:marTop w:val="0"/>
          <w:marBottom w:val="0"/>
          <w:divBdr>
            <w:top w:val="none" w:sz="0" w:space="0" w:color="auto"/>
            <w:left w:val="none" w:sz="0" w:space="0" w:color="auto"/>
            <w:bottom w:val="none" w:sz="0" w:space="0" w:color="auto"/>
            <w:right w:val="none" w:sz="0" w:space="0" w:color="auto"/>
          </w:divBdr>
          <w:divsChild>
            <w:div w:id="1746801387">
              <w:marLeft w:val="0"/>
              <w:marRight w:val="0"/>
              <w:marTop w:val="0"/>
              <w:marBottom w:val="0"/>
              <w:divBdr>
                <w:top w:val="none" w:sz="0" w:space="0" w:color="auto"/>
                <w:left w:val="none" w:sz="0" w:space="0" w:color="auto"/>
                <w:bottom w:val="none" w:sz="0" w:space="0" w:color="auto"/>
                <w:right w:val="none" w:sz="0" w:space="0" w:color="auto"/>
              </w:divBdr>
              <w:divsChild>
                <w:div w:id="1020593088">
                  <w:marLeft w:val="0"/>
                  <w:marRight w:val="0"/>
                  <w:marTop w:val="0"/>
                  <w:marBottom w:val="0"/>
                  <w:divBdr>
                    <w:top w:val="none" w:sz="0" w:space="0" w:color="auto"/>
                    <w:left w:val="none" w:sz="0" w:space="0" w:color="auto"/>
                    <w:bottom w:val="none" w:sz="0" w:space="0" w:color="auto"/>
                    <w:right w:val="none" w:sz="0" w:space="0" w:color="auto"/>
                  </w:divBdr>
                  <w:divsChild>
                    <w:div w:id="16895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220680">
      <w:bodyDiv w:val="1"/>
      <w:marLeft w:val="0"/>
      <w:marRight w:val="0"/>
      <w:marTop w:val="0"/>
      <w:marBottom w:val="0"/>
      <w:divBdr>
        <w:top w:val="none" w:sz="0" w:space="0" w:color="auto"/>
        <w:left w:val="none" w:sz="0" w:space="0" w:color="auto"/>
        <w:bottom w:val="none" w:sz="0" w:space="0" w:color="auto"/>
        <w:right w:val="none" w:sz="0" w:space="0" w:color="auto"/>
      </w:divBdr>
    </w:div>
    <w:div w:id="1691566978">
      <w:bodyDiv w:val="1"/>
      <w:marLeft w:val="0"/>
      <w:marRight w:val="0"/>
      <w:marTop w:val="0"/>
      <w:marBottom w:val="0"/>
      <w:divBdr>
        <w:top w:val="none" w:sz="0" w:space="0" w:color="auto"/>
        <w:left w:val="none" w:sz="0" w:space="0" w:color="auto"/>
        <w:bottom w:val="none" w:sz="0" w:space="0" w:color="auto"/>
        <w:right w:val="none" w:sz="0" w:space="0" w:color="auto"/>
      </w:divBdr>
    </w:div>
    <w:div w:id="1698117724">
      <w:bodyDiv w:val="1"/>
      <w:marLeft w:val="0"/>
      <w:marRight w:val="0"/>
      <w:marTop w:val="0"/>
      <w:marBottom w:val="0"/>
      <w:divBdr>
        <w:top w:val="none" w:sz="0" w:space="0" w:color="auto"/>
        <w:left w:val="none" w:sz="0" w:space="0" w:color="auto"/>
        <w:bottom w:val="none" w:sz="0" w:space="0" w:color="auto"/>
        <w:right w:val="none" w:sz="0" w:space="0" w:color="auto"/>
      </w:divBdr>
    </w:div>
    <w:div w:id="1699620014">
      <w:bodyDiv w:val="1"/>
      <w:marLeft w:val="0"/>
      <w:marRight w:val="0"/>
      <w:marTop w:val="0"/>
      <w:marBottom w:val="0"/>
      <w:divBdr>
        <w:top w:val="none" w:sz="0" w:space="0" w:color="auto"/>
        <w:left w:val="none" w:sz="0" w:space="0" w:color="auto"/>
        <w:bottom w:val="none" w:sz="0" w:space="0" w:color="auto"/>
        <w:right w:val="none" w:sz="0" w:space="0" w:color="auto"/>
      </w:divBdr>
    </w:div>
    <w:div w:id="1704407177">
      <w:bodyDiv w:val="1"/>
      <w:marLeft w:val="0"/>
      <w:marRight w:val="0"/>
      <w:marTop w:val="0"/>
      <w:marBottom w:val="0"/>
      <w:divBdr>
        <w:top w:val="none" w:sz="0" w:space="0" w:color="auto"/>
        <w:left w:val="none" w:sz="0" w:space="0" w:color="auto"/>
        <w:bottom w:val="none" w:sz="0" w:space="0" w:color="auto"/>
        <w:right w:val="none" w:sz="0" w:space="0" w:color="auto"/>
      </w:divBdr>
    </w:div>
    <w:div w:id="1707439048">
      <w:bodyDiv w:val="1"/>
      <w:marLeft w:val="0"/>
      <w:marRight w:val="0"/>
      <w:marTop w:val="0"/>
      <w:marBottom w:val="0"/>
      <w:divBdr>
        <w:top w:val="none" w:sz="0" w:space="0" w:color="auto"/>
        <w:left w:val="none" w:sz="0" w:space="0" w:color="auto"/>
        <w:bottom w:val="none" w:sz="0" w:space="0" w:color="auto"/>
        <w:right w:val="none" w:sz="0" w:space="0" w:color="auto"/>
      </w:divBdr>
    </w:div>
    <w:div w:id="1721129335">
      <w:bodyDiv w:val="1"/>
      <w:marLeft w:val="0"/>
      <w:marRight w:val="0"/>
      <w:marTop w:val="0"/>
      <w:marBottom w:val="0"/>
      <w:divBdr>
        <w:top w:val="none" w:sz="0" w:space="0" w:color="auto"/>
        <w:left w:val="none" w:sz="0" w:space="0" w:color="auto"/>
        <w:bottom w:val="none" w:sz="0" w:space="0" w:color="auto"/>
        <w:right w:val="none" w:sz="0" w:space="0" w:color="auto"/>
      </w:divBdr>
    </w:div>
    <w:div w:id="1723821033">
      <w:bodyDiv w:val="1"/>
      <w:marLeft w:val="0"/>
      <w:marRight w:val="0"/>
      <w:marTop w:val="0"/>
      <w:marBottom w:val="0"/>
      <w:divBdr>
        <w:top w:val="none" w:sz="0" w:space="0" w:color="auto"/>
        <w:left w:val="none" w:sz="0" w:space="0" w:color="auto"/>
        <w:bottom w:val="none" w:sz="0" w:space="0" w:color="auto"/>
        <w:right w:val="none" w:sz="0" w:space="0" w:color="auto"/>
      </w:divBdr>
    </w:div>
    <w:div w:id="1725449189">
      <w:bodyDiv w:val="1"/>
      <w:marLeft w:val="0"/>
      <w:marRight w:val="0"/>
      <w:marTop w:val="0"/>
      <w:marBottom w:val="0"/>
      <w:divBdr>
        <w:top w:val="none" w:sz="0" w:space="0" w:color="auto"/>
        <w:left w:val="none" w:sz="0" w:space="0" w:color="auto"/>
        <w:bottom w:val="none" w:sz="0" w:space="0" w:color="auto"/>
        <w:right w:val="none" w:sz="0" w:space="0" w:color="auto"/>
      </w:divBdr>
    </w:div>
    <w:div w:id="1741097617">
      <w:bodyDiv w:val="1"/>
      <w:marLeft w:val="0"/>
      <w:marRight w:val="0"/>
      <w:marTop w:val="0"/>
      <w:marBottom w:val="0"/>
      <w:divBdr>
        <w:top w:val="none" w:sz="0" w:space="0" w:color="auto"/>
        <w:left w:val="none" w:sz="0" w:space="0" w:color="auto"/>
        <w:bottom w:val="none" w:sz="0" w:space="0" w:color="auto"/>
        <w:right w:val="none" w:sz="0" w:space="0" w:color="auto"/>
      </w:divBdr>
    </w:div>
    <w:div w:id="1750733727">
      <w:bodyDiv w:val="1"/>
      <w:marLeft w:val="0"/>
      <w:marRight w:val="0"/>
      <w:marTop w:val="0"/>
      <w:marBottom w:val="0"/>
      <w:divBdr>
        <w:top w:val="none" w:sz="0" w:space="0" w:color="auto"/>
        <w:left w:val="none" w:sz="0" w:space="0" w:color="auto"/>
        <w:bottom w:val="none" w:sz="0" w:space="0" w:color="auto"/>
        <w:right w:val="none" w:sz="0" w:space="0" w:color="auto"/>
      </w:divBdr>
    </w:div>
    <w:div w:id="1757633256">
      <w:bodyDiv w:val="1"/>
      <w:marLeft w:val="0"/>
      <w:marRight w:val="0"/>
      <w:marTop w:val="0"/>
      <w:marBottom w:val="0"/>
      <w:divBdr>
        <w:top w:val="none" w:sz="0" w:space="0" w:color="auto"/>
        <w:left w:val="none" w:sz="0" w:space="0" w:color="auto"/>
        <w:bottom w:val="none" w:sz="0" w:space="0" w:color="auto"/>
        <w:right w:val="none" w:sz="0" w:space="0" w:color="auto"/>
      </w:divBdr>
    </w:div>
    <w:div w:id="1758330911">
      <w:bodyDiv w:val="1"/>
      <w:marLeft w:val="0"/>
      <w:marRight w:val="0"/>
      <w:marTop w:val="0"/>
      <w:marBottom w:val="0"/>
      <w:divBdr>
        <w:top w:val="none" w:sz="0" w:space="0" w:color="auto"/>
        <w:left w:val="none" w:sz="0" w:space="0" w:color="auto"/>
        <w:bottom w:val="none" w:sz="0" w:space="0" w:color="auto"/>
        <w:right w:val="none" w:sz="0" w:space="0" w:color="auto"/>
      </w:divBdr>
    </w:div>
    <w:div w:id="1799029262">
      <w:bodyDiv w:val="1"/>
      <w:marLeft w:val="0"/>
      <w:marRight w:val="0"/>
      <w:marTop w:val="0"/>
      <w:marBottom w:val="0"/>
      <w:divBdr>
        <w:top w:val="none" w:sz="0" w:space="0" w:color="auto"/>
        <w:left w:val="none" w:sz="0" w:space="0" w:color="auto"/>
        <w:bottom w:val="none" w:sz="0" w:space="0" w:color="auto"/>
        <w:right w:val="none" w:sz="0" w:space="0" w:color="auto"/>
      </w:divBdr>
    </w:div>
    <w:div w:id="1810442374">
      <w:bodyDiv w:val="1"/>
      <w:marLeft w:val="0"/>
      <w:marRight w:val="0"/>
      <w:marTop w:val="0"/>
      <w:marBottom w:val="0"/>
      <w:divBdr>
        <w:top w:val="none" w:sz="0" w:space="0" w:color="auto"/>
        <w:left w:val="none" w:sz="0" w:space="0" w:color="auto"/>
        <w:bottom w:val="none" w:sz="0" w:space="0" w:color="auto"/>
        <w:right w:val="none" w:sz="0" w:space="0" w:color="auto"/>
      </w:divBdr>
    </w:div>
    <w:div w:id="1835563568">
      <w:bodyDiv w:val="1"/>
      <w:marLeft w:val="0"/>
      <w:marRight w:val="0"/>
      <w:marTop w:val="0"/>
      <w:marBottom w:val="0"/>
      <w:divBdr>
        <w:top w:val="none" w:sz="0" w:space="0" w:color="auto"/>
        <w:left w:val="none" w:sz="0" w:space="0" w:color="auto"/>
        <w:bottom w:val="none" w:sz="0" w:space="0" w:color="auto"/>
        <w:right w:val="none" w:sz="0" w:space="0" w:color="auto"/>
      </w:divBdr>
    </w:div>
    <w:div w:id="1864004838">
      <w:bodyDiv w:val="1"/>
      <w:marLeft w:val="0"/>
      <w:marRight w:val="0"/>
      <w:marTop w:val="0"/>
      <w:marBottom w:val="0"/>
      <w:divBdr>
        <w:top w:val="none" w:sz="0" w:space="0" w:color="auto"/>
        <w:left w:val="none" w:sz="0" w:space="0" w:color="auto"/>
        <w:bottom w:val="none" w:sz="0" w:space="0" w:color="auto"/>
        <w:right w:val="none" w:sz="0" w:space="0" w:color="auto"/>
      </w:divBdr>
    </w:div>
    <w:div w:id="1885215677">
      <w:bodyDiv w:val="1"/>
      <w:marLeft w:val="0"/>
      <w:marRight w:val="0"/>
      <w:marTop w:val="0"/>
      <w:marBottom w:val="0"/>
      <w:divBdr>
        <w:top w:val="none" w:sz="0" w:space="0" w:color="auto"/>
        <w:left w:val="none" w:sz="0" w:space="0" w:color="auto"/>
        <w:bottom w:val="none" w:sz="0" w:space="0" w:color="auto"/>
        <w:right w:val="none" w:sz="0" w:space="0" w:color="auto"/>
      </w:divBdr>
    </w:div>
    <w:div w:id="1937983317">
      <w:bodyDiv w:val="1"/>
      <w:marLeft w:val="0"/>
      <w:marRight w:val="0"/>
      <w:marTop w:val="0"/>
      <w:marBottom w:val="0"/>
      <w:divBdr>
        <w:top w:val="none" w:sz="0" w:space="0" w:color="auto"/>
        <w:left w:val="none" w:sz="0" w:space="0" w:color="auto"/>
        <w:bottom w:val="none" w:sz="0" w:space="0" w:color="auto"/>
        <w:right w:val="none" w:sz="0" w:space="0" w:color="auto"/>
      </w:divBdr>
    </w:div>
    <w:div w:id="1940211080">
      <w:bodyDiv w:val="1"/>
      <w:marLeft w:val="0"/>
      <w:marRight w:val="0"/>
      <w:marTop w:val="0"/>
      <w:marBottom w:val="0"/>
      <w:divBdr>
        <w:top w:val="none" w:sz="0" w:space="0" w:color="auto"/>
        <w:left w:val="none" w:sz="0" w:space="0" w:color="auto"/>
        <w:bottom w:val="none" w:sz="0" w:space="0" w:color="auto"/>
        <w:right w:val="none" w:sz="0" w:space="0" w:color="auto"/>
      </w:divBdr>
    </w:div>
    <w:div w:id="1958027767">
      <w:bodyDiv w:val="1"/>
      <w:marLeft w:val="0"/>
      <w:marRight w:val="0"/>
      <w:marTop w:val="0"/>
      <w:marBottom w:val="0"/>
      <w:divBdr>
        <w:top w:val="none" w:sz="0" w:space="0" w:color="auto"/>
        <w:left w:val="none" w:sz="0" w:space="0" w:color="auto"/>
        <w:bottom w:val="none" w:sz="0" w:space="0" w:color="auto"/>
        <w:right w:val="none" w:sz="0" w:space="0" w:color="auto"/>
      </w:divBdr>
    </w:div>
    <w:div w:id="2001157218">
      <w:bodyDiv w:val="1"/>
      <w:marLeft w:val="0"/>
      <w:marRight w:val="0"/>
      <w:marTop w:val="0"/>
      <w:marBottom w:val="0"/>
      <w:divBdr>
        <w:top w:val="none" w:sz="0" w:space="0" w:color="auto"/>
        <w:left w:val="none" w:sz="0" w:space="0" w:color="auto"/>
        <w:bottom w:val="none" w:sz="0" w:space="0" w:color="auto"/>
        <w:right w:val="none" w:sz="0" w:space="0" w:color="auto"/>
      </w:divBdr>
    </w:div>
    <w:div w:id="2012369085">
      <w:bodyDiv w:val="1"/>
      <w:marLeft w:val="0"/>
      <w:marRight w:val="0"/>
      <w:marTop w:val="0"/>
      <w:marBottom w:val="0"/>
      <w:divBdr>
        <w:top w:val="none" w:sz="0" w:space="0" w:color="auto"/>
        <w:left w:val="none" w:sz="0" w:space="0" w:color="auto"/>
        <w:bottom w:val="none" w:sz="0" w:space="0" w:color="auto"/>
        <w:right w:val="none" w:sz="0" w:space="0" w:color="auto"/>
      </w:divBdr>
    </w:div>
    <w:div w:id="2017344151">
      <w:bodyDiv w:val="1"/>
      <w:marLeft w:val="0"/>
      <w:marRight w:val="0"/>
      <w:marTop w:val="0"/>
      <w:marBottom w:val="0"/>
      <w:divBdr>
        <w:top w:val="none" w:sz="0" w:space="0" w:color="auto"/>
        <w:left w:val="none" w:sz="0" w:space="0" w:color="auto"/>
        <w:bottom w:val="none" w:sz="0" w:space="0" w:color="auto"/>
        <w:right w:val="none" w:sz="0" w:space="0" w:color="auto"/>
      </w:divBdr>
    </w:div>
    <w:div w:id="2037849373">
      <w:bodyDiv w:val="1"/>
      <w:marLeft w:val="0"/>
      <w:marRight w:val="0"/>
      <w:marTop w:val="0"/>
      <w:marBottom w:val="0"/>
      <w:divBdr>
        <w:top w:val="none" w:sz="0" w:space="0" w:color="auto"/>
        <w:left w:val="none" w:sz="0" w:space="0" w:color="auto"/>
        <w:bottom w:val="none" w:sz="0" w:space="0" w:color="auto"/>
        <w:right w:val="none" w:sz="0" w:space="0" w:color="auto"/>
      </w:divBdr>
    </w:div>
    <w:div w:id="2062552391">
      <w:bodyDiv w:val="1"/>
      <w:marLeft w:val="0"/>
      <w:marRight w:val="0"/>
      <w:marTop w:val="0"/>
      <w:marBottom w:val="0"/>
      <w:divBdr>
        <w:top w:val="none" w:sz="0" w:space="0" w:color="auto"/>
        <w:left w:val="none" w:sz="0" w:space="0" w:color="auto"/>
        <w:bottom w:val="none" w:sz="0" w:space="0" w:color="auto"/>
        <w:right w:val="none" w:sz="0" w:space="0" w:color="auto"/>
      </w:divBdr>
    </w:div>
    <w:div w:id="2065592584">
      <w:bodyDiv w:val="1"/>
      <w:marLeft w:val="0"/>
      <w:marRight w:val="0"/>
      <w:marTop w:val="0"/>
      <w:marBottom w:val="0"/>
      <w:divBdr>
        <w:top w:val="none" w:sz="0" w:space="0" w:color="auto"/>
        <w:left w:val="none" w:sz="0" w:space="0" w:color="auto"/>
        <w:bottom w:val="none" w:sz="0" w:space="0" w:color="auto"/>
        <w:right w:val="none" w:sz="0" w:space="0" w:color="auto"/>
      </w:divBdr>
    </w:div>
    <w:div w:id="207087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serve.gov/newsevents/pressreleases/monetary20210728a.htm" TargetMode="External"/><Relationship Id="rId13" Type="http://schemas.openxmlformats.org/officeDocument/2006/relationships/hyperlink" Target="https://resources.carsongroup.com/hubfs/WMC-Source/2021/08-09-21_Barrons_The%20Stock%20Market%20is%20In%20a%20Bubble_7.pdf" TargetMode="External"/><Relationship Id="rId18" Type="http://schemas.openxmlformats.org/officeDocument/2006/relationships/hyperlink" Target="https://www.goodreads.com/quotes/tag/productivity" TargetMode="External"/><Relationship Id="rId3" Type="http://schemas.openxmlformats.org/officeDocument/2006/relationships/settings" Target="settings.xml"/><Relationship Id="rId7" Type="http://schemas.openxmlformats.org/officeDocument/2006/relationships/hyperlink" Target="https://www.brookings.edu/blog/up-front/2021/07/15/what-does-the-federal-reserve-mean-when-it-talks-about-tapering/" TargetMode="External"/><Relationship Id="rId12" Type="http://schemas.openxmlformats.org/officeDocument/2006/relationships/hyperlink" Target="https://www.treasury.gov/resource-center/data-chart-center/interest-rates/Pages/TextView.aspx?data=yield" TargetMode="External"/><Relationship Id="rId17" Type="http://schemas.openxmlformats.org/officeDocument/2006/relationships/hyperlink" Target="https://conference-board.org/press/Return-to-Work-Survey-June2021" TargetMode="External"/><Relationship Id="rId2" Type="http://schemas.openxmlformats.org/officeDocument/2006/relationships/styles" Target="styles.xml"/><Relationship Id="rId16" Type="http://schemas.openxmlformats.org/officeDocument/2006/relationships/hyperlink" Target="https://hbr.org/2020/12/the-pandemic-is-widening-a-corporate-productivity-ga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esources.carsongroup.com/hubfs/WMC-Source/2021/08-09-21_Barrons_Good%20News%20on%20Jobs_1.pdf" TargetMode="External"/><Relationship Id="rId11" Type="http://schemas.openxmlformats.org/officeDocument/2006/relationships/hyperlink" Target="https://www.barrons.com/articles/stock-market-bubble-2021-51628296340?mod=hp_DAY_7" TargetMode="External"/><Relationship Id="rId5" Type="http://schemas.openxmlformats.org/officeDocument/2006/relationships/hyperlink" Target="https://www.barrons.com/articles/jobs-report-covid-19-fed-policy-51628296221" TargetMode="External"/><Relationship Id="rId15" Type="http://schemas.openxmlformats.org/officeDocument/2006/relationships/hyperlink" Target="https://resources.carsongroup.com/hubfs/WMC-Source/2021/08-09-21_Economist_Amercas%20Roaring%20Recovery_8.pdf" TargetMode="External"/><Relationship Id="rId10" Type="http://schemas.openxmlformats.org/officeDocument/2006/relationships/hyperlink" Target="https://research.stlouisfed.org/publications/economic-synopses/2021/05/19/two-percent-inflation-over-the-next-year-should-you-take-the-over-or-the-unde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ea.gov/news/2021/personal-income-and-outlays-june-2021-and-annual-update" TargetMode="External"/><Relationship Id="rId14" Type="http://schemas.openxmlformats.org/officeDocument/2006/relationships/hyperlink" Target="https://www.economist.com/finance-and-economics/2021/08/07/americas-roaring-recovery-might-carry-lessons-for-future-rece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1927</Words>
  <Characters>10985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Toole</dc:creator>
  <cp:keywords/>
  <dc:description/>
  <cp:lastModifiedBy>Kam Schaefer</cp:lastModifiedBy>
  <cp:revision>2</cp:revision>
  <dcterms:created xsi:type="dcterms:W3CDTF">2021-08-09T17:34:00Z</dcterms:created>
  <dcterms:modified xsi:type="dcterms:W3CDTF">2021-08-09T17:34:00Z</dcterms:modified>
</cp:coreProperties>
</file>