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DD645" w14:textId="586DA0FE" w:rsidR="00A6664A" w:rsidRDefault="00CA3742" w:rsidP="00AB077E">
      <w:pPr>
        <w:jc w:val="center"/>
      </w:pPr>
      <w:r>
        <w:t>December</w:t>
      </w:r>
      <w:r w:rsidR="00233C0F">
        <w:t xml:space="preserve"> 13</w:t>
      </w:r>
      <w:r w:rsidR="00233C0F" w:rsidRPr="00233C0F">
        <w:rPr>
          <w:vertAlign w:val="superscript"/>
        </w:rPr>
        <w:t>th</w:t>
      </w:r>
      <w:r w:rsidR="00233C0F">
        <w:t xml:space="preserve"> </w:t>
      </w:r>
      <w:r w:rsidR="00AB077E">
        <w:t>MARKET WATCH</w:t>
      </w:r>
    </w:p>
    <w:p w14:paraId="6545F9F2" w14:textId="0D8CE4C1" w:rsidR="00B832E0" w:rsidRDefault="00AB077E" w:rsidP="00287AC1">
      <w:pPr>
        <w:spacing w:after="0" w:line="240" w:lineRule="auto"/>
        <w:jc w:val="center"/>
        <w:rPr>
          <w:b/>
          <w:bCs/>
          <w:noProof/>
        </w:rPr>
      </w:pPr>
      <w:r>
        <w:rPr>
          <w:b/>
          <w:bCs/>
        </w:rPr>
        <w:t xml:space="preserve">WEEKLY AND YEAR-TO-DATE RETURNS (THRU </w:t>
      </w:r>
      <w:r w:rsidR="002D24B2">
        <w:rPr>
          <w:b/>
          <w:bCs/>
        </w:rPr>
        <w:t>1</w:t>
      </w:r>
      <w:r w:rsidR="00CA3742">
        <w:rPr>
          <w:b/>
          <w:bCs/>
        </w:rPr>
        <w:t>2</w:t>
      </w:r>
      <w:r w:rsidR="002D24B2">
        <w:rPr>
          <w:b/>
          <w:bCs/>
        </w:rPr>
        <w:t>/</w:t>
      </w:r>
      <w:r w:rsidR="00233C0F">
        <w:rPr>
          <w:b/>
          <w:bCs/>
        </w:rPr>
        <w:t>9</w:t>
      </w:r>
      <w:r>
        <w:rPr>
          <w:b/>
          <w:bCs/>
        </w:rPr>
        <w:t>/22:)</w:t>
      </w:r>
    </w:p>
    <w:p w14:paraId="39A7DB20" w14:textId="5617A5FC" w:rsidR="00A74986" w:rsidRDefault="00A74986" w:rsidP="000A3671">
      <w:pPr>
        <w:jc w:val="center"/>
        <w:rPr>
          <w:b/>
          <w:bCs/>
          <w:noProof/>
        </w:rPr>
      </w:pPr>
      <w:r>
        <w:rPr>
          <w:noProof/>
        </w:rPr>
        <w:drawing>
          <wp:inline distT="0" distB="0" distL="0" distR="0" wp14:anchorId="0B8053A6" wp14:editId="109F9B5B">
            <wp:extent cx="5143500" cy="1228725"/>
            <wp:effectExtent l="0" t="0" r="0" b="952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1228725"/>
                    </a:xfrm>
                    <a:prstGeom prst="rect">
                      <a:avLst/>
                    </a:prstGeom>
                    <a:noFill/>
                    <a:ln>
                      <a:noFill/>
                    </a:ln>
                  </pic:spPr>
                </pic:pic>
              </a:graphicData>
            </a:graphic>
          </wp:inline>
        </w:drawing>
      </w:r>
    </w:p>
    <w:p w14:paraId="3EEC2F1D" w14:textId="3C33B3DB" w:rsidR="007A2AB0" w:rsidRPr="00565469" w:rsidRDefault="007A2AB0" w:rsidP="007A2AB0">
      <w:pPr>
        <w:rPr>
          <w:b/>
          <w:bCs/>
        </w:rPr>
      </w:pPr>
      <w:r w:rsidRPr="00565469">
        <w:rPr>
          <w:b/>
          <w:bCs/>
        </w:rPr>
        <w:t>TODAY’S TOPICS:</w:t>
      </w:r>
    </w:p>
    <w:p w14:paraId="05D84873" w14:textId="72AC5C86" w:rsidR="007A2AB0" w:rsidRDefault="007A2AB0" w:rsidP="007A2AB0">
      <w:pPr>
        <w:spacing w:after="0"/>
        <w:ind w:left="360"/>
      </w:pPr>
      <w:r>
        <w:t>Mid-Week Outlook</w:t>
      </w:r>
      <w:r w:rsidR="002D725A">
        <w:t xml:space="preserve">, </w:t>
      </w:r>
      <w:r w:rsidR="002D725A" w:rsidRPr="002D725A">
        <w:t>Chart - “Revenge of the 60/40?”</w:t>
      </w:r>
    </w:p>
    <w:p w14:paraId="63C1DAC4" w14:textId="77777777" w:rsidR="007A2AB0" w:rsidRDefault="007A2AB0" w:rsidP="007A2AB0">
      <w:pPr>
        <w:spacing w:after="0"/>
        <w:ind w:left="360"/>
      </w:pPr>
      <w:r>
        <w:t>Key Market Levels</w:t>
      </w:r>
    </w:p>
    <w:p w14:paraId="1EF26ECA" w14:textId="77777777" w:rsidR="007A2AB0" w:rsidRDefault="007A2AB0" w:rsidP="007A2AB0">
      <w:pPr>
        <w:spacing w:after="0"/>
        <w:ind w:left="360"/>
      </w:pPr>
      <w:r>
        <w:t>This Week</w:t>
      </w:r>
      <w:r w:rsidRPr="00DB42F2">
        <w:t xml:space="preserve"> / </w:t>
      </w:r>
      <w:r>
        <w:t>What We Are Watching</w:t>
      </w:r>
    </w:p>
    <w:p w14:paraId="603F2FE2" w14:textId="77777777" w:rsidR="00714D15" w:rsidRDefault="00714D15" w:rsidP="007A2AB0">
      <w:pPr>
        <w:spacing w:after="0"/>
      </w:pPr>
    </w:p>
    <w:p w14:paraId="3AD83383" w14:textId="77777777" w:rsidR="007A2AB0" w:rsidRDefault="007A2AB0" w:rsidP="007A2AB0">
      <w:pPr>
        <w:spacing w:after="0"/>
      </w:pPr>
      <w:r>
        <w:rPr>
          <w:b/>
          <w:bCs/>
        </w:rPr>
        <w:t>Market Outlook:</w:t>
      </w:r>
    </w:p>
    <w:p w14:paraId="629AA82E" w14:textId="3EE6B4B9" w:rsidR="00F8551F" w:rsidRDefault="009E6F35" w:rsidP="007A2AB0">
      <w:pPr>
        <w:spacing w:after="0"/>
        <w:rPr>
          <w:rFonts w:cstheme="minorHAnsi"/>
        </w:rPr>
      </w:pPr>
      <w:r>
        <w:rPr>
          <w:rFonts w:cstheme="minorHAnsi"/>
        </w:rPr>
        <w:t>The S&amp;P</w:t>
      </w:r>
      <w:r w:rsidR="00251D06">
        <w:rPr>
          <w:rFonts w:cstheme="minorHAnsi"/>
        </w:rPr>
        <w:t xml:space="preserve"> continues to bounce between various </w:t>
      </w:r>
      <w:r w:rsidR="00CA5FF1">
        <w:rPr>
          <w:rFonts w:cstheme="minorHAnsi"/>
        </w:rPr>
        <w:t xml:space="preserve">levels of </w:t>
      </w:r>
      <w:r w:rsidR="00251D06">
        <w:rPr>
          <w:rFonts w:cstheme="minorHAnsi"/>
        </w:rPr>
        <w:t>support and resistance</w:t>
      </w:r>
      <w:r w:rsidR="009B2A10">
        <w:rPr>
          <w:rFonts w:cstheme="minorHAnsi"/>
        </w:rPr>
        <w:t xml:space="preserve"> heading into </w:t>
      </w:r>
      <w:r w:rsidR="00564627">
        <w:rPr>
          <w:rFonts w:cstheme="minorHAnsi"/>
        </w:rPr>
        <w:t>year-end</w:t>
      </w:r>
      <w:r w:rsidR="00251D06">
        <w:rPr>
          <w:rFonts w:cstheme="minorHAnsi"/>
        </w:rPr>
        <w:t xml:space="preserve"> (see 6-month S&amp;P 500 chart</w:t>
      </w:r>
      <w:r w:rsidR="00CA5FF1">
        <w:rPr>
          <w:rFonts w:cstheme="minorHAnsi"/>
        </w:rPr>
        <w:t xml:space="preserve"> </w:t>
      </w:r>
      <w:r w:rsidR="00564627">
        <w:rPr>
          <w:rFonts w:cstheme="minorHAnsi"/>
        </w:rPr>
        <w:t>below</w:t>
      </w:r>
      <w:r w:rsidR="00CA5FF1">
        <w:rPr>
          <w:rFonts w:cstheme="minorHAnsi"/>
        </w:rPr>
        <w:t>)</w:t>
      </w:r>
      <w:r w:rsidR="00BE6BF9">
        <w:rPr>
          <w:rFonts w:cstheme="minorHAnsi"/>
        </w:rPr>
        <w:t xml:space="preserve">, as investors continue to speculate </w:t>
      </w:r>
      <w:r w:rsidR="00DE1A1C">
        <w:rPr>
          <w:rFonts w:cstheme="minorHAnsi"/>
        </w:rPr>
        <w:t xml:space="preserve">the trajectory of both </w:t>
      </w:r>
      <w:r w:rsidR="00BE6BF9">
        <w:rPr>
          <w:rFonts w:cstheme="minorHAnsi"/>
        </w:rPr>
        <w:t>inflation and the Fed</w:t>
      </w:r>
      <w:r w:rsidR="00DE1A1C">
        <w:rPr>
          <w:rFonts w:cstheme="minorHAnsi"/>
        </w:rPr>
        <w:t xml:space="preserve"> funds rate</w:t>
      </w:r>
      <w:r w:rsidR="00443C42">
        <w:rPr>
          <w:rFonts w:cstheme="minorHAnsi"/>
        </w:rPr>
        <w:t>.</w:t>
      </w:r>
      <w:r w:rsidR="00F66696">
        <w:rPr>
          <w:rFonts w:cstheme="minorHAnsi"/>
        </w:rPr>
        <w:t xml:space="preserve"> </w:t>
      </w:r>
      <w:r w:rsidR="003E61EA">
        <w:rPr>
          <w:rFonts w:cstheme="minorHAnsi"/>
        </w:rPr>
        <w:t>Equities and bonds</w:t>
      </w:r>
      <w:r w:rsidR="00E82B8B">
        <w:rPr>
          <w:rFonts w:cstheme="minorHAnsi"/>
        </w:rPr>
        <w:t xml:space="preserve"> rallied Tuesday morning after a </w:t>
      </w:r>
      <w:r w:rsidR="005611EF">
        <w:rPr>
          <w:rFonts w:cstheme="minorHAnsi"/>
        </w:rPr>
        <w:t>lower-</w:t>
      </w:r>
      <w:r w:rsidR="00E82B8B">
        <w:rPr>
          <w:rFonts w:cstheme="minorHAnsi"/>
        </w:rPr>
        <w:t>than</w:t>
      </w:r>
      <w:r w:rsidR="005611EF">
        <w:rPr>
          <w:rFonts w:cstheme="minorHAnsi"/>
        </w:rPr>
        <w:t>-</w:t>
      </w:r>
      <w:r w:rsidR="00E82B8B">
        <w:rPr>
          <w:rFonts w:cstheme="minorHAnsi"/>
        </w:rPr>
        <w:t>expected CPI report</w:t>
      </w:r>
      <w:r w:rsidR="005611EF">
        <w:rPr>
          <w:rFonts w:cstheme="minorHAnsi"/>
        </w:rPr>
        <w:t xml:space="preserve"> came out before the opening bell. </w:t>
      </w:r>
      <w:r w:rsidR="00657EA0">
        <w:rPr>
          <w:rFonts w:cstheme="minorHAnsi"/>
        </w:rPr>
        <w:t xml:space="preserve">Then on Wednesday, investors will be closely watching the mid-day release of the Fed’s FOMC interest rate </w:t>
      </w:r>
      <w:r w:rsidR="0071488F">
        <w:rPr>
          <w:rFonts w:cstheme="minorHAnsi"/>
        </w:rPr>
        <w:t>announcement</w:t>
      </w:r>
      <w:r w:rsidR="00696602">
        <w:rPr>
          <w:rFonts w:cstheme="minorHAnsi"/>
        </w:rPr>
        <w:t xml:space="preserve"> where a hike of 0.50% (50 bps)</w:t>
      </w:r>
      <w:r w:rsidR="00C926BE">
        <w:rPr>
          <w:rFonts w:cstheme="minorHAnsi"/>
        </w:rPr>
        <w:t xml:space="preserve"> is expected. </w:t>
      </w:r>
    </w:p>
    <w:p w14:paraId="4AE67AAF" w14:textId="77777777" w:rsidR="00C926BE" w:rsidRDefault="00C926BE" w:rsidP="007A2AB0">
      <w:pPr>
        <w:spacing w:after="0"/>
        <w:rPr>
          <w:rFonts w:cstheme="minorHAnsi"/>
        </w:rPr>
      </w:pPr>
    </w:p>
    <w:p w14:paraId="40FA92C2" w14:textId="48AB05C9" w:rsidR="00C926BE" w:rsidRDefault="00C926BE" w:rsidP="007A2AB0">
      <w:pPr>
        <w:spacing w:after="0"/>
        <w:rPr>
          <w:rFonts w:cstheme="minorHAnsi"/>
        </w:rPr>
      </w:pPr>
      <w:r>
        <w:rPr>
          <w:rFonts w:cstheme="minorHAnsi"/>
        </w:rPr>
        <w:t>The November CPI report released early Tuesday morning</w:t>
      </w:r>
      <w:r w:rsidR="008728C9">
        <w:rPr>
          <w:rFonts w:cstheme="minorHAnsi"/>
        </w:rPr>
        <w:t>, showed a faster than expected drop in inflation</w:t>
      </w:r>
      <w:r w:rsidR="00A92AA8">
        <w:rPr>
          <w:rFonts w:cstheme="minorHAnsi"/>
        </w:rPr>
        <w:t xml:space="preserve"> and thereby giving investors something to cheer about heading into year end. </w:t>
      </w:r>
      <w:r w:rsidR="009A1553">
        <w:rPr>
          <w:rFonts w:cstheme="minorHAnsi"/>
        </w:rPr>
        <w:t>The cost of living rose just 0.1% in November from the previous month</w:t>
      </w:r>
      <w:r w:rsidR="004E1526">
        <w:rPr>
          <w:rFonts w:cstheme="minorHAnsi"/>
        </w:rPr>
        <w:t>, which compare</w:t>
      </w:r>
      <w:r w:rsidR="00E7121B">
        <w:rPr>
          <w:rFonts w:cstheme="minorHAnsi"/>
        </w:rPr>
        <w:t>d</w:t>
      </w:r>
      <w:r w:rsidR="004E1526">
        <w:rPr>
          <w:rFonts w:cstheme="minorHAnsi"/>
        </w:rPr>
        <w:t xml:space="preserve"> to economists’ expectations for a 0.3% rise. </w:t>
      </w:r>
      <w:r w:rsidR="005A0E57" w:rsidRPr="00E361F9">
        <w:rPr>
          <w:rFonts w:cstheme="minorHAnsi"/>
          <w:b/>
          <w:bCs/>
        </w:rPr>
        <w:t>The annual rate fell to 7.1%</w:t>
      </w:r>
      <w:r w:rsidR="0078572D" w:rsidRPr="00E361F9">
        <w:rPr>
          <w:rFonts w:cstheme="minorHAnsi"/>
          <w:b/>
          <w:bCs/>
        </w:rPr>
        <w:t xml:space="preserve"> for the month, down</w:t>
      </w:r>
      <w:r w:rsidR="005A0E57" w:rsidRPr="00E361F9">
        <w:rPr>
          <w:rFonts w:cstheme="minorHAnsi"/>
          <w:b/>
          <w:bCs/>
        </w:rPr>
        <w:t xml:space="preserve"> from 7.7% </w:t>
      </w:r>
      <w:r w:rsidR="0078572D" w:rsidRPr="00E361F9">
        <w:rPr>
          <w:rFonts w:cstheme="minorHAnsi"/>
          <w:b/>
          <w:bCs/>
        </w:rPr>
        <w:t>in October</w:t>
      </w:r>
      <w:r w:rsidR="00AA02F6" w:rsidRPr="00E361F9">
        <w:rPr>
          <w:rFonts w:cstheme="minorHAnsi"/>
          <w:b/>
          <w:bCs/>
        </w:rPr>
        <w:t xml:space="preserve"> marking the lowest level </w:t>
      </w:r>
      <w:r w:rsidR="00E361F9" w:rsidRPr="00E361F9">
        <w:rPr>
          <w:rFonts w:cstheme="minorHAnsi"/>
          <w:b/>
          <w:bCs/>
        </w:rPr>
        <w:t xml:space="preserve">we’ve seen </w:t>
      </w:r>
      <w:r w:rsidR="00AA02F6" w:rsidRPr="00E361F9">
        <w:rPr>
          <w:rFonts w:cstheme="minorHAnsi"/>
          <w:b/>
          <w:bCs/>
        </w:rPr>
        <w:t>since August of last year.</w:t>
      </w:r>
      <w:r w:rsidR="00AA02F6">
        <w:rPr>
          <w:rFonts w:cstheme="minorHAnsi"/>
        </w:rPr>
        <w:t xml:space="preserve"> </w:t>
      </w:r>
      <w:r w:rsidR="00191E72">
        <w:rPr>
          <w:rFonts w:cstheme="minorHAnsi"/>
        </w:rPr>
        <w:t xml:space="preserve">One of the biggest contributors </w:t>
      </w:r>
      <w:r w:rsidR="00A16BB8">
        <w:rPr>
          <w:rFonts w:cstheme="minorHAnsi"/>
        </w:rPr>
        <w:t>for</w:t>
      </w:r>
      <w:r w:rsidR="00191E72">
        <w:rPr>
          <w:rFonts w:cstheme="minorHAnsi"/>
        </w:rPr>
        <w:t xml:space="preserve"> the drop</w:t>
      </w:r>
      <w:r w:rsidR="00A16BB8">
        <w:rPr>
          <w:rFonts w:cstheme="minorHAnsi"/>
        </w:rPr>
        <w:t xml:space="preserve"> came from the continued decline in price of </w:t>
      </w:r>
      <w:r w:rsidR="004E2A96">
        <w:rPr>
          <w:rFonts w:cstheme="minorHAnsi"/>
        </w:rPr>
        <w:t xml:space="preserve">gasoline, which now costs about the same as it did before Russia invaded Ukraine in February. </w:t>
      </w:r>
    </w:p>
    <w:p w14:paraId="0A48135B" w14:textId="77777777" w:rsidR="00E361F9" w:rsidRDefault="00E361F9" w:rsidP="007A2AB0">
      <w:pPr>
        <w:spacing w:after="0"/>
        <w:rPr>
          <w:rFonts w:cstheme="minorHAnsi"/>
        </w:rPr>
      </w:pPr>
    </w:p>
    <w:p w14:paraId="12805C9A" w14:textId="5A79A3A9" w:rsidR="009E6F35" w:rsidRDefault="003644BC" w:rsidP="007A2AB0">
      <w:pPr>
        <w:spacing w:after="0"/>
        <w:rPr>
          <w:rFonts w:cstheme="minorHAnsi"/>
        </w:rPr>
      </w:pPr>
      <w:r>
        <w:rPr>
          <w:rFonts w:cstheme="minorHAnsi"/>
        </w:rPr>
        <w:t xml:space="preserve">Meanwhile, the highly anticipated year-end Fed meeting announcement comes </w:t>
      </w:r>
      <w:r w:rsidR="006B2F5E">
        <w:rPr>
          <w:rFonts w:cstheme="minorHAnsi"/>
        </w:rPr>
        <w:t xml:space="preserve">midday </w:t>
      </w:r>
      <w:r>
        <w:rPr>
          <w:rFonts w:cstheme="minorHAnsi"/>
        </w:rPr>
        <w:t>Wednesday</w:t>
      </w:r>
      <w:r w:rsidR="006B2F5E">
        <w:rPr>
          <w:rFonts w:cstheme="minorHAnsi"/>
        </w:rPr>
        <w:t xml:space="preserve"> where </w:t>
      </w:r>
      <w:r w:rsidR="006B2F5E" w:rsidRPr="00073A33">
        <w:rPr>
          <w:rFonts w:cstheme="minorHAnsi"/>
          <w:b/>
          <w:bCs/>
        </w:rPr>
        <w:t>investors will be eyeing two major</w:t>
      </w:r>
      <w:r w:rsidR="009005E3" w:rsidRPr="00073A33">
        <w:rPr>
          <w:rFonts w:cstheme="minorHAnsi"/>
          <w:b/>
          <w:bCs/>
        </w:rPr>
        <w:t xml:space="preserve"> items in the release: The upda</w:t>
      </w:r>
      <w:r w:rsidR="008B6972" w:rsidRPr="00073A33">
        <w:rPr>
          <w:rFonts w:cstheme="minorHAnsi"/>
          <w:b/>
          <w:bCs/>
        </w:rPr>
        <w:t>ted “dot plot”</w:t>
      </w:r>
      <w:r w:rsidR="00EA7250" w:rsidRPr="00073A33">
        <w:rPr>
          <w:rFonts w:cstheme="minorHAnsi"/>
          <w:b/>
          <w:bCs/>
        </w:rPr>
        <w:t xml:space="preserve"> projections</w:t>
      </w:r>
      <w:r w:rsidR="00685184" w:rsidRPr="00073A33">
        <w:rPr>
          <w:rFonts w:cstheme="minorHAnsi"/>
          <w:b/>
          <w:bCs/>
        </w:rPr>
        <w:t xml:space="preserve">, and Powell’s commentary </w:t>
      </w:r>
      <w:r w:rsidR="00C2050A" w:rsidRPr="00073A33">
        <w:rPr>
          <w:rFonts w:cstheme="minorHAnsi"/>
          <w:b/>
          <w:bCs/>
        </w:rPr>
        <w:t>following the announcement.</w:t>
      </w:r>
      <w:r w:rsidR="00C2050A">
        <w:rPr>
          <w:rFonts w:cstheme="minorHAnsi"/>
        </w:rPr>
        <w:t xml:space="preserve"> </w:t>
      </w:r>
      <w:r w:rsidR="00EA7250">
        <w:rPr>
          <w:rFonts w:cstheme="minorHAnsi"/>
        </w:rPr>
        <w:t>The “dot plot”</w:t>
      </w:r>
      <w:r w:rsidR="00315EA4">
        <w:rPr>
          <w:rFonts w:cstheme="minorHAnsi"/>
        </w:rPr>
        <w:t xml:space="preserve"> is only updated</w:t>
      </w:r>
      <w:r w:rsidR="00A14C85">
        <w:rPr>
          <w:rFonts w:cstheme="minorHAnsi"/>
        </w:rPr>
        <w:t xml:space="preserve"> four times throughout the year and shows what the</w:t>
      </w:r>
      <w:r w:rsidR="00EA7250">
        <w:rPr>
          <w:rFonts w:cstheme="minorHAnsi"/>
        </w:rPr>
        <w:t xml:space="preserve"> committee </w:t>
      </w:r>
      <w:r w:rsidR="00FD6CBA">
        <w:rPr>
          <w:rFonts w:cstheme="minorHAnsi"/>
        </w:rPr>
        <w:t>expect</w:t>
      </w:r>
      <w:r w:rsidR="00D2639A">
        <w:rPr>
          <w:rFonts w:cstheme="minorHAnsi"/>
        </w:rPr>
        <w:t>s</w:t>
      </w:r>
      <w:r w:rsidR="00FD6CBA">
        <w:rPr>
          <w:rFonts w:cstheme="minorHAnsi"/>
        </w:rPr>
        <w:t xml:space="preserve"> for the future path of interest rates</w:t>
      </w:r>
      <w:r w:rsidR="00E161DD">
        <w:rPr>
          <w:rFonts w:cstheme="minorHAnsi"/>
        </w:rPr>
        <w:t>. Mo</w:t>
      </w:r>
      <w:r w:rsidR="002C5B13">
        <w:rPr>
          <w:rFonts w:cstheme="minorHAnsi"/>
        </w:rPr>
        <w:t xml:space="preserve">st importantly it will </w:t>
      </w:r>
      <w:r w:rsidR="0074508E">
        <w:rPr>
          <w:rFonts w:cstheme="minorHAnsi"/>
        </w:rPr>
        <w:t xml:space="preserve">update the FOMC’s </w:t>
      </w:r>
      <w:r w:rsidR="001D484D">
        <w:rPr>
          <w:rFonts w:cstheme="minorHAnsi"/>
        </w:rPr>
        <w:t>expected peak</w:t>
      </w:r>
      <w:r w:rsidR="00E15FAC">
        <w:rPr>
          <w:rFonts w:cstheme="minorHAnsi"/>
        </w:rPr>
        <w:t>, or “terminal rate” in the</w:t>
      </w:r>
      <w:r w:rsidR="001D484D">
        <w:rPr>
          <w:rFonts w:cstheme="minorHAnsi"/>
        </w:rPr>
        <w:t xml:space="preserve"> fed funds </w:t>
      </w:r>
      <w:r w:rsidR="00B0579C">
        <w:rPr>
          <w:rFonts w:cstheme="minorHAnsi"/>
        </w:rPr>
        <w:t xml:space="preserve">interest rate </w:t>
      </w:r>
      <w:r w:rsidR="00E15FAC">
        <w:rPr>
          <w:rFonts w:cstheme="minorHAnsi"/>
        </w:rPr>
        <w:t>next year</w:t>
      </w:r>
      <w:r w:rsidR="001429F4">
        <w:rPr>
          <w:rFonts w:cstheme="minorHAnsi"/>
        </w:rPr>
        <w:t>, which is one of the biggest questions on investors’ minds</w:t>
      </w:r>
      <w:r w:rsidR="002768C9">
        <w:rPr>
          <w:rFonts w:cstheme="minorHAnsi"/>
        </w:rPr>
        <w:t xml:space="preserve">. We believe they will likely raise </w:t>
      </w:r>
      <w:r w:rsidR="008476A3">
        <w:rPr>
          <w:rFonts w:cstheme="minorHAnsi"/>
        </w:rPr>
        <w:t xml:space="preserve">their terminal rate projections somewhat. </w:t>
      </w:r>
    </w:p>
    <w:p w14:paraId="3C54EFC2" w14:textId="77777777" w:rsidR="006F7932" w:rsidRDefault="006F7932" w:rsidP="007A2AB0">
      <w:pPr>
        <w:spacing w:after="0"/>
        <w:rPr>
          <w:rFonts w:cstheme="minorHAnsi"/>
        </w:rPr>
      </w:pPr>
    </w:p>
    <w:p w14:paraId="71A6326C" w14:textId="2803B1EC" w:rsidR="00920C66" w:rsidRPr="002D725A" w:rsidRDefault="00920C66" w:rsidP="00920C66">
      <w:pPr>
        <w:spacing w:after="0"/>
        <w:rPr>
          <w:rFonts w:cstheme="minorHAnsi"/>
          <w:b/>
          <w:bCs/>
        </w:rPr>
      </w:pPr>
      <w:r w:rsidRPr="002D725A">
        <w:rPr>
          <w:rFonts w:cstheme="minorHAnsi"/>
          <w:b/>
          <w:bCs/>
        </w:rPr>
        <w:t>Chart - “Revenge of the 60/40?”</w:t>
      </w:r>
    </w:p>
    <w:p w14:paraId="708C6894" w14:textId="19198944" w:rsidR="009863AC" w:rsidRDefault="008476A3" w:rsidP="007A2AB0">
      <w:pPr>
        <w:spacing w:after="0"/>
        <w:rPr>
          <w:rFonts w:cstheme="minorHAnsi"/>
        </w:rPr>
      </w:pPr>
      <w:r>
        <w:rPr>
          <w:rFonts w:cstheme="minorHAnsi"/>
        </w:rPr>
        <w:t xml:space="preserve">The below chart from </w:t>
      </w:r>
      <w:r w:rsidR="00BD4301">
        <w:rPr>
          <w:rFonts w:cstheme="minorHAnsi"/>
        </w:rPr>
        <w:t xml:space="preserve">Bloomberg and </w:t>
      </w:r>
      <w:r>
        <w:rPr>
          <w:rFonts w:cstheme="minorHAnsi"/>
        </w:rPr>
        <w:t xml:space="preserve">Goldman Sachs </w:t>
      </w:r>
      <w:r w:rsidR="00572072">
        <w:rPr>
          <w:rFonts w:cstheme="minorHAnsi"/>
        </w:rPr>
        <w:t xml:space="preserve">shows the average annual performance of the 60/40 </w:t>
      </w:r>
      <w:r w:rsidR="009863AC">
        <w:rPr>
          <w:rFonts w:cstheme="minorHAnsi"/>
        </w:rPr>
        <w:t>portfolio. As you can see</w:t>
      </w:r>
      <w:r w:rsidR="00FE0938">
        <w:rPr>
          <w:rFonts w:cstheme="minorHAnsi"/>
        </w:rPr>
        <w:t xml:space="preserve"> in other big down years, the portfolio has bounced back</w:t>
      </w:r>
      <w:r w:rsidR="001B7F45">
        <w:rPr>
          <w:rFonts w:cstheme="minorHAnsi"/>
        </w:rPr>
        <w:t xml:space="preserve"> nicely the following year. </w:t>
      </w:r>
      <w:r w:rsidR="00B479A7">
        <w:rPr>
          <w:rFonts w:cstheme="minorHAnsi"/>
        </w:rPr>
        <w:t>While this scenario is far from guaranteed, it should still give investors hope</w:t>
      </w:r>
      <w:r w:rsidR="00920C66">
        <w:rPr>
          <w:rFonts w:cstheme="minorHAnsi"/>
        </w:rPr>
        <w:t xml:space="preserve"> as we head into 2023. </w:t>
      </w:r>
      <w:r w:rsidR="001B7F45">
        <w:rPr>
          <w:rFonts w:cstheme="minorHAnsi"/>
        </w:rPr>
        <w:t xml:space="preserve"> </w:t>
      </w:r>
    </w:p>
    <w:p w14:paraId="4DC14772" w14:textId="77777777" w:rsidR="009863AC" w:rsidRDefault="009863AC" w:rsidP="007A2AB0">
      <w:pPr>
        <w:spacing w:after="0"/>
        <w:rPr>
          <w:rFonts w:cstheme="minorHAnsi"/>
        </w:rPr>
      </w:pPr>
    </w:p>
    <w:p w14:paraId="6FFA904F" w14:textId="5E7151ED" w:rsidR="006F7932" w:rsidRDefault="002A7107" w:rsidP="007A2AB0">
      <w:pPr>
        <w:spacing w:after="0"/>
        <w:rPr>
          <w:rFonts w:cstheme="minorHAnsi"/>
        </w:rPr>
      </w:pPr>
      <w:r>
        <w:rPr>
          <w:rFonts w:cstheme="minorHAnsi"/>
        </w:rPr>
        <w:t>“</w:t>
      </w:r>
      <w:r w:rsidRPr="002A7107">
        <w:rPr>
          <w:rFonts w:cstheme="minorHAnsi"/>
        </w:rPr>
        <w:t>Performance for an illustrative traditional 60/40 portfolio has been challenged in 2022 amid surges in interest rates, recession risk, and broader market uncertainty. However, past instances of 60/40 drawdowns have delivered strong performance in subsequent calendar years. We believe 2023 may be able to deliver a similar rebound, as attractive yields across the fixed income universe may offset rate market volatility.</w:t>
      </w:r>
      <w:r>
        <w:rPr>
          <w:rFonts w:cstheme="minorHAnsi"/>
        </w:rPr>
        <w:t>”</w:t>
      </w:r>
    </w:p>
    <w:p w14:paraId="786C3B76" w14:textId="77777777" w:rsidR="006F7932" w:rsidRDefault="006F7932" w:rsidP="007A2AB0">
      <w:pPr>
        <w:spacing w:after="0"/>
        <w:rPr>
          <w:rFonts w:cstheme="minorHAnsi"/>
        </w:rPr>
      </w:pPr>
    </w:p>
    <w:p w14:paraId="7B98F737" w14:textId="602D9028" w:rsidR="006F7932" w:rsidRDefault="005E649C" w:rsidP="007A2AB0">
      <w:pPr>
        <w:spacing w:after="0"/>
        <w:rPr>
          <w:rFonts w:cstheme="minorHAnsi"/>
        </w:rPr>
      </w:pPr>
      <w:r>
        <w:rPr>
          <w:rFonts w:cstheme="minorHAnsi"/>
          <w:noProof/>
        </w:rPr>
        <w:lastRenderedPageBreak/>
        <w:drawing>
          <wp:inline distT="0" distB="0" distL="0" distR="0" wp14:anchorId="60416F7D" wp14:editId="77396029">
            <wp:extent cx="6335534" cy="35877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5670" cy="3599153"/>
                    </a:xfrm>
                    <a:prstGeom prst="rect">
                      <a:avLst/>
                    </a:prstGeom>
                    <a:noFill/>
                  </pic:spPr>
                </pic:pic>
              </a:graphicData>
            </a:graphic>
          </wp:inline>
        </w:drawing>
      </w:r>
    </w:p>
    <w:p w14:paraId="5AF5D783" w14:textId="77777777" w:rsidR="006F7932" w:rsidRDefault="006F7932" w:rsidP="007A2AB0">
      <w:pPr>
        <w:spacing w:after="0"/>
        <w:rPr>
          <w:rFonts w:cstheme="minorHAnsi"/>
        </w:rPr>
      </w:pPr>
    </w:p>
    <w:p w14:paraId="64C70D57" w14:textId="77777777" w:rsidR="00CA3742" w:rsidRDefault="00CA3742" w:rsidP="007A2AB0">
      <w:pPr>
        <w:spacing w:after="0"/>
        <w:rPr>
          <w:rFonts w:cstheme="minorHAnsi"/>
        </w:rPr>
      </w:pPr>
    </w:p>
    <w:p w14:paraId="603BF800" w14:textId="30C2B270" w:rsidR="007A2AB0" w:rsidRDefault="007A2AB0" w:rsidP="007A2AB0">
      <w:pPr>
        <w:spacing w:after="0"/>
        <w:rPr>
          <w:rFonts w:cstheme="minorHAnsi"/>
          <w:b/>
          <w:bCs/>
        </w:rPr>
      </w:pPr>
      <w:r w:rsidRPr="00565469">
        <w:rPr>
          <w:rFonts w:cstheme="minorHAnsi"/>
          <w:b/>
          <w:bCs/>
        </w:rPr>
        <w:t>MARKET SUPPORT</w:t>
      </w:r>
      <w:r w:rsidR="00CA5FF1">
        <w:rPr>
          <w:rFonts w:cstheme="minorHAnsi"/>
          <w:b/>
          <w:bCs/>
        </w:rPr>
        <w:t xml:space="preserve"> &amp; RESISTANCE</w:t>
      </w:r>
      <w:r w:rsidRPr="00565469">
        <w:rPr>
          <w:rFonts w:cstheme="minorHAnsi"/>
          <w:b/>
          <w:bCs/>
        </w:rPr>
        <w:t xml:space="preserve"> LEVELS:</w:t>
      </w:r>
      <w:r>
        <w:rPr>
          <w:rFonts w:cstheme="minorHAnsi"/>
          <w:b/>
          <w:bCs/>
        </w:rPr>
        <w:t xml:space="preserve"> </w:t>
      </w:r>
    </w:p>
    <w:p w14:paraId="77A61221" w14:textId="18030B6D" w:rsidR="007A2AB0" w:rsidRPr="0054568F" w:rsidRDefault="007A2AB0" w:rsidP="007A2AB0">
      <w:pPr>
        <w:spacing w:after="0"/>
        <w:ind w:left="360"/>
        <w:rPr>
          <w:rFonts w:cstheme="minorHAnsi"/>
        </w:rPr>
      </w:pPr>
      <w:r w:rsidRPr="0054568F">
        <w:rPr>
          <w:rFonts w:cstheme="minorHAnsi"/>
        </w:rPr>
        <w:t>The next level of resistance to watch for the S&amp;P 500 on the upside is at 4,</w:t>
      </w:r>
      <w:r w:rsidR="00643BF9">
        <w:rPr>
          <w:rFonts w:cstheme="minorHAnsi"/>
        </w:rPr>
        <w:t>100</w:t>
      </w:r>
      <w:r w:rsidR="009A0169">
        <w:rPr>
          <w:rFonts w:cstheme="minorHAnsi"/>
        </w:rPr>
        <w:t>, its recent high</w:t>
      </w:r>
      <w:r w:rsidRPr="0054568F">
        <w:rPr>
          <w:rFonts w:cstheme="minorHAnsi"/>
        </w:rPr>
        <w:t xml:space="preserve">. </w:t>
      </w:r>
    </w:p>
    <w:p w14:paraId="39127F0A" w14:textId="288A773C" w:rsidR="007A2AB0" w:rsidRDefault="007A2AB0" w:rsidP="007A2AB0">
      <w:pPr>
        <w:spacing w:after="0"/>
        <w:ind w:left="360"/>
        <w:rPr>
          <w:rFonts w:cstheme="minorHAnsi"/>
        </w:rPr>
      </w:pPr>
      <w:r>
        <w:rPr>
          <w:rFonts w:cstheme="minorHAnsi"/>
        </w:rPr>
        <w:t xml:space="preserve">The next levels </w:t>
      </w:r>
      <w:r w:rsidRPr="0054568F">
        <w:rPr>
          <w:rFonts w:cstheme="minorHAnsi"/>
        </w:rPr>
        <w:t xml:space="preserve">of support to watch for the S&amp;P 500 on the downside are at around </w:t>
      </w:r>
      <w:r w:rsidR="009A0169">
        <w:rPr>
          <w:rFonts w:cstheme="minorHAnsi"/>
        </w:rPr>
        <w:t>4,035</w:t>
      </w:r>
      <w:r w:rsidRPr="0054568F">
        <w:rPr>
          <w:rFonts w:cstheme="minorHAnsi"/>
        </w:rPr>
        <w:t>, followed by 3,500.</w:t>
      </w:r>
    </w:p>
    <w:p w14:paraId="6D7753FD" w14:textId="77777777" w:rsidR="005276D3" w:rsidRDefault="005276D3" w:rsidP="007A2AB0">
      <w:pPr>
        <w:spacing w:after="0"/>
        <w:rPr>
          <w:rFonts w:cstheme="minorHAnsi"/>
          <w:b/>
          <w:bCs/>
        </w:rPr>
      </w:pPr>
    </w:p>
    <w:p w14:paraId="40D650D9" w14:textId="34FEEDA8" w:rsidR="005A7519" w:rsidRDefault="005A7519" w:rsidP="007A2AB0">
      <w:pPr>
        <w:spacing w:after="0"/>
        <w:rPr>
          <w:rFonts w:cstheme="minorHAnsi"/>
          <w:b/>
          <w:bCs/>
        </w:rPr>
      </w:pPr>
      <w:r>
        <w:rPr>
          <w:rFonts w:cstheme="minorHAnsi"/>
          <w:b/>
          <w:bCs/>
        </w:rPr>
        <w:t>S&amp;P 500 - 6-Month</w:t>
      </w:r>
      <w:r w:rsidR="00643BF9">
        <w:rPr>
          <w:rFonts w:cstheme="minorHAnsi"/>
          <w:b/>
          <w:bCs/>
        </w:rPr>
        <w:t xml:space="preserve"> Chart</w:t>
      </w:r>
    </w:p>
    <w:p w14:paraId="7ED9AA2E" w14:textId="4526287C" w:rsidR="005276D3" w:rsidRPr="00BD6379" w:rsidRDefault="004149FE" w:rsidP="007A2AB0">
      <w:pPr>
        <w:spacing w:after="0"/>
        <w:rPr>
          <w:rFonts w:cstheme="minorHAnsi"/>
          <w:b/>
          <w:bCs/>
        </w:rPr>
      </w:pPr>
      <w:r w:rsidRPr="004149FE">
        <w:rPr>
          <w:rFonts w:cstheme="minorHAnsi"/>
          <w:b/>
          <w:bCs/>
          <w:noProof/>
        </w:rPr>
        <w:drawing>
          <wp:inline distT="0" distB="0" distL="0" distR="0" wp14:anchorId="63EBFD2E" wp14:editId="66F7BDE3">
            <wp:extent cx="6858000" cy="3143885"/>
            <wp:effectExtent l="0" t="0" r="0" b="0"/>
            <wp:docPr id="1" name="Picture 1" descr="Graphical user interfac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chart, histogram&#10;&#10;Description automatically generated"/>
                    <pic:cNvPicPr/>
                  </pic:nvPicPr>
                  <pic:blipFill>
                    <a:blip r:embed="rId8"/>
                    <a:stretch>
                      <a:fillRect/>
                    </a:stretch>
                  </pic:blipFill>
                  <pic:spPr>
                    <a:xfrm>
                      <a:off x="0" y="0"/>
                      <a:ext cx="6858000" cy="3143885"/>
                    </a:xfrm>
                    <a:prstGeom prst="rect">
                      <a:avLst/>
                    </a:prstGeom>
                  </pic:spPr>
                </pic:pic>
              </a:graphicData>
            </a:graphic>
          </wp:inline>
        </w:drawing>
      </w:r>
    </w:p>
    <w:p w14:paraId="788D4226" w14:textId="77777777" w:rsidR="007A2AB0" w:rsidRDefault="007A2AB0" w:rsidP="007A2AB0">
      <w:pPr>
        <w:spacing w:after="0"/>
        <w:rPr>
          <w:b/>
          <w:bCs/>
        </w:rPr>
      </w:pPr>
      <w:r>
        <w:rPr>
          <w:rFonts w:cstheme="minorHAnsi"/>
        </w:rPr>
        <w:t>These</w:t>
      </w:r>
      <w:r w:rsidRPr="008A4378">
        <w:rPr>
          <w:rFonts w:cstheme="minorHAnsi"/>
        </w:rPr>
        <w:t xml:space="preserve"> are key technical levels we</w:t>
      </w:r>
      <w:r>
        <w:t xml:space="preserve"> look for the market to either hold or push through when look at the potential for future moves. Common support levels can be the 50- and 200-day moving averages as well as other technical levels such as previous market highs or lows. </w:t>
      </w:r>
    </w:p>
    <w:p w14:paraId="5E2FB1ED" w14:textId="77777777" w:rsidR="007A2AB0" w:rsidRDefault="007A2AB0" w:rsidP="007A2AB0">
      <w:pPr>
        <w:rPr>
          <w:b/>
          <w:bCs/>
        </w:rPr>
      </w:pPr>
    </w:p>
    <w:p w14:paraId="1685A2F4" w14:textId="77777777" w:rsidR="002051B1" w:rsidRDefault="002051B1" w:rsidP="007A2AB0">
      <w:pPr>
        <w:rPr>
          <w:b/>
          <w:bCs/>
        </w:rPr>
      </w:pPr>
    </w:p>
    <w:p w14:paraId="66C9B054" w14:textId="07886489" w:rsidR="007A2AB0" w:rsidRDefault="007A2AB0" w:rsidP="007A2AB0">
      <w:pPr>
        <w:rPr>
          <w:b/>
          <w:bCs/>
        </w:rPr>
      </w:pPr>
      <w:r w:rsidRPr="00565469">
        <w:rPr>
          <w:b/>
          <w:bCs/>
        </w:rPr>
        <w:lastRenderedPageBreak/>
        <w:t>THIS WEEK / WHAT WE ARE WATCHING:</w:t>
      </w:r>
    </w:p>
    <w:p w14:paraId="4DD26491" w14:textId="0726395C" w:rsidR="00AB077E" w:rsidRPr="000957A5" w:rsidRDefault="00AB077E" w:rsidP="00AB077E">
      <w:r w:rsidRPr="000957A5">
        <w:t>The following economic data is slated to be released during the week ahead:</w:t>
      </w:r>
    </w:p>
    <w:p w14:paraId="505A6A20" w14:textId="162334A9" w:rsidR="007D2000" w:rsidRPr="005B300C" w:rsidRDefault="007D2000" w:rsidP="00D63842">
      <w:r>
        <w:rPr>
          <w:b/>
          <w:bCs/>
        </w:rPr>
        <w:t>Monday</w:t>
      </w:r>
      <w:r w:rsidRPr="00D63842">
        <w:rPr>
          <w:b/>
          <w:bCs/>
        </w:rPr>
        <w:t>:</w:t>
      </w:r>
      <w:r w:rsidR="009E39A0">
        <w:rPr>
          <w:b/>
          <w:bCs/>
        </w:rPr>
        <w:t xml:space="preserve"> </w:t>
      </w:r>
    </w:p>
    <w:p w14:paraId="7A905A03" w14:textId="400E09BC" w:rsidR="00D63842" w:rsidRPr="00233C0F" w:rsidRDefault="00D63842" w:rsidP="00D63842">
      <w:r w:rsidRPr="00D63842">
        <w:rPr>
          <w:b/>
          <w:bCs/>
        </w:rPr>
        <w:t>Tuesday:</w:t>
      </w:r>
      <w:r w:rsidR="00D22B7F">
        <w:rPr>
          <w:b/>
          <w:bCs/>
        </w:rPr>
        <w:t xml:space="preserve"> </w:t>
      </w:r>
      <w:r w:rsidR="00B92C3F" w:rsidRPr="00A633D5">
        <w:rPr>
          <w:u w:val="single"/>
        </w:rPr>
        <w:t>CPI Inflation Report (Nov.)</w:t>
      </w:r>
      <w:r w:rsidR="00B92C3F" w:rsidRPr="00A633D5">
        <w:t>,</w:t>
      </w:r>
      <w:r w:rsidR="00B92C3F" w:rsidRPr="00B92C3F">
        <w:t xml:space="preserve"> </w:t>
      </w:r>
      <w:r w:rsidR="00D22B7F" w:rsidRPr="00B92C3F">
        <w:t>NFIB Small Business Optimism (Nov.)</w:t>
      </w:r>
    </w:p>
    <w:p w14:paraId="0EDA13B0" w14:textId="5D7BC844" w:rsidR="00D63842" w:rsidRPr="00233C0F" w:rsidRDefault="00D63842" w:rsidP="00D63842">
      <w:r w:rsidRPr="00D63842">
        <w:rPr>
          <w:b/>
          <w:bCs/>
        </w:rPr>
        <w:t>Wednesday:</w:t>
      </w:r>
      <w:r w:rsidR="00B92C3F">
        <w:rPr>
          <w:b/>
          <w:bCs/>
        </w:rPr>
        <w:t xml:space="preserve"> </w:t>
      </w:r>
      <w:r w:rsidR="00FE4F5B" w:rsidRPr="00475363">
        <w:rPr>
          <w:u w:val="single"/>
        </w:rPr>
        <w:t>Fed Announcement Day</w:t>
      </w:r>
      <w:r w:rsidR="00637519" w:rsidRPr="00475363">
        <w:rPr>
          <w:u w:val="single"/>
        </w:rPr>
        <w:t>,</w:t>
      </w:r>
      <w:r w:rsidR="00637519">
        <w:rPr>
          <w:b/>
          <w:bCs/>
        </w:rPr>
        <w:t xml:space="preserve"> </w:t>
      </w:r>
      <w:r w:rsidR="00637519" w:rsidRPr="00637519">
        <w:t>FOMC Dot Plot updated</w:t>
      </w:r>
    </w:p>
    <w:p w14:paraId="5F31FE4F" w14:textId="6DB0D54F" w:rsidR="00D63842" w:rsidRPr="00287AC1" w:rsidRDefault="00D63842" w:rsidP="00D63842">
      <w:r w:rsidRPr="00D63842">
        <w:rPr>
          <w:b/>
          <w:bCs/>
        </w:rPr>
        <w:t xml:space="preserve">Thursday: </w:t>
      </w:r>
      <w:r w:rsidR="00FA4F38" w:rsidRPr="00287AC1">
        <w:t>Weekly initial unemployment claims</w:t>
      </w:r>
      <w:r w:rsidR="00FA4F38">
        <w:t xml:space="preserve">, </w:t>
      </w:r>
      <w:r w:rsidR="000E70FD">
        <w:t>Retail Sales (Nov.), Industrial Production</w:t>
      </w:r>
      <w:r w:rsidR="00A633D5">
        <w:t xml:space="preserve"> (Nov.)</w:t>
      </w:r>
    </w:p>
    <w:p w14:paraId="61410697" w14:textId="4C1D293E" w:rsidR="00D63842" w:rsidRPr="00DA11E2" w:rsidRDefault="00D63842" w:rsidP="00D63842">
      <w:r w:rsidRPr="00D63842">
        <w:rPr>
          <w:b/>
          <w:bCs/>
        </w:rPr>
        <w:t xml:space="preserve">Friday: </w:t>
      </w:r>
    </w:p>
    <w:p w14:paraId="7EE3FDC0" w14:textId="125EE6B8" w:rsidR="00AB077E" w:rsidRDefault="00AB077E" w:rsidP="005850F8">
      <w:r>
        <w:t xml:space="preserve">Content in this material is for general information only and not intended to provide specific advice or recommendations for any individual. All performance referenced is historical and is no guarantee of future results. All indices are unmanaged and may not be invested into directly. </w:t>
      </w:r>
    </w:p>
    <w:p w14:paraId="0B8AB001" w14:textId="77777777" w:rsidR="00AB077E" w:rsidRDefault="00AB077E" w:rsidP="00AB077E">
      <w:pPr>
        <w:jc w:val="center"/>
      </w:pPr>
      <w:r>
        <w:t>AUTHOR:</w:t>
      </w:r>
    </w:p>
    <w:p w14:paraId="628ED693" w14:textId="77777777" w:rsidR="00AB077E" w:rsidRDefault="00AB077E" w:rsidP="00AB077E">
      <w:pPr>
        <w:autoSpaceDE w:val="0"/>
        <w:autoSpaceDN w:val="0"/>
        <w:adjustRightInd w:val="0"/>
        <w:spacing w:after="0" w:line="240" w:lineRule="auto"/>
        <w:jc w:val="center"/>
        <w:rPr>
          <w:rFonts w:ascii="ArialMT" w:hAnsi="ArialMT" w:cs="ArialMT"/>
          <w:color w:val="000000"/>
          <w:sz w:val="26"/>
          <w:szCs w:val="26"/>
        </w:rPr>
      </w:pPr>
      <w:r>
        <w:rPr>
          <w:rFonts w:ascii="ArialMT" w:hAnsi="ArialMT" w:cs="ArialMT"/>
          <w:color w:val="000000"/>
          <w:sz w:val="26"/>
          <w:szCs w:val="26"/>
        </w:rPr>
        <w:t>Johlfs Financial Group</w:t>
      </w:r>
    </w:p>
    <w:p w14:paraId="1CCAB8CB" w14:textId="77777777" w:rsidR="00AB077E" w:rsidRDefault="00AB077E" w:rsidP="00AB077E">
      <w:pPr>
        <w:autoSpaceDE w:val="0"/>
        <w:autoSpaceDN w:val="0"/>
        <w:adjustRightInd w:val="0"/>
        <w:spacing w:after="0" w:line="240" w:lineRule="auto"/>
        <w:jc w:val="center"/>
        <w:rPr>
          <w:rFonts w:ascii="ArialMT" w:hAnsi="ArialMT" w:cs="ArialMT"/>
          <w:color w:val="000000"/>
          <w:sz w:val="26"/>
          <w:szCs w:val="26"/>
        </w:rPr>
      </w:pPr>
      <w:r>
        <w:rPr>
          <w:rFonts w:ascii="ArialMT" w:hAnsi="ArialMT" w:cs="ArialMT"/>
          <w:color w:val="000000"/>
          <w:sz w:val="26"/>
          <w:szCs w:val="26"/>
        </w:rPr>
        <w:t xml:space="preserve">5299 DTC Blvd. Suite 1170 </w:t>
      </w:r>
    </w:p>
    <w:p w14:paraId="28201319" w14:textId="77777777" w:rsidR="00AB077E" w:rsidRDefault="00AB077E" w:rsidP="00AB077E">
      <w:pPr>
        <w:autoSpaceDE w:val="0"/>
        <w:autoSpaceDN w:val="0"/>
        <w:adjustRightInd w:val="0"/>
        <w:spacing w:after="0" w:line="240" w:lineRule="auto"/>
        <w:jc w:val="center"/>
        <w:rPr>
          <w:rFonts w:ascii="ArialMT" w:hAnsi="ArialMT" w:cs="ArialMT"/>
          <w:color w:val="000000"/>
          <w:sz w:val="26"/>
          <w:szCs w:val="26"/>
        </w:rPr>
      </w:pPr>
      <w:r>
        <w:rPr>
          <w:rFonts w:ascii="ArialMT" w:hAnsi="ArialMT" w:cs="ArialMT"/>
          <w:color w:val="000000"/>
          <w:sz w:val="26"/>
          <w:szCs w:val="26"/>
        </w:rPr>
        <w:t>Greenwood Village, CO 80111</w:t>
      </w:r>
    </w:p>
    <w:p w14:paraId="71896744" w14:textId="77777777" w:rsidR="00AB077E" w:rsidRDefault="00AB077E" w:rsidP="00AB077E">
      <w:pPr>
        <w:jc w:val="center"/>
      </w:pPr>
      <w:r>
        <w:rPr>
          <w:rFonts w:ascii="ArialMT" w:hAnsi="ArialMT" w:cs="ArialMT"/>
          <w:color w:val="209CBA"/>
          <w:sz w:val="26"/>
          <w:szCs w:val="26"/>
        </w:rPr>
        <w:t>johlfsfg.com</w:t>
      </w:r>
    </w:p>
    <w:p w14:paraId="3F4B9CF4" w14:textId="77777777" w:rsidR="00AB077E" w:rsidRDefault="00AB077E" w:rsidP="00AB077E"/>
    <w:p w14:paraId="10AE21BD" w14:textId="77777777" w:rsidR="00E71D44" w:rsidRDefault="00E71D44"/>
    <w:sectPr w:rsidR="00E71D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5FDB"/>
    <w:multiLevelType w:val="hybridMultilevel"/>
    <w:tmpl w:val="5DF03DD8"/>
    <w:lvl w:ilvl="0" w:tplc="7FF2F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05565"/>
    <w:multiLevelType w:val="hybridMultilevel"/>
    <w:tmpl w:val="8D48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33750"/>
    <w:multiLevelType w:val="hybridMultilevel"/>
    <w:tmpl w:val="5476B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2C3A2E"/>
    <w:multiLevelType w:val="hybridMultilevel"/>
    <w:tmpl w:val="23BAFEFC"/>
    <w:lvl w:ilvl="0" w:tplc="C1BA9D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257E7"/>
    <w:multiLevelType w:val="hybridMultilevel"/>
    <w:tmpl w:val="BFA6E6D6"/>
    <w:lvl w:ilvl="0" w:tplc="5742FF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94642"/>
    <w:multiLevelType w:val="hybridMultilevel"/>
    <w:tmpl w:val="2AEC23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61D80"/>
    <w:multiLevelType w:val="hybridMultilevel"/>
    <w:tmpl w:val="CD1A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869E1"/>
    <w:multiLevelType w:val="hybridMultilevel"/>
    <w:tmpl w:val="78E8FB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801261"/>
    <w:multiLevelType w:val="hybridMultilevel"/>
    <w:tmpl w:val="7306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B1555"/>
    <w:multiLevelType w:val="hybridMultilevel"/>
    <w:tmpl w:val="8F8A0F04"/>
    <w:lvl w:ilvl="0" w:tplc="94BA4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CF3AEB"/>
    <w:multiLevelType w:val="hybridMultilevel"/>
    <w:tmpl w:val="0062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5570D"/>
    <w:multiLevelType w:val="hybridMultilevel"/>
    <w:tmpl w:val="8E1EA8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A45905"/>
    <w:multiLevelType w:val="multilevel"/>
    <w:tmpl w:val="9BDE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6D2D30"/>
    <w:multiLevelType w:val="hybridMultilevel"/>
    <w:tmpl w:val="AFDC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5165294">
    <w:abstractNumId w:val="1"/>
  </w:num>
  <w:num w:numId="2" w16cid:durableId="1374964237">
    <w:abstractNumId w:val="8"/>
  </w:num>
  <w:num w:numId="3" w16cid:durableId="1645547890">
    <w:abstractNumId w:val="13"/>
  </w:num>
  <w:num w:numId="4" w16cid:durableId="2101289704">
    <w:abstractNumId w:val="7"/>
  </w:num>
  <w:num w:numId="5" w16cid:durableId="616717924">
    <w:abstractNumId w:val="3"/>
  </w:num>
  <w:num w:numId="6" w16cid:durableId="1850485397">
    <w:abstractNumId w:val="5"/>
  </w:num>
  <w:num w:numId="7" w16cid:durableId="581528040">
    <w:abstractNumId w:val="4"/>
  </w:num>
  <w:num w:numId="8" w16cid:durableId="568804652">
    <w:abstractNumId w:val="11"/>
  </w:num>
  <w:num w:numId="9" w16cid:durableId="1545563354">
    <w:abstractNumId w:val="0"/>
  </w:num>
  <w:num w:numId="10" w16cid:durableId="1325662736">
    <w:abstractNumId w:val="9"/>
  </w:num>
  <w:num w:numId="11" w16cid:durableId="1688216301">
    <w:abstractNumId w:val="2"/>
  </w:num>
  <w:num w:numId="12" w16cid:durableId="31345647">
    <w:abstractNumId w:val="6"/>
  </w:num>
  <w:num w:numId="13" w16cid:durableId="1619798951">
    <w:abstractNumId w:val="10"/>
  </w:num>
  <w:num w:numId="14" w16cid:durableId="13953967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7E"/>
    <w:rsid w:val="00001CDC"/>
    <w:rsid w:val="00007152"/>
    <w:rsid w:val="0001288D"/>
    <w:rsid w:val="00012D3B"/>
    <w:rsid w:val="000149DB"/>
    <w:rsid w:val="00014BB5"/>
    <w:rsid w:val="0002054E"/>
    <w:rsid w:val="00020A1D"/>
    <w:rsid w:val="00024F62"/>
    <w:rsid w:val="000318A1"/>
    <w:rsid w:val="00031C25"/>
    <w:rsid w:val="00032474"/>
    <w:rsid w:val="00033255"/>
    <w:rsid w:val="00036761"/>
    <w:rsid w:val="00041B7A"/>
    <w:rsid w:val="00042D4E"/>
    <w:rsid w:val="00042DFC"/>
    <w:rsid w:val="00044496"/>
    <w:rsid w:val="000458F9"/>
    <w:rsid w:val="0004688D"/>
    <w:rsid w:val="000472AC"/>
    <w:rsid w:val="00051FC9"/>
    <w:rsid w:val="0005203D"/>
    <w:rsid w:val="0005257D"/>
    <w:rsid w:val="00052F47"/>
    <w:rsid w:val="00052FB3"/>
    <w:rsid w:val="00053E51"/>
    <w:rsid w:val="00054C94"/>
    <w:rsid w:val="00057702"/>
    <w:rsid w:val="000602CB"/>
    <w:rsid w:val="000616A4"/>
    <w:rsid w:val="0006405A"/>
    <w:rsid w:val="0006730C"/>
    <w:rsid w:val="00071B51"/>
    <w:rsid w:val="00073A33"/>
    <w:rsid w:val="000771A3"/>
    <w:rsid w:val="000802D2"/>
    <w:rsid w:val="00081F52"/>
    <w:rsid w:val="000828CD"/>
    <w:rsid w:val="000832D5"/>
    <w:rsid w:val="00084BBE"/>
    <w:rsid w:val="00085317"/>
    <w:rsid w:val="000861FE"/>
    <w:rsid w:val="00087DD3"/>
    <w:rsid w:val="00090325"/>
    <w:rsid w:val="00094805"/>
    <w:rsid w:val="00094CCB"/>
    <w:rsid w:val="000A25EB"/>
    <w:rsid w:val="000A3671"/>
    <w:rsid w:val="000A42AD"/>
    <w:rsid w:val="000A73B0"/>
    <w:rsid w:val="000B1512"/>
    <w:rsid w:val="000B25A4"/>
    <w:rsid w:val="000B3C63"/>
    <w:rsid w:val="000B3D49"/>
    <w:rsid w:val="000B4E78"/>
    <w:rsid w:val="000B5380"/>
    <w:rsid w:val="000C01B0"/>
    <w:rsid w:val="000C1AA3"/>
    <w:rsid w:val="000C31CE"/>
    <w:rsid w:val="000D43ED"/>
    <w:rsid w:val="000D492D"/>
    <w:rsid w:val="000D4E99"/>
    <w:rsid w:val="000E1C36"/>
    <w:rsid w:val="000E359D"/>
    <w:rsid w:val="000E3610"/>
    <w:rsid w:val="000E40D0"/>
    <w:rsid w:val="000E65A1"/>
    <w:rsid w:val="000E70FD"/>
    <w:rsid w:val="000F0288"/>
    <w:rsid w:val="000F5BB3"/>
    <w:rsid w:val="000F62D9"/>
    <w:rsid w:val="000F657A"/>
    <w:rsid w:val="000F7BB2"/>
    <w:rsid w:val="000F7C4F"/>
    <w:rsid w:val="00100B85"/>
    <w:rsid w:val="00102CA9"/>
    <w:rsid w:val="001065C3"/>
    <w:rsid w:val="00106E68"/>
    <w:rsid w:val="001113D5"/>
    <w:rsid w:val="00112856"/>
    <w:rsid w:val="0011333C"/>
    <w:rsid w:val="00113B17"/>
    <w:rsid w:val="00113D8A"/>
    <w:rsid w:val="00117E92"/>
    <w:rsid w:val="00122BF4"/>
    <w:rsid w:val="001244B3"/>
    <w:rsid w:val="00125296"/>
    <w:rsid w:val="00125907"/>
    <w:rsid w:val="00125D0C"/>
    <w:rsid w:val="00126316"/>
    <w:rsid w:val="00127EFC"/>
    <w:rsid w:val="0013022D"/>
    <w:rsid w:val="00131DBF"/>
    <w:rsid w:val="00134208"/>
    <w:rsid w:val="001348B5"/>
    <w:rsid w:val="00137A18"/>
    <w:rsid w:val="0014049E"/>
    <w:rsid w:val="001418FB"/>
    <w:rsid w:val="00141973"/>
    <w:rsid w:val="001429F4"/>
    <w:rsid w:val="00147588"/>
    <w:rsid w:val="00150ABD"/>
    <w:rsid w:val="00151C65"/>
    <w:rsid w:val="00151D0D"/>
    <w:rsid w:val="00154CBD"/>
    <w:rsid w:val="00155292"/>
    <w:rsid w:val="0015777E"/>
    <w:rsid w:val="00160655"/>
    <w:rsid w:val="00161492"/>
    <w:rsid w:val="00165B66"/>
    <w:rsid w:val="00165BE7"/>
    <w:rsid w:val="00165DD8"/>
    <w:rsid w:val="00166D54"/>
    <w:rsid w:val="00170F09"/>
    <w:rsid w:val="00170F75"/>
    <w:rsid w:val="00172B2C"/>
    <w:rsid w:val="001751FC"/>
    <w:rsid w:val="0017784D"/>
    <w:rsid w:val="001801F8"/>
    <w:rsid w:val="00180FF6"/>
    <w:rsid w:val="00181AE9"/>
    <w:rsid w:val="00183FDA"/>
    <w:rsid w:val="00184B51"/>
    <w:rsid w:val="00185060"/>
    <w:rsid w:val="00186223"/>
    <w:rsid w:val="00191135"/>
    <w:rsid w:val="001917E7"/>
    <w:rsid w:val="00191CC5"/>
    <w:rsid w:val="00191E72"/>
    <w:rsid w:val="0019406E"/>
    <w:rsid w:val="00197CD0"/>
    <w:rsid w:val="001A10B7"/>
    <w:rsid w:val="001A1147"/>
    <w:rsid w:val="001A4540"/>
    <w:rsid w:val="001A4B5B"/>
    <w:rsid w:val="001A5FD9"/>
    <w:rsid w:val="001B0447"/>
    <w:rsid w:val="001B0712"/>
    <w:rsid w:val="001B0F1B"/>
    <w:rsid w:val="001B5FB2"/>
    <w:rsid w:val="001B6D8D"/>
    <w:rsid w:val="001B7F45"/>
    <w:rsid w:val="001C0AF0"/>
    <w:rsid w:val="001C4625"/>
    <w:rsid w:val="001D2A97"/>
    <w:rsid w:val="001D43C8"/>
    <w:rsid w:val="001D484D"/>
    <w:rsid w:val="001D5706"/>
    <w:rsid w:val="001D57AD"/>
    <w:rsid w:val="001D5802"/>
    <w:rsid w:val="001E05E8"/>
    <w:rsid w:val="001E2953"/>
    <w:rsid w:val="001E47C7"/>
    <w:rsid w:val="001F0572"/>
    <w:rsid w:val="001F0D21"/>
    <w:rsid w:val="001F22EB"/>
    <w:rsid w:val="001F2BBD"/>
    <w:rsid w:val="001F3070"/>
    <w:rsid w:val="001F362A"/>
    <w:rsid w:val="001F373E"/>
    <w:rsid w:val="001F4CFD"/>
    <w:rsid w:val="00201BCD"/>
    <w:rsid w:val="00203572"/>
    <w:rsid w:val="0020407A"/>
    <w:rsid w:val="002044DB"/>
    <w:rsid w:val="002051B1"/>
    <w:rsid w:val="002058E2"/>
    <w:rsid w:val="00214E48"/>
    <w:rsid w:val="00220AF2"/>
    <w:rsid w:val="00220E3C"/>
    <w:rsid w:val="00221139"/>
    <w:rsid w:val="0022169F"/>
    <w:rsid w:val="00221FAB"/>
    <w:rsid w:val="00222043"/>
    <w:rsid w:val="00222C77"/>
    <w:rsid w:val="002245FB"/>
    <w:rsid w:val="00224C83"/>
    <w:rsid w:val="00225852"/>
    <w:rsid w:val="00226415"/>
    <w:rsid w:val="00226C74"/>
    <w:rsid w:val="00233C0F"/>
    <w:rsid w:val="00234AB1"/>
    <w:rsid w:val="00236696"/>
    <w:rsid w:val="00241F91"/>
    <w:rsid w:val="00251D06"/>
    <w:rsid w:val="00255019"/>
    <w:rsid w:val="00255310"/>
    <w:rsid w:val="002554C3"/>
    <w:rsid w:val="00255AB1"/>
    <w:rsid w:val="002608FC"/>
    <w:rsid w:val="00260C6E"/>
    <w:rsid w:val="00260D9F"/>
    <w:rsid w:val="00260F8C"/>
    <w:rsid w:val="002614C0"/>
    <w:rsid w:val="00261A86"/>
    <w:rsid w:val="00263B8F"/>
    <w:rsid w:val="00270D51"/>
    <w:rsid w:val="00271B4D"/>
    <w:rsid w:val="00273F5F"/>
    <w:rsid w:val="002764A5"/>
    <w:rsid w:val="002768C9"/>
    <w:rsid w:val="0028089C"/>
    <w:rsid w:val="002817EF"/>
    <w:rsid w:val="00283587"/>
    <w:rsid w:val="002836A6"/>
    <w:rsid w:val="002845D6"/>
    <w:rsid w:val="00284720"/>
    <w:rsid w:val="002849C9"/>
    <w:rsid w:val="00287AC1"/>
    <w:rsid w:val="00290790"/>
    <w:rsid w:val="00290FBE"/>
    <w:rsid w:val="002913E5"/>
    <w:rsid w:val="0029264E"/>
    <w:rsid w:val="002947D7"/>
    <w:rsid w:val="002A203D"/>
    <w:rsid w:val="002A2160"/>
    <w:rsid w:val="002A2768"/>
    <w:rsid w:val="002A5707"/>
    <w:rsid w:val="002A7107"/>
    <w:rsid w:val="002A7D53"/>
    <w:rsid w:val="002B720D"/>
    <w:rsid w:val="002C295A"/>
    <w:rsid w:val="002C5B13"/>
    <w:rsid w:val="002D0409"/>
    <w:rsid w:val="002D1750"/>
    <w:rsid w:val="002D24B2"/>
    <w:rsid w:val="002D35E2"/>
    <w:rsid w:val="002D3F80"/>
    <w:rsid w:val="002D725A"/>
    <w:rsid w:val="002E038A"/>
    <w:rsid w:val="002E10BA"/>
    <w:rsid w:val="002E18D3"/>
    <w:rsid w:val="002E30B3"/>
    <w:rsid w:val="002E545B"/>
    <w:rsid w:val="002F011E"/>
    <w:rsid w:val="002F0ABE"/>
    <w:rsid w:val="002F1131"/>
    <w:rsid w:val="002F2ECD"/>
    <w:rsid w:val="002F3382"/>
    <w:rsid w:val="002F55DC"/>
    <w:rsid w:val="002F6050"/>
    <w:rsid w:val="002F667D"/>
    <w:rsid w:val="002F6A5C"/>
    <w:rsid w:val="002F7213"/>
    <w:rsid w:val="003002B5"/>
    <w:rsid w:val="003007B5"/>
    <w:rsid w:val="00300A2E"/>
    <w:rsid w:val="00302A8E"/>
    <w:rsid w:val="003036B9"/>
    <w:rsid w:val="00305B18"/>
    <w:rsid w:val="00310BFF"/>
    <w:rsid w:val="00314FAE"/>
    <w:rsid w:val="00315EA4"/>
    <w:rsid w:val="003163CA"/>
    <w:rsid w:val="00317DDB"/>
    <w:rsid w:val="0032088D"/>
    <w:rsid w:val="00321D99"/>
    <w:rsid w:val="00323BC3"/>
    <w:rsid w:val="00323CAE"/>
    <w:rsid w:val="00324587"/>
    <w:rsid w:val="00325565"/>
    <w:rsid w:val="0032732E"/>
    <w:rsid w:val="003327E2"/>
    <w:rsid w:val="0033335C"/>
    <w:rsid w:val="00333996"/>
    <w:rsid w:val="00333CFC"/>
    <w:rsid w:val="00337221"/>
    <w:rsid w:val="00341D33"/>
    <w:rsid w:val="00342032"/>
    <w:rsid w:val="003444C0"/>
    <w:rsid w:val="00345F7D"/>
    <w:rsid w:val="003463C4"/>
    <w:rsid w:val="00346AB2"/>
    <w:rsid w:val="0034767C"/>
    <w:rsid w:val="00350352"/>
    <w:rsid w:val="003504A1"/>
    <w:rsid w:val="00350AED"/>
    <w:rsid w:val="003533B7"/>
    <w:rsid w:val="00353EB7"/>
    <w:rsid w:val="00354709"/>
    <w:rsid w:val="003551E0"/>
    <w:rsid w:val="00356783"/>
    <w:rsid w:val="00357F07"/>
    <w:rsid w:val="003644BC"/>
    <w:rsid w:val="0036681F"/>
    <w:rsid w:val="00371237"/>
    <w:rsid w:val="00376BEC"/>
    <w:rsid w:val="00383D22"/>
    <w:rsid w:val="00384428"/>
    <w:rsid w:val="003847DD"/>
    <w:rsid w:val="00385213"/>
    <w:rsid w:val="00387851"/>
    <w:rsid w:val="00390158"/>
    <w:rsid w:val="00390B2A"/>
    <w:rsid w:val="0039345A"/>
    <w:rsid w:val="00394200"/>
    <w:rsid w:val="00395167"/>
    <w:rsid w:val="003A158E"/>
    <w:rsid w:val="003A1BA5"/>
    <w:rsid w:val="003A296D"/>
    <w:rsid w:val="003A36F6"/>
    <w:rsid w:val="003A3DA6"/>
    <w:rsid w:val="003A6B0A"/>
    <w:rsid w:val="003B0A15"/>
    <w:rsid w:val="003B252D"/>
    <w:rsid w:val="003B5F6F"/>
    <w:rsid w:val="003B679F"/>
    <w:rsid w:val="003C06F3"/>
    <w:rsid w:val="003C0D8B"/>
    <w:rsid w:val="003C184B"/>
    <w:rsid w:val="003C27DB"/>
    <w:rsid w:val="003C287B"/>
    <w:rsid w:val="003C449E"/>
    <w:rsid w:val="003D0EFF"/>
    <w:rsid w:val="003D1E6A"/>
    <w:rsid w:val="003D217B"/>
    <w:rsid w:val="003D2703"/>
    <w:rsid w:val="003D2B80"/>
    <w:rsid w:val="003D2FD5"/>
    <w:rsid w:val="003D36CC"/>
    <w:rsid w:val="003D428A"/>
    <w:rsid w:val="003D4707"/>
    <w:rsid w:val="003D5148"/>
    <w:rsid w:val="003D6B26"/>
    <w:rsid w:val="003D6C01"/>
    <w:rsid w:val="003E0B2B"/>
    <w:rsid w:val="003E3C43"/>
    <w:rsid w:val="003E61EA"/>
    <w:rsid w:val="003F2E1B"/>
    <w:rsid w:val="003F34DA"/>
    <w:rsid w:val="003F3E2C"/>
    <w:rsid w:val="00403E34"/>
    <w:rsid w:val="00404B5A"/>
    <w:rsid w:val="00405D0E"/>
    <w:rsid w:val="00410C07"/>
    <w:rsid w:val="00411C03"/>
    <w:rsid w:val="00412BF5"/>
    <w:rsid w:val="004149FE"/>
    <w:rsid w:val="00415D30"/>
    <w:rsid w:val="004177A8"/>
    <w:rsid w:val="00421EE9"/>
    <w:rsid w:val="00424156"/>
    <w:rsid w:val="00425880"/>
    <w:rsid w:val="00425AC7"/>
    <w:rsid w:val="00426400"/>
    <w:rsid w:val="00430FD7"/>
    <w:rsid w:val="00431F7F"/>
    <w:rsid w:val="0043334D"/>
    <w:rsid w:val="00433AA6"/>
    <w:rsid w:val="0044049D"/>
    <w:rsid w:val="00440C46"/>
    <w:rsid w:val="00441376"/>
    <w:rsid w:val="00441A89"/>
    <w:rsid w:val="00442634"/>
    <w:rsid w:val="00443C42"/>
    <w:rsid w:val="004440BD"/>
    <w:rsid w:val="0045490C"/>
    <w:rsid w:val="004600BD"/>
    <w:rsid w:val="00461134"/>
    <w:rsid w:val="004617E5"/>
    <w:rsid w:val="00463832"/>
    <w:rsid w:val="00464FBE"/>
    <w:rsid w:val="00466A14"/>
    <w:rsid w:val="00472E10"/>
    <w:rsid w:val="00475363"/>
    <w:rsid w:val="004764C0"/>
    <w:rsid w:val="00482955"/>
    <w:rsid w:val="00483923"/>
    <w:rsid w:val="00483F29"/>
    <w:rsid w:val="00484E97"/>
    <w:rsid w:val="00485BF7"/>
    <w:rsid w:val="00486181"/>
    <w:rsid w:val="004872C5"/>
    <w:rsid w:val="00490341"/>
    <w:rsid w:val="00490A20"/>
    <w:rsid w:val="00495294"/>
    <w:rsid w:val="00496617"/>
    <w:rsid w:val="00497971"/>
    <w:rsid w:val="00497FD1"/>
    <w:rsid w:val="004A10E1"/>
    <w:rsid w:val="004A33FF"/>
    <w:rsid w:val="004A41D9"/>
    <w:rsid w:val="004A6EC0"/>
    <w:rsid w:val="004A6EC5"/>
    <w:rsid w:val="004B0B1C"/>
    <w:rsid w:val="004B1614"/>
    <w:rsid w:val="004B6066"/>
    <w:rsid w:val="004B6DB5"/>
    <w:rsid w:val="004B7F21"/>
    <w:rsid w:val="004C11D9"/>
    <w:rsid w:val="004C27DA"/>
    <w:rsid w:val="004C491A"/>
    <w:rsid w:val="004C4D17"/>
    <w:rsid w:val="004C5733"/>
    <w:rsid w:val="004C5A1A"/>
    <w:rsid w:val="004C6C0D"/>
    <w:rsid w:val="004D1DEF"/>
    <w:rsid w:val="004D21B9"/>
    <w:rsid w:val="004D27EC"/>
    <w:rsid w:val="004D33E1"/>
    <w:rsid w:val="004D365D"/>
    <w:rsid w:val="004D3956"/>
    <w:rsid w:val="004D5927"/>
    <w:rsid w:val="004D63EC"/>
    <w:rsid w:val="004D74D4"/>
    <w:rsid w:val="004D799C"/>
    <w:rsid w:val="004D7FD8"/>
    <w:rsid w:val="004E1526"/>
    <w:rsid w:val="004E2A96"/>
    <w:rsid w:val="004E3D74"/>
    <w:rsid w:val="004E4220"/>
    <w:rsid w:val="004E4A19"/>
    <w:rsid w:val="004E7641"/>
    <w:rsid w:val="004F02D7"/>
    <w:rsid w:val="004F0F52"/>
    <w:rsid w:val="004F3473"/>
    <w:rsid w:val="004F635E"/>
    <w:rsid w:val="004F7AB9"/>
    <w:rsid w:val="004F7B8A"/>
    <w:rsid w:val="00501BF0"/>
    <w:rsid w:val="005113EB"/>
    <w:rsid w:val="00511522"/>
    <w:rsid w:val="00512C19"/>
    <w:rsid w:val="00513970"/>
    <w:rsid w:val="00515504"/>
    <w:rsid w:val="00517E97"/>
    <w:rsid w:val="00521179"/>
    <w:rsid w:val="005219E6"/>
    <w:rsid w:val="00523177"/>
    <w:rsid w:val="005234E0"/>
    <w:rsid w:val="0052402D"/>
    <w:rsid w:val="00524E8C"/>
    <w:rsid w:val="005276D3"/>
    <w:rsid w:val="0053012C"/>
    <w:rsid w:val="00530DD2"/>
    <w:rsid w:val="005317E2"/>
    <w:rsid w:val="005337E7"/>
    <w:rsid w:val="00533831"/>
    <w:rsid w:val="005417FF"/>
    <w:rsid w:val="00545262"/>
    <w:rsid w:val="0054568F"/>
    <w:rsid w:val="00546BE2"/>
    <w:rsid w:val="00550841"/>
    <w:rsid w:val="00550A49"/>
    <w:rsid w:val="00554C1F"/>
    <w:rsid w:val="00557B56"/>
    <w:rsid w:val="005610E9"/>
    <w:rsid w:val="005611EF"/>
    <w:rsid w:val="005620AD"/>
    <w:rsid w:val="00564627"/>
    <w:rsid w:val="005651F0"/>
    <w:rsid w:val="0056696C"/>
    <w:rsid w:val="005670EA"/>
    <w:rsid w:val="00572072"/>
    <w:rsid w:val="005731F1"/>
    <w:rsid w:val="00574BC1"/>
    <w:rsid w:val="00574F49"/>
    <w:rsid w:val="00580436"/>
    <w:rsid w:val="00583AF2"/>
    <w:rsid w:val="005850F8"/>
    <w:rsid w:val="00585D00"/>
    <w:rsid w:val="005867A0"/>
    <w:rsid w:val="00586B96"/>
    <w:rsid w:val="005875A4"/>
    <w:rsid w:val="005902AC"/>
    <w:rsid w:val="005906F2"/>
    <w:rsid w:val="005917B4"/>
    <w:rsid w:val="00593DA5"/>
    <w:rsid w:val="00595F98"/>
    <w:rsid w:val="00596648"/>
    <w:rsid w:val="005A006F"/>
    <w:rsid w:val="005A0678"/>
    <w:rsid w:val="005A0E57"/>
    <w:rsid w:val="005A1651"/>
    <w:rsid w:val="005A18DD"/>
    <w:rsid w:val="005A2949"/>
    <w:rsid w:val="005A2F5E"/>
    <w:rsid w:val="005A7519"/>
    <w:rsid w:val="005B1548"/>
    <w:rsid w:val="005B1B30"/>
    <w:rsid w:val="005B26E2"/>
    <w:rsid w:val="005B300C"/>
    <w:rsid w:val="005B3734"/>
    <w:rsid w:val="005B3BFF"/>
    <w:rsid w:val="005B6122"/>
    <w:rsid w:val="005B68A7"/>
    <w:rsid w:val="005C3E5A"/>
    <w:rsid w:val="005C4663"/>
    <w:rsid w:val="005D02C9"/>
    <w:rsid w:val="005D17BB"/>
    <w:rsid w:val="005D2D74"/>
    <w:rsid w:val="005E0087"/>
    <w:rsid w:val="005E0A66"/>
    <w:rsid w:val="005E1276"/>
    <w:rsid w:val="005E649C"/>
    <w:rsid w:val="005E650D"/>
    <w:rsid w:val="005F0C4D"/>
    <w:rsid w:val="005F40A6"/>
    <w:rsid w:val="005F4CFE"/>
    <w:rsid w:val="005F55A5"/>
    <w:rsid w:val="005F60B0"/>
    <w:rsid w:val="005F75C0"/>
    <w:rsid w:val="0060140E"/>
    <w:rsid w:val="0060238E"/>
    <w:rsid w:val="006042A2"/>
    <w:rsid w:val="0060601E"/>
    <w:rsid w:val="0060693D"/>
    <w:rsid w:val="00607122"/>
    <w:rsid w:val="006077D4"/>
    <w:rsid w:val="006104E7"/>
    <w:rsid w:val="006155A3"/>
    <w:rsid w:val="006238FD"/>
    <w:rsid w:val="00624758"/>
    <w:rsid w:val="006249C2"/>
    <w:rsid w:val="0062551C"/>
    <w:rsid w:val="00626C69"/>
    <w:rsid w:val="00630118"/>
    <w:rsid w:val="00631D61"/>
    <w:rsid w:val="00633F6B"/>
    <w:rsid w:val="006344D2"/>
    <w:rsid w:val="00637519"/>
    <w:rsid w:val="006376D5"/>
    <w:rsid w:val="0064264B"/>
    <w:rsid w:val="006437A6"/>
    <w:rsid w:val="00643B91"/>
    <w:rsid w:val="00643BF9"/>
    <w:rsid w:val="00650FB0"/>
    <w:rsid w:val="006510CD"/>
    <w:rsid w:val="006526DD"/>
    <w:rsid w:val="006538D8"/>
    <w:rsid w:val="00654CBA"/>
    <w:rsid w:val="00655716"/>
    <w:rsid w:val="00656A47"/>
    <w:rsid w:val="00657EA0"/>
    <w:rsid w:val="00660D74"/>
    <w:rsid w:val="00664368"/>
    <w:rsid w:val="006660FB"/>
    <w:rsid w:val="00667846"/>
    <w:rsid w:val="00667E2F"/>
    <w:rsid w:val="00670BE0"/>
    <w:rsid w:val="00671646"/>
    <w:rsid w:val="00674406"/>
    <w:rsid w:val="00675742"/>
    <w:rsid w:val="00677C8C"/>
    <w:rsid w:val="006826BF"/>
    <w:rsid w:val="00685184"/>
    <w:rsid w:val="00690946"/>
    <w:rsid w:val="00693E22"/>
    <w:rsid w:val="0069556E"/>
    <w:rsid w:val="00696602"/>
    <w:rsid w:val="006967DF"/>
    <w:rsid w:val="006A081A"/>
    <w:rsid w:val="006A1840"/>
    <w:rsid w:val="006A23F2"/>
    <w:rsid w:val="006A28DF"/>
    <w:rsid w:val="006A4065"/>
    <w:rsid w:val="006A570C"/>
    <w:rsid w:val="006B2F5E"/>
    <w:rsid w:val="006B40CC"/>
    <w:rsid w:val="006B5B2F"/>
    <w:rsid w:val="006B640A"/>
    <w:rsid w:val="006B6DD8"/>
    <w:rsid w:val="006B7969"/>
    <w:rsid w:val="006C1371"/>
    <w:rsid w:val="006C1D78"/>
    <w:rsid w:val="006C4E48"/>
    <w:rsid w:val="006D0F04"/>
    <w:rsid w:val="006D4690"/>
    <w:rsid w:val="006D46ED"/>
    <w:rsid w:val="006E46EB"/>
    <w:rsid w:val="006E4B67"/>
    <w:rsid w:val="006E5AE4"/>
    <w:rsid w:val="006F154B"/>
    <w:rsid w:val="006F2F14"/>
    <w:rsid w:val="006F7932"/>
    <w:rsid w:val="00701DFF"/>
    <w:rsid w:val="00703C47"/>
    <w:rsid w:val="00703F49"/>
    <w:rsid w:val="0070476D"/>
    <w:rsid w:val="0070549D"/>
    <w:rsid w:val="00710731"/>
    <w:rsid w:val="007117FC"/>
    <w:rsid w:val="0071268D"/>
    <w:rsid w:val="0071417A"/>
    <w:rsid w:val="0071488F"/>
    <w:rsid w:val="007149D8"/>
    <w:rsid w:val="00714D15"/>
    <w:rsid w:val="00717C4C"/>
    <w:rsid w:val="00721E9F"/>
    <w:rsid w:val="00722C63"/>
    <w:rsid w:val="00722E3D"/>
    <w:rsid w:val="00723660"/>
    <w:rsid w:val="007261FF"/>
    <w:rsid w:val="00730250"/>
    <w:rsid w:val="00730E2D"/>
    <w:rsid w:val="00731309"/>
    <w:rsid w:val="0073253F"/>
    <w:rsid w:val="007343B1"/>
    <w:rsid w:val="007352A5"/>
    <w:rsid w:val="00735A62"/>
    <w:rsid w:val="00736A82"/>
    <w:rsid w:val="00741329"/>
    <w:rsid w:val="0074135A"/>
    <w:rsid w:val="00741662"/>
    <w:rsid w:val="007429D6"/>
    <w:rsid w:val="00743BB6"/>
    <w:rsid w:val="0074508E"/>
    <w:rsid w:val="00745F58"/>
    <w:rsid w:val="007461AA"/>
    <w:rsid w:val="0074768C"/>
    <w:rsid w:val="00750649"/>
    <w:rsid w:val="0075106D"/>
    <w:rsid w:val="0075191C"/>
    <w:rsid w:val="007546D5"/>
    <w:rsid w:val="00760184"/>
    <w:rsid w:val="00762B0C"/>
    <w:rsid w:val="00767F64"/>
    <w:rsid w:val="007721D4"/>
    <w:rsid w:val="007724FB"/>
    <w:rsid w:val="00774822"/>
    <w:rsid w:val="0077621D"/>
    <w:rsid w:val="00777749"/>
    <w:rsid w:val="0078298D"/>
    <w:rsid w:val="0078448E"/>
    <w:rsid w:val="0078572D"/>
    <w:rsid w:val="00790DD1"/>
    <w:rsid w:val="007917DD"/>
    <w:rsid w:val="007924F2"/>
    <w:rsid w:val="00794C3C"/>
    <w:rsid w:val="00796BA8"/>
    <w:rsid w:val="00797FA5"/>
    <w:rsid w:val="007A2AB0"/>
    <w:rsid w:val="007A2EF6"/>
    <w:rsid w:val="007A38AE"/>
    <w:rsid w:val="007A6D1F"/>
    <w:rsid w:val="007B08E5"/>
    <w:rsid w:val="007B1BCA"/>
    <w:rsid w:val="007B5B64"/>
    <w:rsid w:val="007C22D3"/>
    <w:rsid w:val="007D0C54"/>
    <w:rsid w:val="007D1344"/>
    <w:rsid w:val="007D2000"/>
    <w:rsid w:val="007D2B8C"/>
    <w:rsid w:val="007D2C17"/>
    <w:rsid w:val="007D3DEC"/>
    <w:rsid w:val="007D3E64"/>
    <w:rsid w:val="007D4850"/>
    <w:rsid w:val="007D53BB"/>
    <w:rsid w:val="007E0694"/>
    <w:rsid w:val="007E4033"/>
    <w:rsid w:val="007E428D"/>
    <w:rsid w:val="007E5907"/>
    <w:rsid w:val="007F096F"/>
    <w:rsid w:val="007F0D85"/>
    <w:rsid w:val="007F2D51"/>
    <w:rsid w:val="007F621F"/>
    <w:rsid w:val="008009A8"/>
    <w:rsid w:val="00800F4A"/>
    <w:rsid w:val="00801E82"/>
    <w:rsid w:val="00802185"/>
    <w:rsid w:val="0080607E"/>
    <w:rsid w:val="00806D82"/>
    <w:rsid w:val="00810D7C"/>
    <w:rsid w:val="00812C50"/>
    <w:rsid w:val="00820DFE"/>
    <w:rsid w:val="00840680"/>
    <w:rsid w:val="008432AC"/>
    <w:rsid w:val="00843E91"/>
    <w:rsid w:val="008454DC"/>
    <w:rsid w:val="00845F1C"/>
    <w:rsid w:val="00846635"/>
    <w:rsid w:val="00846CF7"/>
    <w:rsid w:val="008476A3"/>
    <w:rsid w:val="00847CCC"/>
    <w:rsid w:val="0085433D"/>
    <w:rsid w:val="00854607"/>
    <w:rsid w:val="00855432"/>
    <w:rsid w:val="008558F8"/>
    <w:rsid w:val="008568C0"/>
    <w:rsid w:val="00861BD8"/>
    <w:rsid w:val="00863396"/>
    <w:rsid w:val="00870886"/>
    <w:rsid w:val="008728C9"/>
    <w:rsid w:val="008752C1"/>
    <w:rsid w:val="008754F0"/>
    <w:rsid w:val="00875807"/>
    <w:rsid w:val="00880ADC"/>
    <w:rsid w:val="008815AF"/>
    <w:rsid w:val="00881D6E"/>
    <w:rsid w:val="008830F0"/>
    <w:rsid w:val="008870FE"/>
    <w:rsid w:val="008871EE"/>
    <w:rsid w:val="0089026F"/>
    <w:rsid w:val="008903E3"/>
    <w:rsid w:val="0089131A"/>
    <w:rsid w:val="008935A8"/>
    <w:rsid w:val="0089619C"/>
    <w:rsid w:val="008A1916"/>
    <w:rsid w:val="008A402B"/>
    <w:rsid w:val="008A5569"/>
    <w:rsid w:val="008A6DC7"/>
    <w:rsid w:val="008B1327"/>
    <w:rsid w:val="008B2FE7"/>
    <w:rsid w:val="008B30E3"/>
    <w:rsid w:val="008B5CF0"/>
    <w:rsid w:val="008B6972"/>
    <w:rsid w:val="008B74E0"/>
    <w:rsid w:val="008C4BA6"/>
    <w:rsid w:val="008C559B"/>
    <w:rsid w:val="008C5672"/>
    <w:rsid w:val="008C7490"/>
    <w:rsid w:val="008D011E"/>
    <w:rsid w:val="008D040D"/>
    <w:rsid w:val="008D1DF8"/>
    <w:rsid w:val="008D2FFC"/>
    <w:rsid w:val="008D356E"/>
    <w:rsid w:val="008D5A08"/>
    <w:rsid w:val="008E7465"/>
    <w:rsid w:val="008E7F2F"/>
    <w:rsid w:val="008F0423"/>
    <w:rsid w:val="008F0616"/>
    <w:rsid w:val="008F2FB0"/>
    <w:rsid w:val="008F4172"/>
    <w:rsid w:val="008F4935"/>
    <w:rsid w:val="009005E3"/>
    <w:rsid w:val="00900CCC"/>
    <w:rsid w:val="00910A51"/>
    <w:rsid w:val="00910D94"/>
    <w:rsid w:val="009158C3"/>
    <w:rsid w:val="009163C5"/>
    <w:rsid w:val="00916BE9"/>
    <w:rsid w:val="0091749A"/>
    <w:rsid w:val="00917F59"/>
    <w:rsid w:val="00920C66"/>
    <w:rsid w:val="009213C5"/>
    <w:rsid w:val="00921754"/>
    <w:rsid w:val="00921CA0"/>
    <w:rsid w:val="00922745"/>
    <w:rsid w:val="009234D1"/>
    <w:rsid w:val="00925ABA"/>
    <w:rsid w:val="00925DEE"/>
    <w:rsid w:val="00926422"/>
    <w:rsid w:val="009312AD"/>
    <w:rsid w:val="0093192B"/>
    <w:rsid w:val="00932BCE"/>
    <w:rsid w:val="00933B81"/>
    <w:rsid w:val="00933BC8"/>
    <w:rsid w:val="00934195"/>
    <w:rsid w:val="0093677F"/>
    <w:rsid w:val="00937BE2"/>
    <w:rsid w:val="00940F0A"/>
    <w:rsid w:val="00943955"/>
    <w:rsid w:val="009447BB"/>
    <w:rsid w:val="00944A57"/>
    <w:rsid w:val="00947823"/>
    <w:rsid w:val="00950590"/>
    <w:rsid w:val="00951488"/>
    <w:rsid w:val="009538DE"/>
    <w:rsid w:val="0095535F"/>
    <w:rsid w:val="0095640F"/>
    <w:rsid w:val="009567B9"/>
    <w:rsid w:val="009646B7"/>
    <w:rsid w:val="00967A50"/>
    <w:rsid w:val="00975B13"/>
    <w:rsid w:val="00977EEF"/>
    <w:rsid w:val="009836CB"/>
    <w:rsid w:val="00984DEB"/>
    <w:rsid w:val="009852CD"/>
    <w:rsid w:val="00985C20"/>
    <w:rsid w:val="00985E1A"/>
    <w:rsid w:val="009863AC"/>
    <w:rsid w:val="00990004"/>
    <w:rsid w:val="009911CA"/>
    <w:rsid w:val="009923E2"/>
    <w:rsid w:val="009926E2"/>
    <w:rsid w:val="009950C8"/>
    <w:rsid w:val="009952FE"/>
    <w:rsid w:val="009A0169"/>
    <w:rsid w:val="009A1553"/>
    <w:rsid w:val="009A3EC6"/>
    <w:rsid w:val="009A5097"/>
    <w:rsid w:val="009A5F8F"/>
    <w:rsid w:val="009A7CC7"/>
    <w:rsid w:val="009B148F"/>
    <w:rsid w:val="009B26FD"/>
    <w:rsid w:val="009B2A10"/>
    <w:rsid w:val="009B344D"/>
    <w:rsid w:val="009B44AC"/>
    <w:rsid w:val="009B6A0D"/>
    <w:rsid w:val="009C2310"/>
    <w:rsid w:val="009C3059"/>
    <w:rsid w:val="009C4B37"/>
    <w:rsid w:val="009C6BFE"/>
    <w:rsid w:val="009C70BA"/>
    <w:rsid w:val="009D0B66"/>
    <w:rsid w:val="009E23F4"/>
    <w:rsid w:val="009E2490"/>
    <w:rsid w:val="009E39A0"/>
    <w:rsid w:val="009E50C1"/>
    <w:rsid w:val="009E6F35"/>
    <w:rsid w:val="009E7920"/>
    <w:rsid w:val="009E7CD7"/>
    <w:rsid w:val="009F6F41"/>
    <w:rsid w:val="009F7B45"/>
    <w:rsid w:val="009F7BC1"/>
    <w:rsid w:val="00A01A5E"/>
    <w:rsid w:val="00A01E1B"/>
    <w:rsid w:val="00A049AB"/>
    <w:rsid w:val="00A058A3"/>
    <w:rsid w:val="00A05C5B"/>
    <w:rsid w:val="00A07493"/>
    <w:rsid w:val="00A1147D"/>
    <w:rsid w:val="00A124E5"/>
    <w:rsid w:val="00A14694"/>
    <w:rsid w:val="00A14C85"/>
    <w:rsid w:val="00A16BB8"/>
    <w:rsid w:val="00A2695F"/>
    <w:rsid w:val="00A315F9"/>
    <w:rsid w:val="00A32B83"/>
    <w:rsid w:val="00A32F43"/>
    <w:rsid w:val="00A36E1E"/>
    <w:rsid w:val="00A37343"/>
    <w:rsid w:val="00A421DF"/>
    <w:rsid w:val="00A432DB"/>
    <w:rsid w:val="00A43EC9"/>
    <w:rsid w:val="00A43FB8"/>
    <w:rsid w:val="00A44882"/>
    <w:rsid w:val="00A44F95"/>
    <w:rsid w:val="00A4575C"/>
    <w:rsid w:val="00A460A1"/>
    <w:rsid w:val="00A467F9"/>
    <w:rsid w:val="00A46F99"/>
    <w:rsid w:val="00A50C8A"/>
    <w:rsid w:val="00A54CE6"/>
    <w:rsid w:val="00A54EE2"/>
    <w:rsid w:val="00A55DC9"/>
    <w:rsid w:val="00A567D3"/>
    <w:rsid w:val="00A57686"/>
    <w:rsid w:val="00A6066C"/>
    <w:rsid w:val="00A60FC1"/>
    <w:rsid w:val="00A620E3"/>
    <w:rsid w:val="00A633D5"/>
    <w:rsid w:val="00A65DE7"/>
    <w:rsid w:val="00A6664A"/>
    <w:rsid w:val="00A70769"/>
    <w:rsid w:val="00A74986"/>
    <w:rsid w:val="00A77B8F"/>
    <w:rsid w:val="00A81A7F"/>
    <w:rsid w:val="00A82FED"/>
    <w:rsid w:val="00A83EAF"/>
    <w:rsid w:val="00A851F4"/>
    <w:rsid w:val="00A863BE"/>
    <w:rsid w:val="00A86A3C"/>
    <w:rsid w:val="00A86C9F"/>
    <w:rsid w:val="00A92AA8"/>
    <w:rsid w:val="00A93CD4"/>
    <w:rsid w:val="00A95D0F"/>
    <w:rsid w:val="00A960B0"/>
    <w:rsid w:val="00A9786E"/>
    <w:rsid w:val="00AA02F6"/>
    <w:rsid w:val="00AA6160"/>
    <w:rsid w:val="00AA7172"/>
    <w:rsid w:val="00AB077E"/>
    <w:rsid w:val="00AB08DD"/>
    <w:rsid w:val="00AB102E"/>
    <w:rsid w:val="00AB7D50"/>
    <w:rsid w:val="00AC1353"/>
    <w:rsid w:val="00AC3222"/>
    <w:rsid w:val="00AC5584"/>
    <w:rsid w:val="00AC7577"/>
    <w:rsid w:val="00AD4039"/>
    <w:rsid w:val="00AD4CBF"/>
    <w:rsid w:val="00AD67A7"/>
    <w:rsid w:val="00AE6C3E"/>
    <w:rsid w:val="00AF346F"/>
    <w:rsid w:val="00AF39CD"/>
    <w:rsid w:val="00AF5CEA"/>
    <w:rsid w:val="00AF6247"/>
    <w:rsid w:val="00B00056"/>
    <w:rsid w:val="00B002A7"/>
    <w:rsid w:val="00B0080B"/>
    <w:rsid w:val="00B00AF7"/>
    <w:rsid w:val="00B012A1"/>
    <w:rsid w:val="00B027FF"/>
    <w:rsid w:val="00B0363D"/>
    <w:rsid w:val="00B04560"/>
    <w:rsid w:val="00B045FC"/>
    <w:rsid w:val="00B04A19"/>
    <w:rsid w:val="00B0579C"/>
    <w:rsid w:val="00B126A0"/>
    <w:rsid w:val="00B14092"/>
    <w:rsid w:val="00B145D8"/>
    <w:rsid w:val="00B14B99"/>
    <w:rsid w:val="00B14F43"/>
    <w:rsid w:val="00B16CFD"/>
    <w:rsid w:val="00B20C1D"/>
    <w:rsid w:val="00B22399"/>
    <w:rsid w:val="00B25676"/>
    <w:rsid w:val="00B25BD3"/>
    <w:rsid w:val="00B25D5C"/>
    <w:rsid w:val="00B264A8"/>
    <w:rsid w:val="00B267E9"/>
    <w:rsid w:val="00B30929"/>
    <w:rsid w:val="00B3232C"/>
    <w:rsid w:val="00B33003"/>
    <w:rsid w:val="00B33B28"/>
    <w:rsid w:val="00B34AEB"/>
    <w:rsid w:val="00B363E5"/>
    <w:rsid w:val="00B36746"/>
    <w:rsid w:val="00B370EA"/>
    <w:rsid w:val="00B4059F"/>
    <w:rsid w:val="00B42630"/>
    <w:rsid w:val="00B42CBD"/>
    <w:rsid w:val="00B44725"/>
    <w:rsid w:val="00B4476E"/>
    <w:rsid w:val="00B4780F"/>
    <w:rsid w:val="00B479A7"/>
    <w:rsid w:val="00B50489"/>
    <w:rsid w:val="00B50FC2"/>
    <w:rsid w:val="00B518B7"/>
    <w:rsid w:val="00B51B8A"/>
    <w:rsid w:val="00B5418C"/>
    <w:rsid w:val="00B547AE"/>
    <w:rsid w:val="00B54D09"/>
    <w:rsid w:val="00B57ED0"/>
    <w:rsid w:val="00B600F5"/>
    <w:rsid w:val="00B613FF"/>
    <w:rsid w:val="00B63CBC"/>
    <w:rsid w:val="00B644EA"/>
    <w:rsid w:val="00B711CC"/>
    <w:rsid w:val="00B77A06"/>
    <w:rsid w:val="00B8067F"/>
    <w:rsid w:val="00B82BCF"/>
    <w:rsid w:val="00B832E0"/>
    <w:rsid w:val="00B83F35"/>
    <w:rsid w:val="00B84182"/>
    <w:rsid w:val="00B84F0D"/>
    <w:rsid w:val="00B852FF"/>
    <w:rsid w:val="00B90A61"/>
    <w:rsid w:val="00B90A62"/>
    <w:rsid w:val="00B90F8D"/>
    <w:rsid w:val="00B92608"/>
    <w:rsid w:val="00B92C3F"/>
    <w:rsid w:val="00B9338D"/>
    <w:rsid w:val="00B9406E"/>
    <w:rsid w:val="00B95905"/>
    <w:rsid w:val="00BA2312"/>
    <w:rsid w:val="00BA36CA"/>
    <w:rsid w:val="00BA3CE7"/>
    <w:rsid w:val="00BA47FE"/>
    <w:rsid w:val="00BA49AF"/>
    <w:rsid w:val="00BA57DE"/>
    <w:rsid w:val="00BA5E38"/>
    <w:rsid w:val="00BA7495"/>
    <w:rsid w:val="00BA7C5E"/>
    <w:rsid w:val="00BB063E"/>
    <w:rsid w:val="00BB34DA"/>
    <w:rsid w:val="00BB7733"/>
    <w:rsid w:val="00BC0D82"/>
    <w:rsid w:val="00BC2215"/>
    <w:rsid w:val="00BC374A"/>
    <w:rsid w:val="00BC3C03"/>
    <w:rsid w:val="00BC4B02"/>
    <w:rsid w:val="00BC7EA1"/>
    <w:rsid w:val="00BD22A6"/>
    <w:rsid w:val="00BD26C4"/>
    <w:rsid w:val="00BD315C"/>
    <w:rsid w:val="00BD4301"/>
    <w:rsid w:val="00BD5AB1"/>
    <w:rsid w:val="00BE1CA7"/>
    <w:rsid w:val="00BE1E8B"/>
    <w:rsid w:val="00BE2D12"/>
    <w:rsid w:val="00BE3BE5"/>
    <w:rsid w:val="00BE6BF9"/>
    <w:rsid w:val="00BF270C"/>
    <w:rsid w:val="00BF39B3"/>
    <w:rsid w:val="00BF4B35"/>
    <w:rsid w:val="00C00A9D"/>
    <w:rsid w:val="00C03CD4"/>
    <w:rsid w:val="00C06349"/>
    <w:rsid w:val="00C06B7E"/>
    <w:rsid w:val="00C07226"/>
    <w:rsid w:val="00C07BC6"/>
    <w:rsid w:val="00C115FD"/>
    <w:rsid w:val="00C1485E"/>
    <w:rsid w:val="00C149E0"/>
    <w:rsid w:val="00C17428"/>
    <w:rsid w:val="00C2050A"/>
    <w:rsid w:val="00C25223"/>
    <w:rsid w:val="00C25F00"/>
    <w:rsid w:val="00C31244"/>
    <w:rsid w:val="00C318EF"/>
    <w:rsid w:val="00C4020F"/>
    <w:rsid w:val="00C50130"/>
    <w:rsid w:val="00C508CB"/>
    <w:rsid w:val="00C509FE"/>
    <w:rsid w:val="00C5362A"/>
    <w:rsid w:val="00C54066"/>
    <w:rsid w:val="00C548EA"/>
    <w:rsid w:val="00C54A43"/>
    <w:rsid w:val="00C55F1F"/>
    <w:rsid w:val="00C56011"/>
    <w:rsid w:val="00C562D8"/>
    <w:rsid w:val="00C65CB9"/>
    <w:rsid w:val="00C65E10"/>
    <w:rsid w:val="00C672BA"/>
    <w:rsid w:val="00C715FD"/>
    <w:rsid w:val="00C721A5"/>
    <w:rsid w:val="00C72334"/>
    <w:rsid w:val="00C7461D"/>
    <w:rsid w:val="00C7752C"/>
    <w:rsid w:val="00C80E73"/>
    <w:rsid w:val="00C81B7D"/>
    <w:rsid w:val="00C83612"/>
    <w:rsid w:val="00C84602"/>
    <w:rsid w:val="00C85167"/>
    <w:rsid w:val="00C904C8"/>
    <w:rsid w:val="00C921B7"/>
    <w:rsid w:val="00C921DB"/>
    <w:rsid w:val="00C926BE"/>
    <w:rsid w:val="00C93352"/>
    <w:rsid w:val="00C94549"/>
    <w:rsid w:val="00C945BC"/>
    <w:rsid w:val="00C94842"/>
    <w:rsid w:val="00C97D60"/>
    <w:rsid w:val="00CA2659"/>
    <w:rsid w:val="00CA3742"/>
    <w:rsid w:val="00CA545B"/>
    <w:rsid w:val="00CA55CA"/>
    <w:rsid w:val="00CA5FF1"/>
    <w:rsid w:val="00CA6A97"/>
    <w:rsid w:val="00CB13B4"/>
    <w:rsid w:val="00CB1FE4"/>
    <w:rsid w:val="00CB2D36"/>
    <w:rsid w:val="00CB4117"/>
    <w:rsid w:val="00CB47D6"/>
    <w:rsid w:val="00CB75C6"/>
    <w:rsid w:val="00CC4555"/>
    <w:rsid w:val="00CC554D"/>
    <w:rsid w:val="00CC79E3"/>
    <w:rsid w:val="00CD0DDE"/>
    <w:rsid w:val="00CD1F30"/>
    <w:rsid w:val="00CD2ACF"/>
    <w:rsid w:val="00CD3515"/>
    <w:rsid w:val="00CD534F"/>
    <w:rsid w:val="00CD79CE"/>
    <w:rsid w:val="00CE3FBA"/>
    <w:rsid w:val="00CE43FC"/>
    <w:rsid w:val="00CE51A1"/>
    <w:rsid w:val="00CE6105"/>
    <w:rsid w:val="00CE64AC"/>
    <w:rsid w:val="00CF1D6B"/>
    <w:rsid w:val="00CF1E9B"/>
    <w:rsid w:val="00CF3EDC"/>
    <w:rsid w:val="00CF3F2F"/>
    <w:rsid w:val="00CF6B0E"/>
    <w:rsid w:val="00CF7CF6"/>
    <w:rsid w:val="00D0330A"/>
    <w:rsid w:val="00D03603"/>
    <w:rsid w:val="00D046CC"/>
    <w:rsid w:val="00D06E88"/>
    <w:rsid w:val="00D078F8"/>
    <w:rsid w:val="00D109F9"/>
    <w:rsid w:val="00D14106"/>
    <w:rsid w:val="00D16473"/>
    <w:rsid w:val="00D22183"/>
    <w:rsid w:val="00D22B7F"/>
    <w:rsid w:val="00D230BE"/>
    <w:rsid w:val="00D23109"/>
    <w:rsid w:val="00D23D9E"/>
    <w:rsid w:val="00D2639A"/>
    <w:rsid w:val="00D30BDE"/>
    <w:rsid w:val="00D34DF2"/>
    <w:rsid w:val="00D375A7"/>
    <w:rsid w:val="00D37634"/>
    <w:rsid w:val="00D37D81"/>
    <w:rsid w:val="00D43881"/>
    <w:rsid w:val="00D43953"/>
    <w:rsid w:val="00D44032"/>
    <w:rsid w:val="00D44A3E"/>
    <w:rsid w:val="00D44D8D"/>
    <w:rsid w:val="00D50873"/>
    <w:rsid w:val="00D52CC1"/>
    <w:rsid w:val="00D532CC"/>
    <w:rsid w:val="00D55CC1"/>
    <w:rsid w:val="00D569B3"/>
    <w:rsid w:val="00D56B81"/>
    <w:rsid w:val="00D60AB0"/>
    <w:rsid w:val="00D611F0"/>
    <w:rsid w:val="00D6317A"/>
    <w:rsid w:val="00D63842"/>
    <w:rsid w:val="00D65AAE"/>
    <w:rsid w:val="00D668D0"/>
    <w:rsid w:val="00D71221"/>
    <w:rsid w:val="00D76B7F"/>
    <w:rsid w:val="00D8166C"/>
    <w:rsid w:val="00D8288A"/>
    <w:rsid w:val="00D8412D"/>
    <w:rsid w:val="00D84493"/>
    <w:rsid w:val="00D85175"/>
    <w:rsid w:val="00D866E7"/>
    <w:rsid w:val="00D86727"/>
    <w:rsid w:val="00D90B7B"/>
    <w:rsid w:val="00D91233"/>
    <w:rsid w:val="00D91376"/>
    <w:rsid w:val="00D92254"/>
    <w:rsid w:val="00D92624"/>
    <w:rsid w:val="00D93A56"/>
    <w:rsid w:val="00D941C7"/>
    <w:rsid w:val="00D94EAC"/>
    <w:rsid w:val="00D95BE9"/>
    <w:rsid w:val="00DA0764"/>
    <w:rsid w:val="00DA11E2"/>
    <w:rsid w:val="00DA71E9"/>
    <w:rsid w:val="00DA7B70"/>
    <w:rsid w:val="00DB06C0"/>
    <w:rsid w:val="00DB2451"/>
    <w:rsid w:val="00DB3B56"/>
    <w:rsid w:val="00DB65BE"/>
    <w:rsid w:val="00DB670E"/>
    <w:rsid w:val="00DB7106"/>
    <w:rsid w:val="00DC0702"/>
    <w:rsid w:val="00DC1456"/>
    <w:rsid w:val="00DC2A86"/>
    <w:rsid w:val="00DC2E58"/>
    <w:rsid w:val="00DD287C"/>
    <w:rsid w:val="00DD3C0D"/>
    <w:rsid w:val="00DD45A8"/>
    <w:rsid w:val="00DD55E5"/>
    <w:rsid w:val="00DD58A9"/>
    <w:rsid w:val="00DD5A53"/>
    <w:rsid w:val="00DD5F48"/>
    <w:rsid w:val="00DD69D3"/>
    <w:rsid w:val="00DE182C"/>
    <w:rsid w:val="00DE1A1C"/>
    <w:rsid w:val="00DE2162"/>
    <w:rsid w:val="00DE2CE6"/>
    <w:rsid w:val="00DE547D"/>
    <w:rsid w:val="00DE5714"/>
    <w:rsid w:val="00DF07F8"/>
    <w:rsid w:val="00DF0B08"/>
    <w:rsid w:val="00DF25A3"/>
    <w:rsid w:val="00DF4D32"/>
    <w:rsid w:val="00E013B7"/>
    <w:rsid w:val="00E02D61"/>
    <w:rsid w:val="00E0557B"/>
    <w:rsid w:val="00E1323F"/>
    <w:rsid w:val="00E135A5"/>
    <w:rsid w:val="00E147E5"/>
    <w:rsid w:val="00E15FAC"/>
    <w:rsid w:val="00E161DD"/>
    <w:rsid w:val="00E16932"/>
    <w:rsid w:val="00E1729A"/>
    <w:rsid w:val="00E20B54"/>
    <w:rsid w:val="00E21792"/>
    <w:rsid w:val="00E23377"/>
    <w:rsid w:val="00E23429"/>
    <w:rsid w:val="00E241A0"/>
    <w:rsid w:val="00E249CE"/>
    <w:rsid w:val="00E35B8D"/>
    <w:rsid w:val="00E361F9"/>
    <w:rsid w:val="00E36A2E"/>
    <w:rsid w:val="00E37FD4"/>
    <w:rsid w:val="00E41210"/>
    <w:rsid w:val="00E429AF"/>
    <w:rsid w:val="00E43E03"/>
    <w:rsid w:val="00E46A32"/>
    <w:rsid w:val="00E46F33"/>
    <w:rsid w:val="00E51C90"/>
    <w:rsid w:val="00E57270"/>
    <w:rsid w:val="00E57385"/>
    <w:rsid w:val="00E57D67"/>
    <w:rsid w:val="00E60A57"/>
    <w:rsid w:val="00E634C2"/>
    <w:rsid w:val="00E64191"/>
    <w:rsid w:val="00E648C5"/>
    <w:rsid w:val="00E70D09"/>
    <w:rsid w:val="00E7121B"/>
    <w:rsid w:val="00E71D44"/>
    <w:rsid w:val="00E7217C"/>
    <w:rsid w:val="00E7380E"/>
    <w:rsid w:val="00E7534E"/>
    <w:rsid w:val="00E75994"/>
    <w:rsid w:val="00E77CA1"/>
    <w:rsid w:val="00E77EC0"/>
    <w:rsid w:val="00E814DC"/>
    <w:rsid w:val="00E82B8B"/>
    <w:rsid w:val="00E8408B"/>
    <w:rsid w:val="00E8673C"/>
    <w:rsid w:val="00E9015D"/>
    <w:rsid w:val="00E9070F"/>
    <w:rsid w:val="00E90AB0"/>
    <w:rsid w:val="00E93E86"/>
    <w:rsid w:val="00E946E3"/>
    <w:rsid w:val="00E97366"/>
    <w:rsid w:val="00EA2F42"/>
    <w:rsid w:val="00EA36D4"/>
    <w:rsid w:val="00EA400B"/>
    <w:rsid w:val="00EA71DC"/>
    <w:rsid w:val="00EA7250"/>
    <w:rsid w:val="00EB2151"/>
    <w:rsid w:val="00EB2A11"/>
    <w:rsid w:val="00EB2BCF"/>
    <w:rsid w:val="00EB4CE9"/>
    <w:rsid w:val="00EB4FB9"/>
    <w:rsid w:val="00EB69A3"/>
    <w:rsid w:val="00EC00C1"/>
    <w:rsid w:val="00EC092A"/>
    <w:rsid w:val="00EC140D"/>
    <w:rsid w:val="00EC5AA2"/>
    <w:rsid w:val="00ED0B37"/>
    <w:rsid w:val="00ED1AEE"/>
    <w:rsid w:val="00ED2133"/>
    <w:rsid w:val="00ED301A"/>
    <w:rsid w:val="00ED34A4"/>
    <w:rsid w:val="00ED53B4"/>
    <w:rsid w:val="00EE0D30"/>
    <w:rsid w:val="00EE15EE"/>
    <w:rsid w:val="00EE21C2"/>
    <w:rsid w:val="00EE3941"/>
    <w:rsid w:val="00EE4D56"/>
    <w:rsid w:val="00EE5C89"/>
    <w:rsid w:val="00EF0F5A"/>
    <w:rsid w:val="00EF1602"/>
    <w:rsid w:val="00EF1633"/>
    <w:rsid w:val="00F107D5"/>
    <w:rsid w:val="00F118E1"/>
    <w:rsid w:val="00F12169"/>
    <w:rsid w:val="00F122D7"/>
    <w:rsid w:val="00F137E5"/>
    <w:rsid w:val="00F15ECF"/>
    <w:rsid w:val="00F17C3A"/>
    <w:rsid w:val="00F2156A"/>
    <w:rsid w:val="00F248C2"/>
    <w:rsid w:val="00F2735E"/>
    <w:rsid w:val="00F30AE4"/>
    <w:rsid w:val="00F31745"/>
    <w:rsid w:val="00F327A5"/>
    <w:rsid w:val="00F3503C"/>
    <w:rsid w:val="00F374D8"/>
    <w:rsid w:val="00F441CE"/>
    <w:rsid w:val="00F47636"/>
    <w:rsid w:val="00F5295C"/>
    <w:rsid w:val="00F54241"/>
    <w:rsid w:val="00F54EFF"/>
    <w:rsid w:val="00F56F4C"/>
    <w:rsid w:val="00F6067B"/>
    <w:rsid w:val="00F60927"/>
    <w:rsid w:val="00F62415"/>
    <w:rsid w:val="00F62756"/>
    <w:rsid w:val="00F62922"/>
    <w:rsid w:val="00F631A8"/>
    <w:rsid w:val="00F65E85"/>
    <w:rsid w:val="00F66696"/>
    <w:rsid w:val="00F67540"/>
    <w:rsid w:val="00F7192B"/>
    <w:rsid w:val="00F7377F"/>
    <w:rsid w:val="00F80B83"/>
    <w:rsid w:val="00F80D7D"/>
    <w:rsid w:val="00F82A73"/>
    <w:rsid w:val="00F8551F"/>
    <w:rsid w:val="00F91AF8"/>
    <w:rsid w:val="00F91CC4"/>
    <w:rsid w:val="00F929AF"/>
    <w:rsid w:val="00F9368D"/>
    <w:rsid w:val="00F939FB"/>
    <w:rsid w:val="00F96180"/>
    <w:rsid w:val="00FA0753"/>
    <w:rsid w:val="00FA1D5D"/>
    <w:rsid w:val="00FA2333"/>
    <w:rsid w:val="00FA4F38"/>
    <w:rsid w:val="00FB0CF1"/>
    <w:rsid w:val="00FB0DDE"/>
    <w:rsid w:val="00FB1105"/>
    <w:rsid w:val="00FB2779"/>
    <w:rsid w:val="00FB3E63"/>
    <w:rsid w:val="00FB55F7"/>
    <w:rsid w:val="00FB65AF"/>
    <w:rsid w:val="00FB6F3B"/>
    <w:rsid w:val="00FB7F0A"/>
    <w:rsid w:val="00FB7F40"/>
    <w:rsid w:val="00FC1D32"/>
    <w:rsid w:val="00FC2197"/>
    <w:rsid w:val="00FC301D"/>
    <w:rsid w:val="00FC3B9D"/>
    <w:rsid w:val="00FC42A3"/>
    <w:rsid w:val="00FC4C58"/>
    <w:rsid w:val="00FC5E62"/>
    <w:rsid w:val="00FC6E7C"/>
    <w:rsid w:val="00FD36A4"/>
    <w:rsid w:val="00FD6C36"/>
    <w:rsid w:val="00FD6CBA"/>
    <w:rsid w:val="00FD6D61"/>
    <w:rsid w:val="00FE0938"/>
    <w:rsid w:val="00FE225C"/>
    <w:rsid w:val="00FE3F74"/>
    <w:rsid w:val="00FE4349"/>
    <w:rsid w:val="00FE4E65"/>
    <w:rsid w:val="00FE4F5B"/>
    <w:rsid w:val="00FE4F91"/>
    <w:rsid w:val="00FF2763"/>
    <w:rsid w:val="00FF766C"/>
    <w:rsid w:val="00FF7E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A1C0"/>
  <w15:chartTrackingRefBased/>
  <w15:docId w15:val="{A918FAEB-57F3-44C8-A7A1-940E0E9E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18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77E"/>
    <w:pPr>
      <w:ind w:left="720"/>
      <w:contextualSpacing/>
    </w:pPr>
  </w:style>
  <w:style w:type="paragraph" w:customStyle="1" w:styleId="Default">
    <w:name w:val="Default"/>
    <w:basedOn w:val="Normal"/>
    <w:rsid w:val="009B344D"/>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70F09"/>
    <w:rPr>
      <w:color w:val="0563C1" w:themeColor="hyperlink"/>
      <w:u w:val="single"/>
    </w:rPr>
  </w:style>
  <w:style w:type="character" w:styleId="UnresolvedMention">
    <w:name w:val="Unresolved Mention"/>
    <w:basedOn w:val="DefaultParagraphFont"/>
    <w:uiPriority w:val="99"/>
    <w:semiHidden/>
    <w:unhideWhenUsed/>
    <w:rsid w:val="00170F09"/>
    <w:rPr>
      <w:color w:val="605E5C"/>
      <w:shd w:val="clear" w:color="auto" w:fill="E1DFDD"/>
    </w:rPr>
  </w:style>
  <w:style w:type="paragraph" w:styleId="NormalWeb">
    <w:name w:val="Normal (Web)"/>
    <w:basedOn w:val="Normal"/>
    <w:uiPriority w:val="99"/>
    <w:semiHidden/>
    <w:unhideWhenUsed/>
    <w:rsid w:val="009341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4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6112">
      <w:bodyDiv w:val="1"/>
      <w:marLeft w:val="0"/>
      <w:marRight w:val="0"/>
      <w:marTop w:val="0"/>
      <w:marBottom w:val="0"/>
      <w:divBdr>
        <w:top w:val="none" w:sz="0" w:space="0" w:color="auto"/>
        <w:left w:val="none" w:sz="0" w:space="0" w:color="auto"/>
        <w:bottom w:val="none" w:sz="0" w:space="0" w:color="auto"/>
        <w:right w:val="none" w:sz="0" w:space="0" w:color="auto"/>
      </w:divBdr>
    </w:div>
    <w:div w:id="132990212">
      <w:bodyDiv w:val="1"/>
      <w:marLeft w:val="0"/>
      <w:marRight w:val="0"/>
      <w:marTop w:val="0"/>
      <w:marBottom w:val="0"/>
      <w:divBdr>
        <w:top w:val="none" w:sz="0" w:space="0" w:color="auto"/>
        <w:left w:val="none" w:sz="0" w:space="0" w:color="auto"/>
        <w:bottom w:val="none" w:sz="0" w:space="0" w:color="auto"/>
        <w:right w:val="none" w:sz="0" w:space="0" w:color="auto"/>
      </w:divBdr>
    </w:div>
    <w:div w:id="138617025">
      <w:bodyDiv w:val="1"/>
      <w:marLeft w:val="0"/>
      <w:marRight w:val="0"/>
      <w:marTop w:val="0"/>
      <w:marBottom w:val="0"/>
      <w:divBdr>
        <w:top w:val="none" w:sz="0" w:space="0" w:color="auto"/>
        <w:left w:val="none" w:sz="0" w:space="0" w:color="auto"/>
        <w:bottom w:val="none" w:sz="0" w:space="0" w:color="auto"/>
        <w:right w:val="none" w:sz="0" w:space="0" w:color="auto"/>
      </w:divBdr>
    </w:div>
    <w:div w:id="202791920">
      <w:bodyDiv w:val="1"/>
      <w:marLeft w:val="0"/>
      <w:marRight w:val="0"/>
      <w:marTop w:val="0"/>
      <w:marBottom w:val="0"/>
      <w:divBdr>
        <w:top w:val="none" w:sz="0" w:space="0" w:color="auto"/>
        <w:left w:val="none" w:sz="0" w:space="0" w:color="auto"/>
        <w:bottom w:val="none" w:sz="0" w:space="0" w:color="auto"/>
        <w:right w:val="none" w:sz="0" w:space="0" w:color="auto"/>
      </w:divBdr>
    </w:div>
    <w:div w:id="275868956">
      <w:bodyDiv w:val="1"/>
      <w:marLeft w:val="0"/>
      <w:marRight w:val="0"/>
      <w:marTop w:val="0"/>
      <w:marBottom w:val="0"/>
      <w:divBdr>
        <w:top w:val="none" w:sz="0" w:space="0" w:color="auto"/>
        <w:left w:val="none" w:sz="0" w:space="0" w:color="auto"/>
        <w:bottom w:val="none" w:sz="0" w:space="0" w:color="auto"/>
        <w:right w:val="none" w:sz="0" w:space="0" w:color="auto"/>
      </w:divBdr>
      <w:divsChild>
        <w:div w:id="1142966241">
          <w:marLeft w:val="0"/>
          <w:marRight w:val="0"/>
          <w:marTop w:val="0"/>
          <w:marBottom w:val="0"/>
          <w:divBdr>
            <w:top w:val="none" w:sz="0" w:space="0" w:color="auto"/>
            <w:left w:val="none" w:sz="0" w:space="0" w:color="auto"/>
            <w:bottom w:val="none" w:sz="0" w:space="0" w:color="auto"/>
            <w:right w:val="none" w:sz="0" w:space="0" w:color="auto"/>
          </w:divBdr>
        </w:div>
      </w:divsChild>
    </w:div>
    <w:div w:id="314341216">
      <w:bodyDiv w:val="1"/>
      <w:marLeft w:val="0"/>
      <w:marRight w:val="0"/>
      <w:marTop w:val="0"/>
      <w:marBottom w:val="0"/>
      <w:divBdr>
        <w:top w:val="none" w:sz="0" w:space="0" w:color="auto"/>
        <w:left w:val="none" w:sz="0" w:space="0" w:color="auto"/>
        <w:bottom w:val="none" w:sz="0" w:space="0" w:color="auto"/>
        <w:right w:val="none" w:sz="0" w:space="0" w:color="auto"/>
      </w:divBdr>
    </w:div>
    <w:div w:id="329677671">
      <w:bodyDiv w:val="1"/>
      <w:marLeft w:val="0"/>
      <w:marRight w:val="0"/>
      <w:marTop w:val="0"/>
      <w:marBottom w:val="0"/>
      <w:divBdr>
        <w:top w:val="none" w:sz="0" w:space="0" w:color="auto"/>
        <w:left w:val="none" w:sz="0" w:space="0" w:color="auto"/>
        <w:bottom w:val="none" w:sz="0" w:space="0" w:color="auto"/>
        <w:right w:val="none" w:sz="0" w:space="0" w:color="auto"/>
      </w:divBdr>
    </w:div>
    <w:div w:id="351956967">
      <w:bodyDiv w:val="1"/>
      <w:marLeft w:val="0"/>
      <w:marRight w:val="0"/>
      <w:marTop w:val="0"/>
      <w:marBottom w:val="0"/>
      <w:divBdr>
        <w:top w:val="none" w:sz="0" w:space="0" w:color="auto"/>
        <w:left w:val="none" w:sz="0" w:space="0" w:color="auto"/>
        <w:bottom w:val="none" w:sz="0" w:space="0" w:color="auto"/>
        <w:right w:val="none" w:sz="0" w:space="0" w:color="auto"/>
      </w:divBdr>
    </w:div>
    <w:div w:id="369308475">
      <w:bodyDiv w:val="1"/>
      <w:marLeft w:val="0"/>
      <w:marRight w:val="0"/>
      <w:marTop w:val="0"/>
      <w:marBottom w:val="0"/>
      <w:divBdr>
        <w:top w:val="none" w:sz="0" w:space="0" w:color="auto"/>
        <w:left w:val="none" w:sz="0" w:space="0" w:color="auto"/>
        <w:bottom w:val="none" w:sz="0" w:space="0" w:color="auto"/>
        <w:right w:val="none" w:sz="0" w:space="0" w:color="auto"/>
      </w:divBdr>
    </w:div>
    <w:div w:id="382561311">
      <w:bodyDiv w:val="1"/>
      <w:marLeft w:val="0"/>
      <w:marRight w:val="0"/>
      <w:marTop w:val="0"/>
      <w:marBottom w:val="0"/>
      <w:divBdr>
        <w:top w:val="none" w:sz="0" w:space="0" w:color="auto"/>
        <w:left w:val="none" w:sz="0" w:space="0" w:color="auto"/>
        <w:bottom w:val="none" w:sz="0" w:space="0" w:color="auto"/>
        <w:right w:val="none" w:sz="0" w:space="0" w:color="auto"/>
      </w:divBdr>
      <w:divsChild>
        <w:div w:id="1881744817">
          <w:marLeft w:val="0"/>
          <w:marRight w:val="0"/>
          <w:marTop w:val="0"/>
          <w:marBottom w:val="0"/>
          <w:divBdr>
            <w:top w:val="none" w:sz="0" w:space="0" w:color="auto"/>
            <w:left w:val="none" w:sz="0" w:space="0" w:color="auto"/>
            <w:bottom w:val="none" w:sz="0" w:space="0" w:color="auto"/>
            <w:right w:val="none" w:sz="0" w:space="0" w:color="auto"/>
          </w:divBdr>
          <w:divsChild>
            <w:div w:id="802237626">
              <w:marLeft w:val="0"/>
              <w:marRight w:val="0"/>
              <w:marTop w:val="0"/>
              <w:marBottom w:val="0"/>
              <w:divBdr>
                <w:top w:val="none" w:sz="0" w:space="0" w:color="auto"/>
                <w:left w:val="none" w:sz="0" w:space="0" w:color="auto"/>
                <w:bottom w:val="none" w:sz="0" w:space="0" w:color="auto"/>
                <w:right w:val="none" w:sz="0" w:space="0" w:color="auto"/>
              </w:divBdr>
              <w:divsChild>
                <w:div w:id="1928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13962">
      <w:bodyDiv w:val="1"/>
      <w:marLeft w:val="0"/>
      <w:marRight w:val="0"/>
      <w:marTop w:val="0"/>
      <w:marBottom w:val="0"/>
      <w:divBdr>
        <w:top w:val="none" w:sz="0" w:space="0" w:color="auto"/>
        <w:left w:val="none" w:sz="0" w:space="0" w:color="auto"/>
        <w:bottom w:val="none" w:sz="0" w:space="0" w:color="auto"/>
        <w:right w:val="none" w:sz="0" w:space="0" w:color="auto"/>
      </w:divBdr>
    </w:div>
    <w:div w:id="568661270">
      <w:bodyDiv w:val="1"/>
      <w:marLeft w:val="0"/>
      <w:marRight w:val="0"/>
      <w:marTop w:val="0"/>
      <w:marBottom w:val="0"/>
      <w:divBdr>
        <w:top w:val="none" w:sz="0" w:space="0" w:color="auto"/>
        <w:left w:val="none" w:sz="0" w:space="0" w:color="auto"/>
        <w:bottom w:val="none" w:sz="0" w:space="0" w:color="auto"/>
        <w:right w:val="none" w:sz="0" w:space="0" w:color="auto"/>
      </w:divBdr>
    </w:div>
    <w:div w:id="569386063">
      <w:bodyDiv w:val="1"/>
      <w:marLeft w:val="0"/>
      <w:marRight w:val="0"/>
      <w:marTop w:val="0"/>
      <w:marBottom w:val="0"/>
      <w:divBdr>
        <w:top w:val="none" w:sz="0" w:space="0" w:color="auto"/>
        <w:left w:val="none" w:sz="0" w:space="0" w:color="auto"/>
        <w:bottom w:val="none" w:sz="0" w:space="0" w:color="auto"/>
        <w:right w:val="none" w:sz="0" w:space="0" w:color="auto"/>
      </w:divBdr>
    </w:div>
    <w:div w:id="677511534">
      <w:bodyDiv w:val="1"/>
      <w:marLeft w:val="0"/>
      <w:marRight w:val="0"/>
      <w:marTop w:val="0"/>
      <w:marBottom w:val="0"/>
      <w:divBdr>
        <w:top w:val="none" w:sz="0" w:space="0" w:color="auto"/>
        <w:left w:val="none" w:sz="0" w:space="0" w:color="auto"/>
        <w:bottom w:val="none" w:sz="0" w:space="0" w:color="auto"/>
        <w:right w:val="none" w:sz="0" w:space="0" w:color="auto"/>
      </w:divBdr>
    </w:div>
    <w:div w:id="720137343">
      <w:bodyDiv w:val="1"/>
      <w:marLeft w:val="0"/>
      <w:marRight w:val="0"/>
      <w:marTop w:val="0"/>
      <w:marBottom w:val="0"/>
      <w:divBdr>
        <w:top w:val="none" w:sz="0" w:space="0" w:color="auto"/>
        <w:left w:val="none" w:sz="0" w:space="0" w:color="auto"/>
        <w:bottom w:val="none" w:sz="0" w:space="0" w:color="auto"/>
        <w:right w:val="none" w:sz="0" w:space="0" w:color="auto"/>
      </w:divBdr>
    </w:div>
    <w:div w:id="783110989">
      <w:bodyDiv w:val="1"/>
      <w:marLeft w:val="0"/>
      <w:marRight w:val="0"/>
      <w:marTop w:val="0"/>
      <w:marBottom w:val="0"/>
      <w:divBdr>
        <w:top w:val="none" w:sz="0" w:space="0" w:color="auto"/>
        <w:left w:val="none" w:sz="0" w:space="0" w:color="auto"/>
        <w:bottom w:val="none" w:sz="0" w:space="0" w:color="auto"/>
        <w:right w:val="none" w:sz="0" w:space="0" w:color="auto"/>
      </w:divBdr>
      <w:divsChild>
        <w:div w:id="352999121">
          <w:marLeft w:val="0"/>
          <w:marRight w:val="0"/>
          <w:marTop w:val="0"/>
          <w:marBottom w:val="0"/>
          <w:divBdr>
            <w:top w:val="none" w:sz="0" w:space="0" w:color="auto"/>
            <w:left w:val="none" w:sz="0" w:space="0" w:color="auto"/>
            <w:bottom w:val="none" w:sz="0" w:space="0" w:color="auto"/>
            <w:right w:val="none" w:sz="0" w:space="0" w:color="auto"/>
          </w:divBdr>
        </w:div>
      </w:divsChild>
    </w:div>
    <w:div w:id="954795447">
      <w:bodyDiv w:val="1"/>
      <w:marLeft w:val="0"/>
      <w:marRight w:val="0"/>
      <w:marTop w:val="0"/>
      <w:marBottom w:val="0"/>
      <w:divBdr>
        <w:top w:val="none" w:sz="0" w:space="0" w:color="auto"/>
        <w:left w:val="none" w:sz="0" w:space="0" w:color="auto"/>
        <w:bottom w:val="none" w:sz="0" w:space="0" w:color="auto"/>
        <w:right w:val="none" w:sz="0" w:space="0" w:color="auto"/>
      </w:divBdr>
    </w:div>
    <w:div w:id="1148326023">
      <w:bodyDiv w:val="1"/>
      <w:marLeft w:val="0"/>
      <w:marRight w:val="0"/>
      <w:marTop w:val="0"/>
      <w:marBottom w:val="0"/>
      <w:divBdr>
        <w:top w:val="none" w:sz="0" w:space="0" w:color="auto"/>
        <w:left w:val="none" w:sz="0" w:space="0" w:color="auto"/>
        <w:bottom w:val="none" w:sz="0" w:space="0" w:color="auto"/>
        <w:right w:val="none" w:sz="0" w:space="0" w:color="auto"/>
      </w:divBdr>
    </w:div>
    <w:div w:id="1304430073">
      <w:bodyDiv w:val="1"/>
      <w:marLeft w:val="0"/>
      <w:marRight w:val="0"/>
      <w:marTop w:val="0"/>
      <w:marBottom w:val="0"/>
      <w:divBdr>
        <w:top w:val="none" w:sz="0" w:space="0" w:color="auto"/>
        <w:left w:val="none" w:sz="0" w:space="0" w:color="auto"/>
        <w:bottom w:val="none" w:sz="0" w:space="0" w:color="auto"/>
        <w:right w:val="none" w:sz="0" w:space="0" w:color="auto"/>
      </w:divBdr>
    </w:div>
    <w:div w:id="1406143854">
      <w:bodyDiv w:val="1"/>
      <w:marLeft w:val="0"/>
      <w:marRight w:val="0"/>
      <w:marTop w:val="0"/>
      <w:marBottom w:val="0"/>
      <w:divBdr>
        <w:top w:val="none" w:sz="0" w:space="0" w:color="auto"/>
        <w:left w:val="none" w:sz="0" w:space="0" w:color="auto"/>
        <w:bottom w:val="none" w:sz="0" w:space="0" w:color="auto"/>
        <w:right w:val="none" w:sz="0" w:space="0" w:color="auto"/>
      </w:divBdr>
    </w:div>
    <w:div w:id="1466046207">
      <w:bodyDiv w:val="1"/>
      <w:marLeft w:val="0"/>
      <w:marRight w:val="0"/>
      <w:marTop w:val="0"/>
      <w:marBottom w:val="0"/>
      <w:divBdr>
        <w:top w:val="none" w:sz="0" w:space="0" w:color="auto"/>
        <w:left w:val="none" w:sz="0" w:space="0" w:color="auto"/>
        <w:bottom w:val="none" w:sz="0" w:space="0" w:color="auto"/>
        <w:right w:val="none" w:sz="0" w:space="0" w:color="auto"/>
      </w:divBdr>
    </w:div>
    <w:div w:id="1541631752">
      <w:bodyDiv w:val="1"/>
      <w:marLeft w:val="0"/>
      <w:marRight w:val="0"/>
      <w:marTop w:val="0"/>
      <w:marBottom w:val="0"/>
      <w:divBdr>
        <w:top w:val="none" w:sz="0" w:space="0" w:color="auto"/>
        <w:left w:val="none" w:sz="0" w:space="0" w:color="auto"/>
        <w:bottom w:val="none" w:sz="0" w:space="0" w:color="auto"/>
        <w:right w:val="none" w:sz="0" w:space="0" w:color="auto"/>
      </w:divBdr>
    </w:div>
    <w:div w:id="1591156162">
      <w:bodyDiv w:val="1"/>
      <w:marLeft w:val="0"/>
      <w:marRight w:val="0"/>
      <w:marTop w:val="0"/>
      <w:marBottom w:val="0"/>
      <w:divBdr>
        <w:top w:val="none" w:sz="0" w:space="0" w:color="auto"/>
        <w:left w:val="none" w:sz="0" w:space="0" w:color="auto"/>
        <w:bottom w:val="none" w:sz="0" w:space="0" w:color="auto"/>
        <w:right w:val="none" w:sz="0" w:space="0" w:color="auto"/>
      </w:divBdr>
    </w:div>
    <w:div w:id="1621258792">
      <w:bodyDiv w:val="1"/>
      <w:marLeft w:val="0"/>
      <w:marRight w:val="0"/>
      <w:marTop w:val="0"/>
      <w:marBottom w:val="0"/>
      <w:divBdr>
        <w:top w:val="none" w:sz="0" w:space="0" w:color="auto"/>
        <w:left w:val="none" w:sz="0" w:space="0" w:color="auto"/>
        <w:bottom w:val="none" w:sz="0" w:space="0" w:color="auto"/>
        <w:right w:val="none" w:sz="0" w:space="0" w:color="auto"/>
      </w:divBdr>
    </w:div>
    <w:div w:id="1690182958">
      <w:bodyDiv w:val="1"/>
      <w:marLeft w:val="0"/>
      <w:marRight w:val="0"/>
      <w:marTop w:val="0"/>
      <w:marBottom w:val="0"/>
      <w:divBdr>
        <w:top w:val="none" w:sz="0" w:space="0" w:color="auto"/>
        <w:left w:val="none" w:sz="0" w:space="0" w:color="auto"/>
        <w:bottom w:val="none" w:sz="0" w:space="0" w:color="auto"/>
        <w:right w:val="none" w:sz="0" w:space="0" w:color="auto"/>
      </w:divBdr>
    </w:div>
    <w:div w:id="1754621296">
      <w:bodyDiv w:val="1"/>
      <w:marLeft w:val="0"/>
      <w:marRight w:val="0"/>
      <w:marTop w:val="0"/>
      <w:marBottom w:val="0"/>
      <w:divBdr>
        <w:top w:val="none" w:sz="0" w:space="0" w:color="auto"/>
        <w:left w:val="none" w:sz="0" w:space="0" w:color="auto"/>
        <w:bottom w:val="none" w:sz="0" w:space="0" w:color="auto"/>
        <w:right w:val="none" w:sz="0" w:space="0" w:color="auto"/>
      </w:divBdr>
    </w:div>
    <w:div w:id="1756319970">
      <w:bodyDiv w:val="1"/>
      <w:marLeft w:val="0"/>
      <w:marRight w:val="0"/>
      <w:marTop w:val="0"/>
      <w:marBottom w:val="0"/>
      <w:divBdr>
        <w:top w:val="none" w:sz="0" w:space="0" w:color="auto"/>
        <w:left w:val="none" w:sz="0" w:space="0" w:color="auto"/>
        <w:bottom w:val="none" w:sz="0" w:space="0" w:color="auto"/>
        <w:right w:val="none" w:sz="0" w:space="0" w:color="auto"/>
      </w:divBdr>
    </w:div>
    <w:div w:id="1891455572">
      <w:bodyDiv w:val="1"/>
      <w:marLeft w:val="0"/>
      <w:marRight w:val="0"/>
      <w:marTop w:val="0"/>
      <w:marBottom w:val="0"/>
      <w:divBdr>
        <w:top w:val="none" w:sz="0" w:space="0" w:color="auto"/>
        <w:left w:val="none" w:sz="0" w:space="0" w:color="auto"/>
        <w:bottom w:val="none" w:sz="0" w:space="0" w:color="auto"/>
        <w:right w:val="none" w:sz="0" w:space="0" w:color="auto"/>
      </w:divBdr>
    </w:div>
    <w:div w:id="1925995957">
      <w:bodyDiv w:val="1"/>
      <w:marLeft w:val="0"/>
      <w:marRight w:val="0"/>
      <w:marTop w:val="0"/>
      <w:marBottom w:val="0"/>
      <w:divBdr>
        <w:top w:val="none" w:sz="0" w:space="0" w:color="auto"/>
        <w:left w:val="none" w:sz="0" w:space="0" w:color="auto"/>
        <w:bottom w:val="none" w:sz="0" w:space="0" w:color="auto"/>
        <w:right w:val="none" w:sz="0" w:space="0" w:color="auto"/>
      </w:divBdr>
      <w:divsChild>
        <w:div w:id="1926189501">
          <w:marLeft w:val="0"/>
          <w:marRight w:val="0"/>
          <w:marTop w:val="0"/>
          <w:marBottom w:val="0"/>
          <w:divBdr>
            <w:top w:val="none" w:sz="0" w:space="0" w:color="auto"/>
            <w:left w:val="none" w:sz="0" w:space="0" w:color="auto"/>
            <w:bottom w:val="none" w:sz="0" w:space="0" w:color="auto"/>
            <w:right w:val="none" w:sz="0" w:space="0" w:color="auto"/>
          </w:divBdr>
          <w:divsChild>
            <w:div w:id="864827669">
              <w:marLeft w:val="0"/>
              <w:marRight w:val="0"/>
              <w:marTop w:val="0"/>
              <w:marBottom w:val="0"/>
              <w:divBdr>
                <w:top w:val="none" w:sz="0" w:space="0" w:color="auto"/>
                <w:left w:val="none" w:sz="0" w:space="0" w:color="auto"/>
                <w:bottom w:val="none" w:sz="0" w:space="0" w:color="auto"/>
                <w:right w:val="none" w:sz="0" w:space="0" w:color="auto"/>
              </w:divBdr>
              <w:divsChild>
                <w:div w:id="4945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4250C-84B2-444F-9D47-FAFB9FDC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Links>
    <vt:vector size="6" baseType="variant">
      <vt:variant>
        <vt:i4>917586</vt:i4>
      </vt:variant>
      <vt:variant>
        <vt:i4>0</vt:i4>
      </vt:variant>
      <vt:variant>
        <vt:i4>0</vt:i4>
      </vt:variant>
      <vt:variant>
        <vt:i4>5</vt:i4>
      </vt:variant>
      <vt:variant>
        <vt:lpwstr>https://event.on24.com/wcc/r/3997687/51A2581ED2C0021B1D3F45F3E4238715?elqcst=272&amp;elqcsid=926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Romlin</dc:creator>
  <cp:keywords/>
  <dc:description/>
  <cp:lastModifiedBy>Brittany Dean</cp:lastModifiedBy>
  <cp:revision>96</cp:revision>
  <dcterms:created xsi:type="dcterms:W3CDTF">2022-12-09T15:48:00Z</dcterms:created>
  <dcterms:modified xsi:type="dcterms:W3CDTF">2022-12-13T21:02:00Z</dcterms:modified>
</cp:coreProperties>
</file>