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3-Accent3"/>
        <w:tblW w:w="5000" w:type="pct"/>
        <w:tblLook w:val="04A0" w:firstRow="1" w:lastRow="0" w:firstColumn="1" w:lastColumn="0" w:noHBand="0" w:noVBand="1"/>
      </w:tblPr>
      <w:tblGrid>
        <w:gridCol w:w="2880"/>
        <w:gridCol w:w="8821"/>
        <w:gridCol w:w="2699"/>
      </w:tblGrid>
      <w:tr w:rsidR="006D1DAF" w:rsidRPr="006D1DAF" w:rsidTr="002CA8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tcBorders>
              <w:bottom w:val="single" w:sz="18" w:space="0" w:color="E7E6E6" w:themeColor="background2"/>
              <w:right w:val="single" w:sz="18" w:space="0" w:color="E7E6E6" w:themeColor="background2"/>
            </w:tcBorders>
            <w:shd w:val="clear" w:color="auto" w:fill="002060"/>
          </w:tcPr>
          <w:p w:rsidR="00EB3947" w:rsidRPr="006D1DAF" w:rsidRDefault="00EB3947" w:rsidP="006D1DAF">
            <w:pPr>
              <w:jc w:val="left"/>
              <w:rPr>
                <w:color w:val="E7E6E6" w:themeColor="background2"/>
                <w:sz w:val="20"/>
              </w:rPr>
            </w:pPr>
            <w:r w:rsidRPr="006D1DAF">
              <w:rPr>
                <w:color w:val="E7E6E6" w:themeColor="background2"/>
                <w:sz w:val="20"/>
              </w:rPr>
              <w:t xml:space="preserve">Transaction Type </w:t>
            </w:r>
            <w:r w:rsidRPr="006D1DAF">
              <w:rPr>
                <w:color w:val="E7E6E6" w:themeColor="background2"/>
                <w:sz w:val="20"/>
              </w:rPr>
              <w:br/>
              <w:t>Best Interest and Suitability Apply</w:t>
            </w:r>
          </w:p>
        </w:tc>
        <w:tc>
          <w:tcPr>
            <w:tcW w:w="3063" w:type="pct"/>
            <w:tcBorders>
              <w:left w:val="single" w:sz="18" w:space="0" w:color="E7E6E6" w:themeColor="background2"/>
              <w:right w:val="single" w:sz="18" w:space="0" w:color="E7E6E6" w:themeColor="background2"/>
            </w:tcBorders>
            <w:shd w:val="clear" w:color="auto" w:fill="002060"/>
          </w:tcPr>
          <w:p w:rsidR="00941D06" w:rsidRPr="006D1DAF" w:rsidRDefault="00EB3947" w:rsidP="00941D06">
            <w:pPr>
              <w:cnfStyle w:val="100000000000" w:firstRow="1" w:lastRow="0" w:firstColumn="0" w:lastColumn="0" w:oddVBand="0" w:evenVBand="0" w:oddHBand="0" w:evenHBand="0" w:firstRowFirstColumn="0" w:firstRowLastColumn="0" w:lastRowFirstColumn="0" w:lastRowLastColumn="0"/>
              <w:rPr>
                <w:color w:val="E7E6E6" w:themeColor="background2"/>
                <w:sz w:val="20"/>
              </w:rPr>
            </w:pPr>
            <w:r w:rsidRPr="006D1DAF">
              <w:rPr>
                <w:color w:val="E7E6E6" w:themeColor="background2"/>
                <w:sz w:val="20"/>
              </w:rPr>
              <w:t>Requirements</w:t>
            </w:r>
            <w:r w:rsidR="00D91AAE">
              <w:rPr>
                <w:color w:val="E7E6E6" w:themeColor="background2"/>
                <w:sz w:val="20"/>
              </w:rPr>
              <w:t>:</w:t>
            </w:r>
          </w:p>
          <w:p w:rsidR="00EB3947" w:rsidRPr="006D1DAF" w:rsidRDefault="00EB3947" w:rsidP="00941D06">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b w:val="0"/>
                <w:color w:val="E7E6E6" w:themeColor="background2"/>
                <w:sz w:val="20"/>
              </w:rPr>
            </w:pPr>
            <w:r w:rsidRPr="006D1DAF">
              <w:rPr>
                <w:b w:val="0"/>
                <w:color w:val="E7E6E6" w:themeColor="background2"/>
                <w:sz w:val="20"/>
              </w:rPr>
              <w:t>Best Interest Training</w:t>
            </w:r>
          </w:p>
          <w:p w:rsidR="00EB3947" w:rsidRPr="006D1DAF" w:rsidRDefault="00EB3947" w:rsidP="00941D06">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b w:val="0"/>
                <w:color w:val="E7E6E6" w:themeColor="background2"/>
                <w:sz w:val="20"/>
              </w:rPr>
            </w:pPr>
            <w:r w:rsidRPr="006D1DAF">
              <w:rPr>
                <w:b w:val="0"/>
                <w:color w:val="E7E6E6" w:themeColor="background2"/>
                <w:sz w:val="20"/>
              </w:rPr>
              <w:t>Product Training</w:t>
            </w:r>
          </w:p>
          <w:p w:rsidR="00EB3947" w:rsidRPr="006D1DAF" w:rsidRDefault="00EB3947" w:rsidP="00941D06">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b w:val="0"/>
                <w:color w:val="E7E6E6" w:themeColor="background2"/>
                <w:sz w:val="20"/>
              </w:rPr>
            </w:pPr>
            <w:r w:rsidRPr="006D1DAF">
              <w:rPr>
                <w:b w:val="0"/>
                <w:color w:val="E7E6E6" w:themeColor="background2"/>
                <w:sz w:val="20"/>
              </w:rPr>
              <w:t>Provide Producer Proprietary Disclosure (only need to be provided once per client per producer)</w:t>
            </w:r>
          </w:p>
          <w:p w:rsidR="007A7EA1" w:rsidRPr="006D1DAF" w:rsidRDefault="007A7EA1" w:rsidP="00941D06">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color w:val="E7E6E6" w:themeColor="background2"/>
                <w:sz w:val="20"/>
              </w:rPr>
            </w:pPr>
            <w:r w:rsidRPr="006D1DAF">
              <w:rPr>
                <w:b w:val="0"/>
                <w:color w:val="E7E6E6" w:themeColor="background2"/>
                <w:sz w:val="20"/>
              </w:rPr>
              <w:t>Keep complete Case Notes in Client Files</w:t>
            </w:r>
          </w:p>
        </w:tc>
        <w:tc>
          <w:tcPr>
            <w:tcW w:w="938" w:type="pct"/>
            <w:tcBorders>
              <w:left w:val="single" w:sz="18" w:space="0" w:color="E7E6E6" w:themeColor="background2"/>
            </w:tcBorders>
            <w:shd w:val="clear" w:color="auto" w:fill="002060"/>
          </w:tcPr>
          <w:p w:rsidR="006477B5" w:rsidRDefault="006477B5" w:rsidP="006477B5">
            <w:pPr>
              <w:cnfStyle w:val="100000000000" w:firstRow="1" w:lastRow="0" w:firstColumn="0" w:lastColumn="0" w:oddVBand="0" w:evenVBand="0" w:oddHBand="0" w:evenHBand="0" w:firstRowFirstColumn="0" w:firstRowLastColumn="0" w:lastRowFirstColumn="0" w:lastRowLastColumn="0"/>
              <w:rPr>
                <w:b w:val="0"/>
                <w:bCs w:val="0"/>
                <w:color w:val="E7E6E6" w:themeColor="background2"/>
                <w:sz w:val="20"/>
              </w:rPr>
            </w:pPr>
          </w:p>
          <w:p w:rsidR="006477B5" w:rsidRDefault="006477B5" w:rsidP="006477B5">
            <w:pPr>
              <w:cnfStyle w:val="100000000000" w:firstRow="1" w:lastRow="0" w:firstColumn="0" w:lastColumn="0" w:oddVBand="0" w:evenVBand="0" w:oddHBand="0" w:evenHBand="0" w:firstRowFirstColumn="0" w:firstRowLastColumn="0" w:lastRowFirstColumn="0" w:lastRowLastColumn="0"/>
              <w:rPr>
                <w:b w:val="0"/>
                <w:bCs w:val="0"/>
                <w:i/>
                <w:iCs/>
                <w:color w:val="E7E6E6" w:themeColor="background2"/>
                <w:sz w:val="20"/>
              </w:rPr>
            </w:pPr>
          </w:p>
          <w:p w:rsidR="006477B5" w:rsidRPr="006477B5" w:rsidRDefault="006477B5" w:rsidP="006477B5">
            <w:pPr>
              <w:cnfStyle w:val="100000000000" w:firstRow="1" w:lastRow="0" w:firstColumn="0" w:lastColumn="0" w:oddVBand="0" w:evenVBand="0" w:oddHBand="0" w:evenHBand="0" w:firstRowFirstColumn="0" w:firstRowLastColumn="0" w:lastRowFirstColumn="0" w:lastRowLastColumn="0"/>
              <w:rPr>
                <w:i/>
                <w:iCs/>
                <w:color w:val="E7E6E6" w:themeColor="background2"/>
                <w:sz w:val="20"/>
              </w:rPr>
            </w:pPr>
            <w:bookmarkStart w:id="0" w:name="_GoBack"/>
            <w:bookmarkEnd w:id="0"/>
            <w:r w:rsidRPr="006477B5">
              <w:rPr>
                <w:i/>
                <w:iCs/>
                <w:color w:val="E7E6E6" w:themeColor="background2"/>
                <w:sz w:val="20"/>
              </w:rPr>
              <w:t>Reference Materials</w:t>
            </w:r>
          </w:p>
          <w:p w:rsidR="006D1DAF" w:rsidRPr="00283FCA" w:rsidRDefault="006D1DAF" w:rsidP="00283FCA">
            <w:pPr>
              <w:cnfStyle w:val="100000000000" w:firstRow="1" w:lastRow="0" w:firstColumn="0" w:lastColumn="0" w:oddVBand="0" w:evenVBand="0" w:oddHBand="0" w:evenHBand="0" w:firstRowFirstColumn="0" w:firstRowLastColumn="0" w:lastRowFirstColumn="0" w:lastRowLastColumn="0"/>
              <w:rPr>
                <w:b w:val="0"/>
                <w:bCs w:val="0"/>
                <w:color w:val="E7E6E6" w:themeColor="background2"/>
                <w:sz w:val="20"/>
              </w:rPr>
            </w:pPr>
          </w:p>
        </w:tc>
      </w:tr>
      <w:tr w:rsidR="00F80CCD" w:rsidRPr="006D1DAF" w:rsidTr="002CA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single" w:sz="18" w:space="0" w:color="E7E6E6" w:themeColor="background2"/>
            </w:tcBorders>
            <w:shd w:val="clear" w:color="auto" w:fill="002060"/>
            <w:vAlign w:val="center"/>
          </w:tcPr>
          <w:p w:rsidR="00F80CCD" w:rsidRPr="009337AC" w:rsidRDefault="00F80CCD" w:rsidP="00E6670A">
            <w:pPr>
              <w:spacing w:before="120" w:after="120"/>
              <w:jc w:val="left"/>
              <w:rPr>
                <w:b/>
                <w:color w:val="E7E6E6" w:themeColor="background2"/>
                <w:sz w:val="20"/>
              </w:rPr>
            </w:pPr>
            <w:r w:rsidRPr="009337AC">
              <w:rPr>
                <w:b/>
                <w:color w:val="E7E6E6" w:themeColor="background2"/>
                <w:sz w:val="20"/>
              </w:rPr>
              <w:t xml:space="preserve">Illustrations – </w:t>
            </w:r>
            <w:r w:rsidR="00B428EB">
              <w:rPr>
                <w:b/>
                <w:color w:val="E7E6E6" w:themeColor="background2"/>
                <w:sz w:val="20"/>
              </w:rPr>
              <w:t>Best Practices</w:t>
            </w:r>
          </w:p>
        </w:tc>
        <w:tc>
          <w:tcPr>
            <w:tcW w:w="3063" w:type="pct"/>
          </w:tcPr>
          <w:p w:rsidR="00F80CCD" w:rsidRPr="00B428EB" w:rsidRDefault="00F80CCD" w:rsidP="00B428EB">
            <w:pPr>
              <w:pStyle w:val="ListParagraph"/>
              <w:numPr>
                <w:ilvl w:val="0"/>
                <w:numId w:val="25"/>
              </w:numPr>
              <w:spacing w:before="120" w:after="120"/>
              <w:cnfStyle w:val="000000100000" w:firstRow="0" w:lastRow="0" w:firstColumn="0" w:lastColumn="0" w:oddVBand="0" w:evenVBand="0" w:oddHBand="1" w:evenHBand="0" w:firstRowFirstColumn="0" w:firstRowLastColumn="0" w:lastRowFirstColumn="0" w:lastRowLastColumn="0"/>
              <w:rPr>
                <w:sz w:val="20"/>
              </w:rPr>
            </w:pPr>
            <w:r w:rsidRPr="00B428EB">
              <w:rPr>
                <w:sz w:val="20"/>
              </w:rPr>
              <w:t xml:space="preserve">A signed illustration will be needed any time EZ app can be used.  Examples (not a </w:t>
            </w:r>
            <w:r w:rsidR="00606E4D" w:rsidRPr="00B428EB">
              <w:rPr>
                <w:sz w:val="20"/>
              </w:rPr>
              <w:t>complete</w:t>
            </w:r>
            <w:r w:rsidRPr="00B428EB">
              <w:rPr>
                <w:sz w:val="20"/>
              </w:rPr>
              <w:t xml:space="preserve"> list) include:</w:t>
            </w:r>
          </w:p>
          <w:p w:rsidR="00F80CCD" w:rsidRPr="006D1DAF" w:rsidRDefault="00F80CCD" w:rsidP="00E6670A">
            <w:pPr>
              <w:pStyle w:val="ListParagraph"/>
              <w:numPr>
                <w:ilvl w:val="0"/>
                <w:numId w:val="19"/>
              </w:num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New Policy</w:t>
            </w:r>
          </w:p>
          <w:p w:rsidR="00F80CCD" w:rsidRPr="006D1DAF" w:rsidRDefault="00F80CCD" w:rsidP="00E6670A">
            <w:pPr>
              <w:pStyle w:val="ListParagraph"/>
              <w:numPr>
                <w:ilvl w:val="0"/>
                <w:numId w:val="19"/>
              </w:num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Term to Perm Conversions</w:t>
            </w:r>
          </w:p>
          <w:p w:rsidR="00F80CCD" w:rsidRDefault="00F80CCD" w:rsidP="00E6670A">
            <w:pPr>
              <w:pStyle w:val="ListParagraph"/>
              <w:numPr>
                <w:ilvl w:val="0"/>
                <w:numId w:val="19"/>
              </w:num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Owner change if policy is inforce less than 90 days</w:t>
            </w:r>
          </w:p>
          <w:p w:rsidR="007E35E0" w:rsidRDefault="007E35E0" w:rsidP="007E35E0">
            <w:pPr>
              <w:pStyle w:val="ListParagraph"/>
              <w:cnfStyle w:val="000000100000" w:firstRow="0" w:lastRow="0" w:firstColumn="0" w:lastColumn="0" w:oddVBand="0" w:evenVBand="0" w:oddHBand="1" w:evenHBand="0" w:firstRowFirstColumn="0" w:firstRowLastColumn="0" w:lastRowFirstColumn="0" w:lastRowLastColumn="0"/>
            </w:pPr>
          </w:p>
          <w:p w:rsidR="00B428EB" w:rsidRPr="00F468AE" w:rsidRDefault="00B428EB" w:rsidP="007E35E0">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sidRPr="00F468AE">
              <w:rPr>
                <w:sz w:val="20"/>
                <w:szCs w:val="20"/>
              </w:rPr>
              <w:t>The cover page (first page of illustration) must contain the proposed Insured’s full name, nothing generic</w:t>
            </w:r>
            <w:r w:rsidR="001C0CC7" w:rsidRPr="00F468AE">
              <w:rPr>
                <w:sz w:val="20"/>
                <w:szCs w:val="20"/>
              </w:rPr>
              <w:t xml:space="preserve"> (Valued Client not acceptable), as well as age, gender and policy type (which should all pre-fill with MassMutual Design)</w:t>
            </w:r>
          </w:p>
          <w:p w:rsidR="007E35E0" w:rsidRPr="00F468AE" w:rsidRDefault="007E35E0" w:rsidP="007E35E0">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sidRPr="00F468AE">
              <w:rPr>
                <w:sz w:val="20"/>
                <w:szCs w:val="20"/>
              </w:rPr>
              <w:t xml:space="preserve">The </w:t>
            </w:r>
            <w:r w:rsidRPr="00F468AE">
              <w:rPr>
                <w:b/>
                <w:bCs/>
                <w:sz w:val="20"/>
                <w:szCs w:val="20"/>
              </w:rPr>
              <w:t>advisor’s name</w:t>
            </w:r>
            <w:r w:rsidRPr="00F468AE">
              <w:rPr>
                <w:sz w:val="20"/>
                <w:szCs w:val="20"/>
              </w:rPr>
              <w:t xml:space="preserve"> must be on the submitted illustration (Lenox Advisors is not acceptable), as well as license number – if required, and business address</w:t>
            </w:r>
          </w:p>
          <w:p w:rsidR="007E35E0" w:rsidRPr="00F468AE" w:rsidRDefault="007E35E0" w:rsidP="007E35E0">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sidRPr="00F468AE">
              <w:rPr>
                <w:sz w:val="20"/>
                <w:szCs w:val="20"/>
              </w:rPr>
              <w:t xml:space="preserve">If subsequent illustration is being submitted, the word “revised” should appear along with the policy number </w:t>
            </w:r>
          </w:p>
          <w:p w:rsidR="00B428EB" w:rsidRPr="00B428EB" w:rsidRDefault="007E35E0" w:rsidP="001C0CC7">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0"/>
              </w:rPr>
            </w:pPr>
            <w:r w:rsidRPr="00F468AE">
              <w:rPr>
                <w:sz w:val="20"/>
                <w:szCs w:val="20"/>
              </w:rPr>
              <w:t>The full illustration matching the application and signed by the client must be attached upon submission. If it does not match, is not signed</w:t>
            </w:r>
            <w:r w:rsidR="001C0CC7" w:rsidRPr="00F468AE">
              <w:rPr>
                <w:sz w:val="20"/>
                <w:szCs w:val="20"/>
              </w:rPr>
              <w:t>,</w:t>
            </w:r>
            <w:r w:rsidRPr="00F468AE">
              <w:rPr>
                <w:sz w:val="20"/>
                <w:szCs w:val="20"/>
              </w:rPr>
              <w:t xml:space="preserve"> or is not submitted in ful</w:t>
            </w:r>
            <w:r w:rsidR="001C0CC7" w:rsidRPr="00F468AE">
              <w:rPr>
                <w:sz w:val="20"/>
                <w:szCs w:val="20"/>
              </w:rPr>
              <w:t>l (i.e. just the signature page)</w:t>
            </w:r>
            <w:r w:rsidRPr="00F468AE">
              <w:rPr>
                <w:sz w:val="20"/>
                <w:szCs w:val="20"/>
              </w:rPr>
              <w:t>, it will be sent back as NIGO. The illustration must be signed prior to or same day as the application.  Illustrations dated after the application date will not be accepted.</w:t>
            </w:r>
            <w:r>
              <w:t xml:space="preserve"> </w:t>
            </w:r>
          </w:p>
        </w:tc>
        <w:tc>
          <w:tcPr>
            <w:tcW w:w="938" w:type="pct"/>
          </w:tcPr>
          <w:p w:rsidR="00F80CCD" w:rsidRPr="006D1DAF" w:rsidRDefault="00F80CCD" w:rsidP="00E6670A">
            <w:pPr>
              <w:spacing w:before="120" w:after="120"/>
              <w:cnfStyle w:val="000000100000" w:firstRow="0" w:lastRow="0" w:firstColumn="0" w:lastColumn="0" w:oddVBand="0" w:evenVBand="0" w:oddHBand="1" w:evenHBand="0" w:firstRowFirstColumn="0" w:firstRowLastColumn="0" w:lastRowFirstColumn="0" w:lastRowLastColumn="0"/>
              <w:rPr>
                <w:sz w:val="20"/>
              </w:rPr>
            </w:pPr>
          </w:p>
        </w:tc>
      </w:tr>
      <w:tr w:rsidR="00F80CCD" w:rsidRPr="006D1DAF" w:rsidTr="002CA857">
        <w:tc>
          <w:tcPr>
            <w:cnfStyle w:val="001000000000" w:firstRow="0" w:lastRow="0" w:firstColumn="1" w:lastColumn="0" w:oddVBand="0" w:evenVBand="0" w:oddHBand="0" w:evenHBand="0" w:firstRowFirstColumn="0" w:firstRowLastColumn="0" w:lastRowFirstColumn="0" w:lastRowLastColumn="0"/>
            <w:tcW w:w="1000" w:type="pct"/>
            <w:tcBorders>
              <w:top w:val="single" w:sz="18" w:space="0" w:color="E7E6E6" w:themeColor="background2"/>
              <w:bottom w:val="single" w:sz="18" w:space="0" w:color="E7E6E6" w:themeColor="background2"/>
            </w:tcBorders>
            <w:shd w:val="clear" w:color="auto" w:fill="002060"/>
            <w:vAlign w:val="center"/>
          </w:tcPr>
          <w:p w:rsidR="00F80CCD" w:rsidRPr="009337AC" w:rsidRDefault="00F80CCD" w:rsidP="00E6670A">
            <w:pPr>
              <w:spacing w:before="120" w:after="120"/>
              <w:jc w:val="left"/>
              <w:rPr>
                <w:b/>
                <w:color w:val="E7E6E6" w:themeColor="background2"/>
                <w:sz w:val="20"/>
              </w:rPr>
            </w:pPr>
            <w:r w:rsidRPr="009337AC">
              <w:rPr>
                <w:b/>
                <w:color w:val="E7E6E6" w:themeColor="background2"/>
                <w:sz w:val="20"/>
              </w:rPr>
              <w:t xml:space="preserve">New Policy Applications </w:t>
            </w:r>
          </w:p>
        </w:tc>
        <w:tc>
          <w:tcPr>
            <w:tcW w:w="3063" w:type="pct"/>
          </w:tcPr>
          <w:p w:rsidR="00F80CCD" w:rsidRPr="006D1DAF" w:rsidRDefault="00F80CCD" w:rsidP="00E6670A">
            <w:pPr>
              <w:pStyle w:val="ListParagraph"/>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Obtain detailed information to complete Suitability Questionnaire</w:t>
            </w:r>
          </w:p>
          <w:p w:rsidR="00F80CCD" w:rsidRPr="006D1DAF" w:rsidRDefault="00F80CCD" w:rsidP="00E6670A">
            <w:pPr>
              <w:pStyle w:val="ListParagraph"/>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Consider Suitability</w:t>
            </w:r>
          </w:p>
          <w:p w:rsidR="00F80CCD" w:rsidRPr="006D1DAF" w:rsidRDefault="00F80CCD" w:rsidP="00E6670A">
            <w:pPr>
              <w:pStyle w:val="ListParagraph"/>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Obtain Signed Illustrations</w:t>
            </w:r>
          </w:p>
          <w:p w:rsidR="00F80CCD" w:rsidRPr="006D1DAF" w:rsidRDefault="00F80CCD" w:rsidP="00E6670A">
            <w:pPr>
              <w:pStyle w:val="ListParagraph"/>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Submit EZ App and attach Signed Illustrations</w:t>
            </w:r>
          </w:p>
          <w:p w:rsidR="00F80CCD" w:rsidRPr="006D1DAF" w:rsidRDefault="00F80CCD" w:rsidP="00E6670A">
            <w:pPr>
              <w:pStyle w:val="ListParagraph"/>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Suitability will come up as part of the EZ App reflecting duplicative information</w:t>
            </w:r>
          </w:p>
          <w:p w:rsidR="00F80CCD" w:rsidRPr="006D1DAF" w:rsidRDefault="00F80CCD" w:rsidP="00E6670A">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b/>
                <w:sz w:val="20"/>
              </w:rPr>
              <w:t>Wet Signatures</w:t>
            </w:r>
            <w:r w:rsidRPr="006D1DAF">
              <w:rPr>
                <w:sz w:val="20"/>
              </w:rPr>
              <w:br/>
              <w:t xml:space="preserve">If obtaining wet signatures – be sure to obtain wet signatures on the Suitability Questionnaire </w:t>
            </w:r>
            <w:r w:rsidR="00606E4D">
              <w:rPr>
                <w:sz w:val="20"/>
              </w:rPr>
              <w:t>(one questionnaire per product)</w:t>
            </w:r>
          </w:p>
          <w:p w:rsidR="00F80CCD" w:rsidRPr="006D1DAF" w:rsidRDefault="00F80CCD" w:rsidP="00E6670A">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b/>
                <w:sz w:val="20"/>
              </w:rPr>
              <w:t>Replacements</w:t>
            </w:r>
            <w:r w:rsidRPr="006D1DAF">
              <w:rPr>
                <w:sz w:val="20"/>
              </w:rPr>
              <w:br/>
              <w:t>If Policy is a Replacement include the following in addition to the above:</w:t>
            </w:r>
          </w:p>
          <w:p w:rsidR="00F80CCD" w:rsidRPr="006D1DAF" w:rsidRDefault="00F80CCD" w:rsidP="00E6670A">
            <w:pPr>
              <w:pStyle w:val="ListParagraph"/>
              <w:numPr>
                <w:ilvl w:val="0"/>
                <w:numId w:val="6"/>
              </w:num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Inforce illustration for all policies being replaced</w:t>
            </w:r>
          </w:p>
          <w:p w:rsidR="00F80CCD" w:rsidRPr="006D1DAF" w:rsidRDefault="37637591" w:rsidP="37637591">
            <w:pPr>
              <w:pStyle w:val="ListParagraph"/>
              <w:numPr>
                <w:ilvl w:val="0"/>
                <w:numId w:val="6"/>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37637591">
              <w:rPr>
                <w:sz w:val="20"/>
                <w:szCs w:val="20"/>
              </w:rPr>
              <w:t>Side-by-side comparison of the proposed new policy and existing policy/policies with premiums, cash values and death benefits on a non-guaranteed basis over 5, 10, 20 and 30 years. (</w:t>
            </w:r>
            <w:hyperlink>
              <w:r w:rsidRPr="37637591">
                <w:rPr>
                  <w:rStyle w:val="Hyperlink"/>
                  <w:sz w:val="20"/>
                  <w:szCs w:val="20"/>
                </w:rPr>
                <w:t>Side by Side Comparison Worksheet FR 2331</w:t>
              </w:r>
            </w:hyperlink>
            <w:r w:rsidRPr="37637591">
              <w:rPr>
                <w:sz w:val="20"/>
                <w:szCs w:val="20"/>
              </w:rPr>
              <w:t>)</w:t>
            </w:r>
          </w:p>
          <w:p w:rsidR="00F80CCD" w:rsidRPr="006D1DAF" w:rsidRDefault="37637591" w:rsidP="37637591">
            <w:pPr>
              <w:pStyle w:val="ListParagraph"/>
              <w:numPr>
                <w:ilvl w:val="0"/>
                <w:numId w:val="6"/>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37637591">
              <w:rPr>
                <w:sz w:val="20"/>
                <w:szCs w:val="20"/>
              </w:rPr>
              <w:lastRenderedPageBreak/>
              <w:t>Explanation of basis for the recommended replacement. (</w:t>
            </w:r>
            <w:hyperlink r:id="rId7">
              <w:r w:rsidRPr="37637591">
                <w:rPr>
                  <w:rStyle w:val="Hyperlink"/>
                  <w:sz w:val="20"/>
                  <w:szCs w:val="20"/>
                </w:rPr>
                <w:t>Replacement Producer Explanation Template – FR2332</w:t>
              </w:r>
            </w:hyperlink>
            <w:r w:rsidRPr="37637591">
              <w:rPr>
                <w:sz w:val="20"/>
                <w:szCs w:val="20"/>
              </w:rPr>
              <w:t>)</w:t>
            </w:r>
          </w:p>
        </w:tc>
        <w:tc>
          <w:tcPr>
            <w:tcW w:w="938" w:type="pct"/>
          </w:tcPr>
          <w:p w:rsidR="00F80CCD" w:rsidRPr="006D1DAF" w:rsidRDefault="00E841FF" w:rsidP="00E6670A">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2"/>
              </w:rPr>
            </w:pPr>
            <w:hyperlink r:id="rId8" w:history="1">
              <w:r w:rsidR="00F80CCD" w:rsidRPr="006D1DAF">
                <w:rPr>
                  <w:rStyle w:val="Hyperlink"/>
                  <w:sz w:val="20"/>
                  <w:szCs w:val="22"/>
                </w:rPr>
                <w:t>New Policy Life Products Suitability Questionnaire – FR2282</w:t>
              </w:r>
            </w:hyperlink>
          </w:p>
          <w:p w:rsidR="00F80CCD" w:rsidRPr="006D1DAF" w:rsidRDefault="00F80CCD" w:rsidP="00E6670A">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2"/>
              </w:rPr>
            </w:pPr>
            <w:r w:rsidRPr="006D1DAF">
              <w:rPr>
                <w:sz w:val="20"/>
                <w:szCs w:val="22"/>
              </w:rPr>
              <w:t>Determining Affordability Resources:</w:t>
            </w:r>
          </w:p>
          <w:p w:rsidR="00F80CCD" w:rsidRPr="006D1DAF" w:rsidRDefault="00E841FF" w:rsidP="00E6670A">
            <w:pPr>
              <w:pStyle w:val="paragraph"/>
              <w:numPr>
                <w:ilvl w:val="0"/>
                <w:numId w:val="10"/>
              </w:numPr>
              <w:spacing w:before="120" w:beforeAutospacing="0" w:after="120" w:afterAutospacing="0"/>
              <w:ind w:left="165" w:hanging="180"/>
              <w:textAlignment w:val="baseline"/>
              <w:cnfStyle w:val="000000000000" w:firstRow="0" w:lastRow="0" w:firstColumn="0" w:lastColumn="0" w:oddVBand="0" w:evenVBand="0" w:oddHBand="0" w:evenHBand="0" w:firstRowFirstColumn="0" w:firstRowLastColumn="0" w:lastRowFirstColumn="0" w:lastRowLastColumn="0"/>
              <w:rPr>
                <w:sz w:val="20"/>
                <w:szCs w:val="22"/>
              </w:rPr>
            </w:pPr>
            <w:hyperlink r:id="rId9" w:tgtFrame="_blank" w:history="1">
              <w:r w:rsidR="00F80CCD" w:rsidRPr="006D1DAF">
                <w:rPr>
                  <w:rStyle w:val="normaltextrun"/>
                  <w:rFonts w:ascii="Calibri" w:hAnsi="Calibri" w:cs="Calibri"/>
                  <w:color w:val="0563C1"/>
                  <w:sz w:val="20"/>
                  <w:szCs w:val="22"/>
                  <w:u w:val="single"/>
                </w:rPr>
                <w:t>Producer Pocket Guide to Life Insurance Suitability</w:t>
              </w:r>
            </w:hyperlink>
            <w:r w:rsidR="00F80CCD" w:rsidRPr="006D1DAF">
              <w:rPr>
                <w:rStyle w:val="normaltextrun"/>
                <w:sz w:val="20"/>
                <w:szCs w:val="22"/>
              </w:rPr>
              <w:t> </w:t>
            </w:r>
            <w:r w:rsidR="00F80CCD" w:rsidRPr="006D1DAF">
              <w:rPr>
                <w:rStyle w:val="eop"/>
                <w:sz w:val="20"/>
                <w:szCs w:val="22"/>
              </w:rPr>
              <w:t> </w:t>
            </w:r>
          </w:p>
          <w:p w:rsidR="00F80CCD" w:rsidRPr="00B9792D" w:rsidRDefault="00E841FF" w:rsidP="00E6670A">
            <w:pPr>
              <w:pStyle w:val="paragraph"/>
              <w:numPr>
                <w:ilvl w:val="0"/>
                <w:numId w:val="10"/>
              </w:numPr>
              <w:spacing w:before="120" w:beforeAutospacing="0" w:after="120" w:afterAutospacing="0"/>
              <w:ind w:left="165" w:hanging="180"/>
              <w:textAlignment w:val="baseline"/>
              <w:cnfStyle w:val="000000000000" w:firstRow="0" w:lastRow="0" w:firstColumn="0" w:lastColumn="0" w:oddVBand="0" w:evenVBand="0" w:oddHBand="0" w:evenHBand="0" w:firstRowFirstColumn="0" w:firstRowLastColumn="0" w:lastRowFirstColumn="0" w:lastRowLastColumn="0"/>
              <w:rPr>
                <w:sz w:val="20"/>
                <w:szCs w:val="20"/>
              </w:rPr>
            </w:pPr>
            <w:hyperlink r:id="rId10">
              <w:r w:rsidR="37637591" w:rsidRPr="37637591">
                <w:rPr>
                  <w:rStyle w:val="normaltextrun"/>
                  <w:rFonts w:ascii="Calibri" w:hAnsi="Calibri" w:cs="Calibri"/>
                  <w:color w:val="0563C1"/>
                  <w:sz w:val="20"/>
                  <w:szCs w:val="20"/>
                  <w:u w:val="single"/>
                </w:rPr>
                <w:t>Suitability worksheet with effective tax rates</w:t>
              </w:r>
            </w:hyperlink>
            <w:r w:rsidR="37637591" w:rsidRPr="37637591">
              <w:rPr>
                <w:rStyle w:val="eop"/>
                <w:sz w:val="20"/>
                <w:szCs w:val="20"/>
              </w:rPr>
              <w:t> </w:t>
            </w:r>
          </w:p>
          <w:p w:rsidR="37637591" w:rsidRDefault="37637591" w:rsidP="37637591">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37637591">
              <w:rPr>
                <w:sz w:val="20"/>
                <w:szCs w:val="20"/>
              </w:rPr>
              <w:t xml:space="preserve">Replacements:  </w:t>
            </w:r>
          </w:p>
          <w:p w:rsidR="37637591" w:rsidRDefault="00E841FF" w:rsidP="37637591">
            <w:pPr>
              <w:pStyle w:val="paragraph"/>
              <w:numPr>
                <w:ilvl w:val="0"/>
                <w:numId w:val="2"/>
              </w:numPr>
              <w:spacing w:before="120" w:beforeAutospacing="0" w:after="120" w:afterAutospacing="0"/>
              <w:ind w:left="165" w:hanging="180"/>
              <w:cnfStyle w:val="000000000000" w:firstRow="0" w:lastRow="0" w:firstColumn="0" w:lastColumn="0" w:oddVBand="0" w:evenVBand="0" w:oddHBand="0" w:evenHBand="0" w:firstRowFirstColumn="0" w:firstRowLastColumn="0" w:lastRowFirstColumn="0" w:lastRowLastColumn="0"/>
              <w:rPr>
                <w:color w:val="0563C1"/>
                <w:sz w:val="20"/>
                <w:szCs w:val="20"/>
              </w:rPr>
            </w:pPr>
            <w:hyperlink r:id="rId11">
              <w:r w:rsidR="37637591" w:rsidRPr="37637591">
                <w:rPr>
                  <w:rStyle w:val="Hyperlink"/>
                  <w:sz w:val="20"/>
                  <w:szCs w:val="20"/>
                </w:rPr>
                <w:t>Top C</w:t>
              </w:r>
              <w:r w:rsidR="37637591" w:rsidRPr="37637591">
                <w:rPr>
                  <w:rStyle w:val="normaltextrun"/>
                  <w:rFonts w:ascii="Calibri" w:hAnsi="Calibri" w:cs="Calibri"/>
                  <w:color w:val="0563C1"/>
                  <w:sz w:val="20"/>
                  <w:szCs w:val="20"/>
                  <w:u w:val="single"/>
                </w:rPr>
                <w:t>onsiderations regarding Replacements Guide</w:t>
              </w:r>
            </w:hyperlink>
          </w:p>
          <w:p w:rsidR="00F80CCD" w:rsidRPr="006D1DAF" w:rsidRDefault="37637591" w:rsidP="00E6670A">
            <w:pPr>
              <w:spacing w:before="120" w:after="120"/>
              <w:cnfStyle w:val="000000000000" w:firstRow="0" w:lastRow="0" w:firstColumn="0" w:lastColumn="0" w:oddVBand="0" w:evenVBand="0" w:oddHBand="0" w:evenHBand="0" w:firstRowFirstColumn="0" w:firstRowLastColumn="0" w:lastRowFirstColumn="0" w:lastRowLastColumn="0"/>
              <w:rPr>
                <w:sz w:val="20"/>
              </w:rPr>
            </w:pPr>
            <w:r w:rsidRPr="37637591">
              <w:rPr>
                <w:sz w:val="20"/>
                <w:szCs w:val="20"/>
              </w:rPr>
              <w:t>To be added:</w:t>
            </w:r>
          </w:p>
          <w:p w:rsidR="00F80CCD" w:rsidRPr="00B9792D" w:rsidRDefault="002CA857" w:rsidP="002CA857">
            <w:pPr>
              <w:pStyle w:val="ListParagraph"/>
              <w:numPr>
                <w:ilvl w:val="0"/>
                <w:numId w:val="23"/>
              </w:numPr>
              <w:spacing w:before="120" w:after="120"/>
              <w:ind w:left="255" w:hanging="180"/>
              <w:cnfStyle w:val="000000000000" w:firstRow="0" w:lastRow="0" w:firstColumn="0" w:lastColumn="0" w:oddVBand="0" w:evenVBand="0" w:oddHBand="0" w:evenHBand="0" w:firstRowFirstColumn="0" w:firstRowLastColumn="0" w:lastRowFirstColumn="0" w:lastRowLastColumn="0"/>
              <w:rPr>
                <w:sz w:val="20"/>
                <w:szCs w:val="20"/>
              </w:rPr>
            </w:pPr>
            <w:r w:rsidRPr="002CA857">
              <w:rPr>
                <w:sz w:val="20"/>
                <w:szCs w:val="20"/>
              </w:rPr>
              <w:lastRenderedPageBreak/>
              <w:t>Client Brochure can be found on Warehouse Express</w:t>
            </w:r>
          </w:p>
          <w:p w:rsidR="00F80CCD" w:rsidRPr="00812289" w:rsidRDefault="00812289" w:rsidP="00812289">
            <w:pPr>
              <w:spacing w:before="120" w:after="120"/>
              <w:ind w:left="75"/>
              <w:cnfStyle w:val="000000000000" w:firstRow="0" w:lastRow="0" w:firstColumn="0" w:lastColumn="0" w:oddVBand="0" w:evenVBand="0" w:oddHBand="0" w:evenHBand="0" w:firstRowFirstColumn="0" w:firstRowLastColumn="0" w:lastRowFirstColumn="0" w:lastRowLastColumn="0"/>
              <w:rPr>
                <w:sz w:val="20"/>
                <w:szCs w:val="20"/>
              </w:rPr>
            </w:pPr>
            <w:r>
              <w:object w:dxaOrig="1503" w:dyaOrig="981" w14:anchorId="5608C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2" o:title=""/>
                </v:shape>
                <o:OLEObject Type="Embed" ProgID="AcroExch.Document.DC" ShapeID="_x0000_i1025" DrawAspect="Icon" ObjectID="_1646029986" r:id="rId13"/>
              </w:object>
            </w:r>
          </w:p>
        </w:tc>
      </w:tr>
      <w:tr w:rsidR="00F80CCD" w:rsidRPr="006D1DAF" w:rsidTr="002CA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single" w:sz="18" w:space="0" w:color="E7E6E6" w:themeColor="background2"/>
              <w:bottom w:val="single" w:sz="18" w:space="0" w:color="E7E6E6" w:themeColor="background2"/>
            </w:tcBorders>
            <w:shd w:val="clear" w:color="auto" w:fill="002060"/>
            <w:vAlign w:val="center"/>
          </w:tcPr>
          <w:p w:rsidR="00F80CCD" w:rsidRPr="009337AC" w:rsidRDefault="00F80CCD" w:rsidP="00E6670A">
            <w:pPr>
              <w:spacing w:before="120" w:after="120"/>
              <w:jc w:val="left"/>
              <w:rPr>
                <w:b/>
                <w:color w:val="E7E6E6" w:themeColor="background2"/>
                <w:sz w:val="20"/>
              </w:rPr>
            </w:pPr>
            <w:r w:rsidRPr="009337AC">
              <w:rPr>
                <w:b/>
                <w:color w:val="E7E6E6" w:themeColor="background2"/>
                <w:sz w:val="20"/>
              </w:rPr>
              <w:lastRenderedPageBreak/>
              <w:t>New Policy</w:t>
            </w:r>
            <w:r>
              <w:rPr>
                <w:b/>
                <w:color w:val="E7E6E6" w:themeColor="background2"/>
                <w:sz w:val="20"/>
              </w:rPr>
              <w:t xml:space="preserve"> Applications</w:t>
            </w:r>
            <w:r w:rsidRPr="009337AC">
              <w:rPr>
                <w:b/>
                <w:color w:val="E7E6E6" w:themeColor="background2"/>
                <w:sz w:val="20"/>
              </w:rPr>
              <w:t xml:space="preserve"> - Business Cases</w:t>
            </w:r>
          </w:p>
        </w:tc>
        <w:tc>
          <w:tcPr>
            <w:tcW w:w="3063" w:type="pct"/>
          </w:tcPr>
          <w:p w:rsidR="00F80CCD" w:rsidRPr="006D1DAF" w:rsidRDefault="00F80CCD" w:rsidP="00E6670A">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Follow New Policy Applications</w:t>
            </w:r>
          </w:p>
          <w:p w:rsidR="00F80CCD" w:rsidRPr="006D1DAF" w:rsidRDefault="00F80CCD" w:rsidP="00E6670A">
            <w:pPr>
              <w:pStyle w:val="ListParagraph"/>
              <w:numPr>
                <w:ilvl w:val="0"/>
                <w:numId w:val="8"/>
              </w:num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If business will own the policy</w:t>
            </w:r>
            <w:r>
              <w:rPr>
                <w:sz w:val="20"/>
              </w:rPr>
              <w:t xml:space="preserve"> (and the insured is not a member/partner of the LLC/Partnership with a primary purpose of personal planning) stop at question B2 on the Suitability Questionnaire and provide</w:t>
            </w:r>
            <w:r w:rsidRPr="006D1DAF">
              <w:rPr>
                <w:sz w:val="20"/>
              </w:rPr>
              <w:t>:</w:t>
            </w:r>
          </w:p>
          <w:p w:rsidR="00F80CCD" w:rsidRPr="006D1DAF" w:rsidRDefault="00E841FF" w:rsidP="00E6670A">
            <w:pPr>
              <w:pStyle w:val="ListParagraph"/>
              <w:numPr>
                <w:ilvl w:val="0"/>
                <w:numId w:val="18"/>
              </w:numPr>
              <w:spacing w:before="120" w:after="120"/>
              <w:cnfStyle w:val="000000100000" w:firstRow="0" w:lastRow="0" w:firstColumn="0" w:lastColumn="0" w:oddVBand="0" w:evenVBand="0" w:oddHBand="1" w:evenHBand="0" w:firstRowFirstColumn="0" w:firstRowLastColumn="0" w:lastRowFirstColumn="0" w:lastRowLastColumn="0"/>
              <w:rPr>
                <w:sz w:val="20"/>
              </w:rPr>
            </w:pPr>
            <w:hyperlink r:id="rId14" w:history="1">
              <w:r w:rsidR="00F80CCD" w:rsidRPr="006D1DAF">
                <w:rPr>
                  <w:rStyle w:val="Hyperlink"/>
                  <w:sz w:val="20"/>
                </w:rPr>
                <w:t>Suitability Disclosures for Business Cases (FR2289)</w:t>
              </w:r>
            </w:hyperlink>
            <w:r w:rsidR="00F80CCD" w:rsidRPr="006D1DAF">
              <w:rPr>
                <w:sz w:val="20"/>
              </w:rPr>
              <w:t xml:space="preserve"> </w:t>
            </w:r>
          </w:p>
          <w:p w:rsidR="00F80CCD" w:rsidRPr="006D1DAF" w:rsidRDefault="00E841FF" w:rsidP="00E6670A">
            <w:pPr>
              <w:pStyle w:val="ListParagraph"/>
              <w:numPr>
                <w:ilvl w:val="0"/>
                <w:numId w:val="18"/>
              </w:numPr>
              <w:spacing w:before="120" w:after="120"/>
              <w:cnfStyle w:val="000000100000" w:firstRow="0" w:lastRow="0" w:firstColumn="0" w:lastColumn="0" w:oddVBand="0" w:evenVBand="0" w:oddHBand="1" w:evenHBand="0" w:firstRowFirstColumn="0" w:firstRowLastColumn="0" w:lastRowFirstColumn="0" w:lastRowLastColumn="0"/>
              <w:rPr>
                <w:sz w:val="20"/>
              </w:rPr>
            </w:pPr>
            <w:hyperlink r:id="rId15" w:history="1">
              <w:r w:rsidR="00F80CCD" w:rsidRPr="006D1DAF">
                <w:rPr>
                  <w:rStyle w:val="Hyperlink"/>
                  <w:sz w:val="20"/>
                </w:rPr>
                <w:t>Business Financial Supplement (FR2074)</w:t>
              </w:r>
            </w:hyperlink>
          </w:p>
        </w:tc>
        <w:tc>
          <w:tcPr>
            <w:tcW w:w="938" w:type="pct"/>
          </w:tcPr>
          <w:p w:rsidR="00F80CCD" w:rsidRPr="006D1DAF" w:rsidRDefault="00F80CCD" w:rsidP="00E6670A">
            <w:pPr>
              <w:spacing w:before="120" w:after="120"/>
              <w:ind w:left="253"/>
              <w:cnfStyle w:val="000000100000" w:firstRow="0" w:lastRow="0" w:firstColumn="0" w:lastColumn="0" w:oddVBand="0" w:evenVBand="0" w:oddHBand="1" w:evenHBand="0" w:firstRowFirstColumn="0" w:firstRowLastColumn="0" w:lastRowFirstColumn="0" w:lastRowLastColumn="0"/>
              <w:rPr>
                <w:sz w:val="20"/>
              </w:rPr>
            </w:pPr>
          </w:p>
        </w:tc>
      </w:tr>
      <w:tr w:rsidR="00F80CCD" w:rsidRPr="006D1DAF" w:rsidTr="002CA857">
        <w:tc>
          <w:tcPr>
            <w:cnfStyle w:val="001000000000" w:firstRow="0" w:lastRow="0" w:firstColumn="1" w:lastColumn="0" w:oddVBand="0" w:evenVBand="0" w:oddHBand="0" w:evenHBand="0" w:firstRowFirstColumn="0" w:firstRowLastColumn="0" w:lastRowFirstColumn="0" w:lastRowLastColumn="0"/>
            <w:tcW w:w="1000" w:type="pct"/>
            <w:tcBorders>
              <w:top w:val="single" w:sz="18" w:space="0" w:color="E7E6E6" w:themeColor="background2"/>
              <w:bottom w:val="single" w:sz="18" w:space="0" w:color="E7E6E6" w:themeColor="background2"/>
            </w:tcBorders>
            <w:shd w:val="clear" w:color="auto" w:fill="002060"/>
            <w:vAlign w:val="center"/>
          </w:tcPr>
          <w:p w:rsidR="00F80CCD" w:rsidRDefault="00F80CCD" w:rsidP="00E6670A">
            <w:pPr>
              <w:spacing w:before="120" w:after="120"/>
              <w:jc w:val="left"/>
              <w:rPr>
                <w:b/>
                <w:color w:val="E7E6E6" w:themeColor="background2"/>
                <w:sz w:val="20"/>
              </w:rPr>
            </w:pPr>
            <w:r w:rsidRPr="009337AC">
              <w:rPr>
                <w:b/>
                <w:color w:val="E7E6E6" w:themeColor="background2"/>
                <w:sz w:val="20"/>
              </w:rPr>
              <w:t xml:space="preserve">New Policy </w:t>
            </w:r>
            <w:r>
              <w:rPr>
                <w:b/>
                <w:color w:val="E7E6E6" w:themeColor="background2"/>
                <w:sz w:val="20"/>
              </w:rPr>
              <w:t>Applications –</w:t>
            </w:r>
            <w:r w:rsidRPr="009337AC">
              <w:rPr>
                <w:b/>
                <w:color w:val="E7E6E6" w:themeColor="background2"/>
                <w:sz w:val="20"/>
              </w:rPr>
              <w:t xml:space="preserve"> </w:t>
            </w:r>
          </w:p>
          <w:p w:rsidR="00F80CCD" w:rsidRPr="00C05C62" w:rsidRDefault="37637591" w:rsidP="37637591">
            <w:pPr>
              <w:spacing w:before="120" w:after="120" w:line="259" w:lineRule="auto"/>
              <w:jc w:val="left"/>
              <w:rPr>
                <w:b/>
                <w:bCs/>
                <w:color w:val="E7E6E6" w:themeColor="background2"/>
                <w:sz w:val="20"/>
                <w:szCs w:val="20"/>
              </w:rPr>
            </w:pPr>
            <w:r w:rsidRPr="37637591">
              <w:rPr>
                <w:b/>
                <w:bCs/>
                <w:color w:val="E7E6E6" w:themeColor="background2"/>
                <w:sz w:val="20"/>
                <w:szCs w:val="20"/>
              </w:rPr>
              <w:t>Corporation Owned for:</w:t>
            </w:r>
          </w:p>
          <w:p w:rsidR="00F80CCD" w:rsidRPr="00C05C62" w:rsidRDefault="37637591" w:rsidP="37637591">
            <w:pPr>
              <w:pStyle w:val="ListParagraph"/>
              <w:numPr>
                <w:ilvl w:val="0"/>
                <w:numId w:val="24"/>
              </w:numPr>
              <w:spacing w:before="120" w:after="120"/>
              <w:ind w:left="163" w:hanging="180"/>
              <w:jc w:val="left"/>
              <w:rPr>
                <w:b/>
                <w:bCs/>
                <w:color w:val="E7E6E6" w:themeColor="background2"/>
                <w:sz w:val="20"/>
                <w:szCs w:val="20"/>
              </w:rPr>
            </w:pPr>
            <w:r w:rsidRPr="37637591">
              <w:rPr>
                <w:b/>
                <w:bCs/>
                <w:color w:val="E7E6E6" w:themeColor="background2"/>
                <w:sz w:val="20"/>
                <w:szCs w:val="20"/>
              </w:rPr>
              <w:t xml:space="preserve"> Buy/Sell Agreements </w:t>
            </w:r>
          </w:p>
          <w:p w:rsidR="00F80CCD" w:rsidRPr="00C05C62" w:rsidRDefault="37637591" w:rsidP="37637591">
            <w:pPr>
              <w:pStyle w:val="ListParagraph"/>
              <w:numPr>
                <w:ilvl w:val="0"/>
                <w:numId w:val="24"/>
              </w:numPr>
              <w:spacing w:before="120" w:after="120"/>
              <w:ind w:left="163" w:hanging="180"/>
              <w:jc w:val="left"/>
              <w:rPr>
                <w:b/>
                <w:bCs/>
                <w:color w:val="E7E6E6" w:themeColor="background2"/>
                <w:sz w:val="20"/>
                <w:szCs w:val="20"/>
              </w:rPr>
            </w:pPr>
            <w:r w:rsidRPr="37637591">
              <w:rPr>
                <w:b/>
                <w:bCs/>
                <w:color w:val="E7E6E6" w:themeColor="background2"/>
                <w:sz w:val="20"/>
                <w:szCs w:val="20"/>
              </w:rPr>
              <w:t>Key Person Policies</w:t>
            </w:r>
          </w:p>
        </w:tc>
        <w:tc>
          <w:tcPr>
            <w:tcW w:w="3063" w:type="pct"/>
          </w:tcPr>
          <w:p w:rsidR="00F80CCD" w:rsidRDefault="37637591" w:rsidP="37637591">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37637591">
              <w:rPr>
                <w:sz w:val="20"/>
                <w:szCs w:val="20"/>
              </w:rPr>
              <w:t xml:space="preserve">Follow New Policy Applications – Ownership will be “Other Entity” </w:t>
            </w:r>
          </w:p>
          <w:p w:rsidR="00F80CCD" w:rsidRDefault="37637591" w:rsidP="37637591">
            <w:pPr>
              <w:pStyle w:val="ListParagraph"/>
              <w:numPr>
                <w:ilvl w:val="0"/>
                <w:numId w:val="20"/>
              </w:numPr>
              <w:spacing w:after="120"/>
              <w:cnfStyle w:val="000000000000" w:firstRow="0" w:lastRow="0" w:firstColumn="0" w:lastColumn="0" w:oddVBand="0" w:evenVBand="0" w:oddHBand="0" w:evenHBand="0" w:firstRowFirstColumn="0" w:firstRowLastColumn="0" w:lastRowFirstColumn="0" w:lastRowLastColumn="0"/>
              <w:rPr>
                <w:sz w:val="20"/>
                <w:szCs w:val="20"/>
              </w:rPr>
            </w:pPr>
            <w:r w:rsidRPr="37637591">
              <w:rPr>
                <w:sz w:val="20"/>
                <w:szCs w:val="20"/>
              </w:rPr>
              <w:t>For Owner (question B2) select Other Entity (note in EZ App under Entity Owner, select non-incorporated entity and type:  Other to have the appropriate options appear for suitability)</w:t>
            </w:r>
          </w:p>
          <w:p w:rsidR="00F80CCD" w:rsidRDefault="00F80CCD" w:rsidP="00E6670A">
            <w:pPr>
              <w:pStyle w:val="ListParagraph"/>
              <w:numPr>
                <w:ilvl w:val="0"/>
                <w:numId w:val="20"/>
              </w:numPr>
              <w:spacing w:before="120" w:after="120"/>
              <w:cnfStyle w:val="000000000000" w:firstRow="0" w:lastRow="0" w:firstColumn="0" w:lastColumn="0" w:oddVBand="0" w:evenVBand="0" w:oddHBand="0" w:evenHBand="0" w:firstRowFirstColumn="0" w:firstRowLastColumn="0" w:lastRowFirstColumn="0" w:lastRowLastColumn="0"/>
              <w:rPr>
                <w:sz w:val="20"/>
              </w:rPr>
            </w:pPr>
            <w:r>
              <w:rPr>
                <w:sz w:val="20"/>
              </w:rPr>
              <w:t>Complete the following:</w:t>
            </w:r>
          </w:p>
          <w:p w:rsidR="00F80CCD" w:rsidRPr="006D1DAF" w:rsidRDefault="00E841FF" w:rsidP="00E6670A">
            <w:pPr>
              <w:pStyle w:val="ListParagraph"/>
              <w:numPr>
                <w:ilvl w:val="1"/>
                <w:numId w:val="20"/>
              </w:numPr>
              <w:spacing w:before="120" w:after="120"/>
              <w:cnfStyle w:val="000000000000" w:firstRow="0" w:lastRow="0" w:firstColumn="0" w:lastColumn="0" w:oddVBand="0" w:evenVBand="0" w:oddHBand="0" w:evenHBand="0" w:firstRowFirstColumn="0" w:firstRowLastColumn="0" w:lastRowFirstColumn="0" w:lastRowLastColumn="0"/>
              <w:rPr>
                <w:sz w:val="20"/>
              </w:rPr>
            </w:pPr>
            <w:hyperlink r:id="rId16" w:history="1">
              <w:r w:rsidR="00F80CCD" w:rsidRPr="006D1DAF">
                <w:rPr>
                  <w:rStyle w:val="Hyperlink"/>
                  <w:sz w:val="20"/>
                </w:rPr>
                <w:t>Suitability Disclosures for Business Cases (FR2289)</w:t>
              </w:r>
            </w:hyperlink>
            <w:r w:rsidR="00F80CCD" w:rsidRPr="006D1DAF">
              <w:rPr>
                <w:sz w:val="20"/>
              </w:rPr>
              <w:t xml:space="preserve"> </w:t>
            </w:r>
          </w:p>
          <w:p w:rsidR="00F80CCD" w:rsidRPr="009337AC" w:rsidRDefault="00E841FF" w:rsidP="00E6670A">
            <w:pPr>
              <w:pStyle w:val="ListParagraph"/>
              <w:numPr>
                <w:ilvl w:val="1"/>
                <w:numId w:val="20"/>
              </w:numPr>
              <w:spacing w:before="120" w:after="120"/>
              <w:cnfStyle w:val="000000000000" w:firstRow="0" w:lastRow="0" w:firstColumn="0" w:lastColumn="0" w:oddVBand="0" w:evenVBand="0" w:oddHBand="0" w:evenHBand="0" w:firstRowFirstColumn="0" w:firstRowLastColumn="0" w:lastRowFirstColumn="0" w:lastRowLastColumn="0"/>
              <w:rPr>
                <w:sz w:val="20"/>
              </w:rPr>
            </w:pPr>
            <w:hyperlink r:id="rId17" w:history="1">
              <w:r w:rsidR="00F80CCD" w:rsidRPr="006D1DAF">
                <w:rPr>
                  <w:rStyle w:val="Hyperlink"/>
                  <w:sz w:val="20"/>
                </w:rPr>
                <w:t>Business Financial Supplement (FR2074)</w:t>
              </w:r>
            </w:hyperlink>
          </w:p>
        </w:tc>
        <w:tc>
          <w:tcPr>
            <w:tcW w:w="938" w:type="pct"/>
          </w:tcPr>
          <w:p w:rsidR="00F80CCD" w:rsidRPr="006D1DAF" w:rsidRDefault="37637591" w:rsidP="37637591">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37637591">
              <w:rPr>
                <w:sz w:val="20"/>
                <w:szCs w:val="20"/>
              </w:rPr>
              <w:t>These processes are being refined – be sure to include a complete description in the rationale.  If additional information is needed, you will be contacted.</w:t>
            </w:r>
          </w:p>
        </w:tc>
      </w:tr>
      <w:tr w:rsidR="00F80CCD" w:rsidRPr="006D1DAF" w:rsidTr="002CA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single" w:sz="18" w:space="0" w:color="E7E6E6" w:themeColor="background2"/>
              <w:bottom w:val="single" w:sz="18" w:space="0" w:color="E7E6E6" w:themeColor="background2"/>
            </w:tcBorders>
            <w:shd w:val="clear" w:color="auto" w:fill="002060"/>
            <w:vAlign w:val="center"/>
          </w:tcPr>
          <w:p w:rsidR="00F80CCD" w:rsidRPr="009337AC" w:rsidRDefault="00F80CCD" w:rsidP="00E6670A">
            <w:pPr>
              <w:spacing w:before="120" w:after="120"/>
              <w:jc w:val="left"/>
              <w:rPr>
                <w:b/>
                <w:color w:val="E7E6E6" w:themeColor="background2"/>
                <w:sz w:val="20"/>
              </w:rPr>
            </w:pPr>
            <w:r w:rsidRPr="009337AC">
              <w:rPr>
                <w:b/>
                <w:color w:val="E7E6E6" w:themeColor="background2"/>
                <w:sz w:val="20"/>
              </w:rPr>
              <w:t xml:space="preserve">New Policy </w:t>
            </w:r>
            <w:r>
              <w:rPr>
                <w:b/>
                <w:color w:val="E7E6E6" w:themeColor="background2"/>
                <w:sz w:val="20"/>
              </w:rPr>
              <w:t xml:space="preserve">Applications </w:t>
            </w:r>
            <w:r w:rsidRPr="009337AC">
              <w:rPr>
                <w:b/>
                <w:color w:val="E7E6E6" w:themeColor="background2"/>
                <w:sz w:val="20"/>
              </w:rPr>
              <w:t xml:space="preserve">- Trusts </w:t>
            </w:r>
          </w:p>
        </w:tc>
        <w:tc>
          <w:tcPr>
            <w:tcW w:w="3063" w:type="pct"/>
          </w:tcPr>
          <w:p w:rsidR="00F80CCD" w:rsidRPr="006D1DAF" w:rsidRDefault="00F80CCD" w:rsidP="00E6670A">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Follow New Policy Applications.  Additional Notes:</w:t>
            </w:r>
          </w:p>
          <w:p w:rsidR="00F80CCD" w:rsidRPr="006D1DAF" w:rsidRDefault="00F80CCD" w:rsidP="00E6670A">
            <w:pPr>
              <w:pStyle w:val="ListParagraph"/>
              <w:numPr>
                <w:ilvl w:val="0"/>
                <w:numId w:val="8"/>
              </w:numPr>
              <w:spacing w:before="120" w:after="120"/>
              <w:cnfStyle w:val="000000100000" w:firstRow="0" w:lastRow="0" w:firstColumn="0" w:lastColumn="0" w:oddVBand="0" w:evenVBand="0" w:oddHBand="1" w:evenHBand="0" w:firstRowFirstColumn="0" w:firstRowLastColumn="0" w:lastRowFirstColumn="0" w:lastRowLastColumn="0"/>
              <w:rPr>
                <w:sz w:val="20"/>
              </w:rPr>
            </w:pPr>
            <w:r>
              <w:rPr>
                <w:sz w:val="20"/>
              </w:rPr>
              <w:t xml:space="preserve">For newly created trusts </w:t>
            </w:r>
            <w:r w:rsidRPr="006D1DAF">
              <w:rPr>
                <w:sz w:val="20"/>
              </w:rPr>
              <w:t xml:space="preserve">suitability </w:t>
            </w:r>
            <w:r>
              <w:rPr>
                <w:sz w:val="20"/>
              </w:rPr>
              <w:t xml:space="preserve">is completed </w:t>
            </w:r>
            <w:r w:rsidRPr="006D1DAF">
              <w:rPr>
                <w:sz w:val="20"/>
              </w:rPr>
              <w:t>on the Grantor</w:t>
            </w:r>
          </w:p>
          <w:p w:rsidR="00F80CCD" w:rsidRPr="006D1DAF" w:rsidRDefault="00F80CCD" w:rsidP="00E6670A">
            <w:pPr>
              <w:pStyle w:val="ListParagraph"/>
              <w:numPr>
                <w:ilvl w:val="0"/>
                <w:numId w:val="8"/>
              </w:num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 xml:space="preserve">For limited situations where a well-established trust will be the owner and will pay the premiums, suitability will be performed on the trust. Complete the </w:t>
            </w:r>
            <w:hyperlink r:id="rId18" w:history="1">
              <w:r w:rsidRPr="006D1DAF">
                <w:rPr>
                  <w:rStyle w:val="Hyperlink"/>
                  <w:sz w:val="20"/>
                </w:rPr>
                <w:t>Life Products Suitability Trust Supplemental Questionnaire (FR2281)</w:t>
              </w:r>
            </w:hyperlink>
            <w:r w:rsidRPr="006D1DAF">
              <w:rPr>
                <w:sz w:val="20"/>
              </w:rPr>
              <w:t xml:space="preserve">. </w:t>
            </w:r>
          </w:p>
          <w:p w:rsidR="00F80CCD" w:rsidRPr="006D1DAF" w:rsidRDefault="00F80CCD" w:rsidP="00E6670A">
            <w:pPr>
              <w:pStyle w:val="ListParagraph"/>
              <w:numPr>
                <w:ilvl w:val="0"/>
                <w:numId w:val="8"/>
              </w:num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For any questions regarding trust ownership and trust suitability, consult Advanced Sales.</w:t>
            </w:r>
          </w:p>
        </w:tc>
        <w:tc>
          <w:tcPr>
            <w:tcW w:w="938" w:type="pct"/>
          </w:tcPr>
          <w:p w:rsidR="00F80CCD" w:rsidRPr="006D1DAF" w:rsidRDefault="00F80CCD" w:rsidP="00E6670A">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 xml:space="preserve">For Certain Trust Cases*: </w:t>
            </w:r>
            <w:hyperlink r:id="rId19" w:history="1">
              <w:r w:rsidRPr="006D1DAF">
                <w:rPr>
                  <w:rStyle w:val="Hyperlink"/>
                  <w:sz w:val="20"/>
                </w:rPr>
                <w:t>Life Products Suitability Trust Supplemental Questionnaire (FR2281)</w:t>
              </w:r>
            </w:hyperlink>
            <w:r w:rsidRPr="006D1DAF">
              <w:rPr>
                <w:sz w:val="20"/>
              </w:rPr>
              <w:t xml:space="preserve"> </w:t>
            </w:r>
          </w:p>
          <w:p w:rsidR="00F80CCD" w:rsidRPr="006D1DAF" w:rsidRDefault="00F80CCD" w:rsidP="00E6670A">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 xml:space="preserve">*Use the </w:t>
            </w:r>
            <w:hyperlink r:id="rId20" w:history="1">
              <w:r w:rsidRPr="006D1DAF">
                <w:rPr>
                  <w:rStyle w:val="Hyperlink"/>
                  <w:sz w:val="20"/>
                </w:rPr>
                <w:t>Life Products Suitability Questionnaire (FR2282)</w:t>
              </w:r>
            </w:hyperlink>
            <w:r w:rsidRPr="006D1DAF">
              <w:rPr>
                <w:sz w:val="20"/>
              </w:rPr>
              <w:t xml:space="preserve"> for most trusts funded by the insured or the insured’s spouse.</w:t>
            </w:r>
          </w:p>
        </w:tc>
      </w:tr>
      <w:tr w:rsidR="00F80CCD" w:rsidRPr="006D1DAF" w:rsidTr="002CA857">
        <w:tc>
          <w:tcPr>
            <w:cnfStyle w:val="001000000000" w:firstRow="0" w:lastRow="0" w:firstColumn="1" w:lastColumn="0" w:oddVBand="0" w:evenVBand="0" w:oddHBand="0" w:evenHBand="0" w:firstRowFirstColumn="0" w:firstRowLastColumn="0" w:lastRowFirstColumn="0" w:lastRowLastColumn="0"/>
            <w:tcW w:w="1000" w:type="pct"/>
            <w:tcBorders>
              <w:top w:val="single" w:sz="18" w:space="0" w:color="E7E6E6" w:themeColor="background2"/>
              <w:bottom w:val="single" w:sz="18" w:space="0" w:color="E7E6E6" w:themeColor="background2"/>
            </w:tcBorders>
            <w:shd w:val="clear" w:color="auto" w:fill="002060"/>
            <w:vAlign w:val="center"/>
          </w:tcPr>
          <w:p w:rsidR="00F80CCD" w:rsidRPr="009337AC" w:rsidRDefault="00F80CCD" w:rsidP="00E6670A">
            <w:pPr>
              <w:spacing w:before="120" w:after="120"/>
              <w:jc w:val="left"/>
              <w:rPr>
                <w:b/>
                <w:color w:val="E7E6E6" w:themeColor="background2"/>
                <w:sz w:val="20"/>
              </w:rPr>
            </w:pPr>
            <w:r w:rsidRPr="009337AC">
              <w:rPr>
                <w:b/>
                <w:color w:val="E7E6E6" w:themeColor="background2"/>
                <w:sz w:val="20"/>
              </w:rPr>
              <w:t>Reissues:  Issued Other Than Applied For</w:t>
            </w:r>
          </w:p>
        </w:tc>
        <w:tc>
          <w:tcPr>
            <w:tcW w:w="3063" w:type="pct"/>
          </w:tcPr>
          <w:p w:rsidR="00F80CCD" w:rsidRPr="006D1DAF" w:rsidRDefault="00F80CCD" w:rsidP="00E6670A">
            <w:pPr>
              <w:pStyle w:val="ListParagraph"/>
              <w:numPr>
                <w:ilvl w:val="0"/>
                <w:numId w:val="12"/>
              </w:num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Work with your case manager to reach acceptance of product(s)</w:t>
            </w:r>
          </w:p>
          <w:p w:rsidR="00F80CCD" w:rsidRPr="006D1DAF" w:rsidRDefault="00F80CCD" w:rsidP="00E6670A">
            <w:pPr>
              <w:pStyle w:val="ListParagraph"/>
              <w:numPr>
                <w:ilvl w:val="0"/>
                <w:numId w:val="12"/>
              </w:num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Your Case Manager will notify the Suitability Team of final products accepted</w:t>
            </w:r>
          </w:p>
          <w:p w:rsidR="00F80CCD" w:rsidRPr="006D1DAF" w:rsidRDefault="00F80CCD" w:rsidP="00E6670A">
            <w:pPr>
              <w:pStyle w:val="ListParagraph"/>
              <w:numPr>
                <w:ilvl w:val="0"/>
                <w:numId w:val="12"/>
              </w:num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Suitability Review Team will send you the corresponding suitability form(s) to be completed reflecting the changes</w:t>
            </w:r>
          </w:p>
          <w:p w:rsidR="00F80CCD" w:rsidRPr="006D1DAF" w:rsidRDefault="00F80CCD" w:rsidP="00E6670A">
            <w:pPr>
              <w:pStyle w:val="ListParagraph"/>
              <w:numPr>
                <w:ilvl w:val="0"/>
                <w:numId w:val="12"/>
              </w:num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Complete the suitability form(s)</w:t>
            </w:r>
          </w:p>
          <w:p w:rsidR="00F80CCD" w:rsidRPr="006D1DAF" w:rsidRDefault="00F80CCD" w:rsidP="00E6670A">
            <w:pPr>
              <w:pStyle w:val="ListParagraph"/>
              <w:numPr>
                <w:ilvl w:val="0"/>
                <w:numId w:val="12"/>
              </w:num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Obtain Client Signature:</w:t>
            </w:r>
          </w:p>
          <w:p w:rsidR="00F80CCD" w:rsidRPr="006D1DAF" w:rsidRDefault="00F80CCD" w:rsidP="00E6670A">
            <w:pPr>
              <w:pStyle w:val="ListParagraph"/>
              <w:numPr>
                <w:ilvl w:val="0"/>
                <w:numId w:val="11"/>
              </w:num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Wet signature</w:t>
            </w:r>
          </w:p>
          <w:p w:rsidR="00F80CCD" w:rsidRPr="006D1DAF" w:rsidRDefault="00F80CCD" w:rsidP="00E6670A">
            <w:pPr>
              <w:pStyle w:val="ListParagraph"/>
              <w:numPr>
                <w:ilvl w:val="0"/>
                <w:numId w:val="11"/>
              </w:num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lastRenderedPageBreak/>
              <w:t>E-Signature (short term:  send to the suitability review team and ask them to send to client for e-signature.  We are working to provide you the capability to attach DocuSign and send it directly to the client)</w:t>
            </w:r>
          </w:p>
          <w:p w:rsidR="00F80CCD" w:rsidRPr="006D1DAF" w:rsidRDefault="00F80CCD" w:rsidP="00E6670A">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9337AC">
              <w:rPr>
                <w:b/>
                <w:sz w:val="20"/>
              </w:rPr>
              <w:t>Note:</w:t>
            </w:r>
            <w:r w:rsidRPr="006D1DAF">
              <w:rPr>
                <w:sz w:val="20"/>
              </w:rPr>
              <w:t xml:space="preserve">  If adding a new product such as Term or Whole Life, and a signed illustration be needed to attach to the new app, the full suitability for the new product will need to be completed.</w:t>
            </w:r>
          </w:p>
        </w:tc>
        <w:tc>
          <w:tcPr>
            <w:tcW w:w="938" w:type="pct"/>
          </w:tcPr>
          <w:p w:rsidR="00F80CCD" w:rsidRPr="006D1DAF" w:rsidRDefault="00E841FF" w:rsidP="00E6670A">
            <w:pPr>
              <w:spacing w:before="120" w:after="120"/>
              <w:cnfStyle w:val="000000000000" w:firstRow="0" w:lastRow="0" w:firstColumn="0" w:lastColumn="0" w:oddVBand="0" w:evenVBand="0" w:oddHBand="0" w:evenHBand="0" w:firstRowFirstColumn="0" w:firstRowLastColumn="0" w:lastRowFirstColumn="0" w:lastRowLastColumn="0"/>
              <w:rPr>
                <w:sz w:val="20"/>
              </w:rPr>
            </w:pPr>
            <w:hyperlink r:id="rId21" w:history="1">
              <w:r w:rsidR="00F80CCD" w:rsidRPr="006D1DAF">
                <w:rPr>
                  <w:rStyle w:val="Hyperlink"/>
                  <w:sz w:val="20"/>
                </w:rPr>
                <w:t>Life Products Suitability Trust Supplemental Questionnaire (FR2281)</w:t>
              </w:r>
            </w:hyperlink>
          </w:p>
        </w:tc>
      </w:tr>
      <w:tr w:rsidR="00677C3D" w:rsidRPr="006D1DAF" w:rsidTr="002CA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single" w:sz="18" w:space="0" w:color="E7E6E6" w:themeColor="background2"/>
              <w:bottom w:val="single" w:sz="18" w:space="0" w:color="E7E6E6" w:themeColor="background2"/>
            </w:tcBorders>
            <w:shd w:val="clear" w:color="auto" w:fill="002060"/>
            <w:vAlign w:val="center"/>
          </w:tcPr>
          <w:p w:rsidR="00677C3D" w:rsidRPr="009337AC" w:rsidRDefault="00677C3D" w:rsidP="00D91AAE">
            <w:pPr>
              <w:spacing w:before="120" w:after="120"/>
              <w:jc w:val="left"/>
              <w:rPr>
                <w:b/>
                <w:color w:val="E7E6E6" w:themeColor="background2"/>
                <w:sz w:val="20"/>
              </w:rPr>
            </w:pPr>
            <w:r w:rsidRPr="009337AC">
              <w:rPr>
                <w:b/>
                <w:color w:val="E7E6E6" w:themeColor="background2"/>
                <w:sz w:val="20"/>
              </w:rPr>
              <w:t>Conversions:</w:t>
            </w:r>
          </w:p>
          <w:p w:rsidR="00677C3D" w:rsidRPr="009337AC" w:rsidRDefault="00677C3D" w:rsidP="00D91AAE">
            <w:pPr>
              <w:pStyle w:val="ListParagraph"/>
              <w:numPr>
                <w:ilvl w:val="0"/>
                <w:numId w:val="15"/>
              </w:numPr>
              <w:spacing w:before="120" w:after="120"/>
              <w:ind w:left="424" w:hanging="180"/>
              <w:jc w:val="left"/>
              <w:rPr>
                <w:b/>
                <w:color w:val="E7E6E6" w:themeColor="background2"/>
                <w:sz w:val="20"/>
              </w:rPr>
            </w:pPr>
            <w:r w:rsidRPr="009337AC">
              <w:rPr>
                <w:b/>
                <w:color w:val="E7E6E6" w:themeColor="background2"/>
                <w:sz w:val="20"/>
              </w:rPr>
              <w:t xml:space="preserve">LISR to Whole Life </w:t>
            </w:r>
          </w:p>
          <w:p w:rsidR="00677C3D" w:rsidRPr="009337AC" w:rsidRDefault="00677C3D" w:rsidP="00D91AAE">
            <w:pPr>
              <w:pStyle w:val="ListParagraph"/>
              <w:numPr>
                <w:ilvl w:val="0"/>
                <w:numId w:val="15"/>
              </w:numPr>
              <w:spacing w:before="120" w:after="120"/>
              <w:ind w:left="424" w:hanging="180"/>
              <w:jc w:val="left"/>
              <w:rPr>
                <w:b/>
                <w:color w:val="E7E6E6" w:themeColor="background2"/>
                <w:sz w:val="20"/>
              </w:rPr>
            </w:pPr>
            <w:r w:rsidRPr="009337AC">
              <w:rPr>
                <w:b/>
                <w:color w:val="E7E6E6" w:themeColor="background2"/>
                <w:sz w:val="20"/>
              </w:rPr>
              <w:t>Term to Perm</w:t>
            </w:r>
          </w:p>
          <w:p w:rsidR="00677C3D" w:rsidRPr="009337AC" w:rsidRDefault="00677C3D" w:rsidP="00D91AAE">
            <w:pPr>
              <w:pStyle w:val="ListParagraph"/>
              <w:numPr>
                <w:ilvl w:val="0"/>
                <w:numId w:val="15"/>
              </w:numPr>
              <w:spacing w:before="120" w:after="120"/>
              <w:ind w:left="424" w:hanging="180"/>
              <w:jc w:val="left"/>
              <w:rPr>
                <w:b/>
                <w:color w:val="E7E6E6" w:themeColor="background2"/>
                <w:sz w:val="20"/>
              </w:rPr>
            </w:pPr>
            <w:r w:rsidRPr="009337AC">
              <w:rPr>
                <w:b/>
                <w:color w:val="E7E6E6" w:themeColor="background2"/>
                <w:sz w:val="20"/>
              </w:rPr>
              <w:t>VUL to Whole Life</w:t>
            </w:r>
          </w:p>
          <w:p w:rsidR="00677C3D" w:rsidRPr="009337AC" w:rsidRDefault="00677C3D" w:rsidP="00D91AAE">
            <w:pPr>
              <w:spacing w:before="120" w:after="120"/>
              <w:jc w:val="left"/>
              <w:rPr>
                <w:b/>
                <w:color w:val="E7E6E6" w:themeColor="background2"/>
                <w:sz w:val="20"/>
              </w:rPr>
            </w:pPr>
          </w:p>
        </w:tc>
        <w:tc>
          <w:tcPr>
            <w:tcW w:w="3063" w:type="pct"/>
          </w:tcPr>
          <w:p w:rsidR="008D31AF" w:rsidRDefault="008D31AF" w:rsidP="00D91AAE">
            <w:pPr>
              <w:spacing w:before="120" w:after="120"/>
              <w:cnfStyle w:val="000000100000" w:firstRow="0" w:lastRow="0" w:firstColumn="0" w:lastColumn="0" w:oddVBand="0" w:evenVBand="0" w:oddHBand="1" w:evenHBand="0" w:firstRowFirstColumn="0" w:firstRowLastColumn="0" w:lastRowFirstColumn="0" w:lastRowLastColumn="0"/>
              <w:rPr>
                <w:sz w:val="20"/>
              </w:rPr>
            </w:pPr>
            <w:r>
              <w:rPr>
                <w:sz w:val="20"/>
              </w:rPr>
              <w:t>A signed illustration is needed for the new product.</w:t>
            </w:r>
          </w:p>
          <w:p w:rsidR="00677C3D" w:rsidRPr="006D1DAF" w:rsidRDefault="00677C3D" w:rsidP="00D91AAE">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Suitability is required and based on length the policy is inforce.</w:t>
            </w:r>
          </w:p>
          <w:p w:rsidR="00677C3D" w:rsidRPr="006D1DAF" w:rsidRDefault="00677C3D" w:rsidP="00D91AAE">
            <w:pPr>
              <w:pStyle w:val="ListParagraph"/>
              <w:numPr>
                <w:ilvl w:val="0"/>
                <w:numId w:val="13"/>
              </w:num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 xml:space="preserve">Less than one year inforce use: </w:t>
            </w:r>
            <w:hyperlink r:id="rId22" w:history="1">
              <w:r w:rsidRPr="006D1DAF">
                <w:rPr>
                  <w:rStyle w:val="Hyperlink"/>
                  <w:sz w:val="20"/>
                </w:rPr>
                <w:t>Life Products Suitability Questionnaire (FR2282)</w:t>
              </w:r>
            </w:hyperlink>
          </w:p>
          <w:p w:rsidR="00677C3D" w:rsidRPr="006D1DAF" w:rsidRDefault="00677C3D" w:rsidP="00D91AAE">
            <w:pPr>
              <w:pStyle w:val="ListParagraph"/>
              <w:numPr>
                <w:ilvl w:val="0"/>
                <w:numId w:val="13"/>
              </w:num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 xml:space="preserve">More than one year inforce use: </w:t>
            </w:r>
            <w:hyperlink r:id="rId23" w:history="1">
              <w:r w:rsidRPr="006D1DAF">
                <w:rPr>
                  <w:rStyle w:val="Hyperlink"/>
                  <w:sz w:val="20"/>
                </w:rPr>
                <w:t>Life Suitability Acknowledgement Certification (FR2284)</w:t>
              </w:r>
            </w:hyperlink>
          </w:p>
          <w:p w:rsidR="00677C3D" w:rsidRPr="006D1DAF" w:rsidRDefault="00677C3D" w:rsidP="00D91AAE">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 xml:space="preserve">The client can exercise their contractual right regardless of the suitability outcome.  </w:t>
            </w:r>
          </w:p>
          <w:p w:rsidR="00677C3D" w:rsidRPr="006D1DAF" w:rsidRDefault="00677C3D" w:rsidP="00D91AAE">
            <w:pPr>
              <w:pStyle w:val="ListParagraph"/>
              <w:numPr>
                <w:ilvl w:val="0"/>
                <w:numId w:val="13"/>
              </w:num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 xml:space="preserve">If the case is determined “Not Suitable” and has been inforce less than one year, also complete: </w:t>
            </w:r>
            <w:hyperlink r:id="rId24" w:history="1">
              <w:r w:rsidRPr="006D1DAF">
                <w:rPr>
                  <w:rStyle w:val="Hyperlink"/>
                  <w:sz w:val="20"/>
                </w:rPr>
                <w:t>Life Suitability Acknowledgement Certification (FR2284)</w:t>
              </w:r>
            </w:hyperlink>
            <w:r w:rsidRPr="006D1DAF">
              <w:rPr>
                <w:sz w:val="20"/>
              </w:rPr>
              <w:t xml:space="preserve"> (this is the form for polic</w:t>
            </w:r>
            <w:r w:rsidR="00D91AAE">
              <w:rPr>
                <w:sz w:val="20"/>
              </w:rPr>
              <w:t>ies inforce more than one year)</w:t>
            </w:r>
          </w:p>
          <w:p w:rsidR="00677C3D" w:rsidRDefault="00677C3D" w:rsidP="00D91AAE">
            <w:pPr>
              <w:pStyle w:val="ListParagraph"/>
              <w:numPr>
                <w:ilvl w:val="0"/>
                <w:numId w:val="15"/>
              </w:num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Indicate if it is recommended to convert OR if the client is choosing to exercise the contractual right.</w:t>
            </w:r>
          </w:p>
          <w:p w:rsidR="00606E4D" w:rsidRDefault="00606E4D" w:rsidP="00606E4D">
            <w:pPr>
              <w:spacing w:before="120" w:after="120"/>
              <w:cnfStyle w:val="000000100000" w:firstRow="0" w:lastRow="0" w:firstColumn="0" w:lastColumn="0" w:oddVBand="0" w:evenVBand="0" w:oddHBand="1" w:evenHBand="0" w:firstRowFirstColumn="0" w:firstRowLastColumn="0" w:lastRowFirstColumn="0" w:lastRowLastColumn="0"/>
              <w:rPr>
                <w:sz w:val="20"/>
              </w:rPr>
            </w:pPr>
            <w:r>
              <w:rPr>
                <w:sz w:val="20"/>
              </w:rPr>
              <w:t xml:space="preserve">IF the conversion is </w:t>
            </w:r>
            <w:r w:rsidRPr="00606E4D">
              <w:rPr>
                <w:b/>
                <w:sz w:val="20"/>
              </w:rPr>
              <w:t>owned</w:t>
            </w:r>
            <w:r>
              <w:rPr>
                <w:sz w:val="20"/>
              </w:rPr>
              <w:t xml:space="preserve"> by a </w:t>
            </w:r>
            <w:r w:rsidRPr="00606E4D">
              <w:rPr>
                <w:b/>
                <w:sz w:val="20"/>
              </w:rPr>
              <w:t>business</w:t>
            </w:r>
            <w:r>
              <w:rPr>
                <w:sz w:val="20"/>
              </w:rPr>
              <w:t xml:space="preserve"> or a </w:t>
            </w:r>
            <w:r w:rsidRPr="00606E4D">
              <w:rPr>
                <w:b/>
                <w:sz w:val="20"/>
              </w:rPr>
              <w:t>trust</w:t>
            </w:r>
            <w:r>
              <w:rPr>
                <w:sz w:val="20"/>
              </w:rPr>
              <w:t>:</w:t>
            </w:r>
          </w:p>
          <w:p w:rsidR="00606E4D" w:rsidRDefault="00606E4D" w:rsidP="00606E4D">
            <w:pPr>
              <w:pStyle w:val="ListParagraph"/>
              <w:numPr>
                <w:ilvl w:val="0"/>
                <w:numId w:val="15"/>
              </w:numPr>
              <w:spacing w:before="120" w:after="120"/>
              <w:cnfStyle w:val="000000100000" w:firstRow="0" w:lastRow="0" w:firstColumn="0" w:lastColumn="0" w:oddVBand="0" w:evenVBand="0" w:oddHBand="1" w:evenHBand="0" w:firstRowFirstColumn="0" w:firstRowLastColumn="0" w:lastRowFirstColumn="0" w:lastRowLastColumn="0"/>
              <w:rPr>
                <w:sz w:val="20"/>
              </w:rPr>
            </w:pPr>
            <w:r>
              <w:rPr>
                <w:sz w:val="20"/>
              </w:rPr>
              <w:t>Obtained a signed illustration</w:t>
            </w:r>
          </w:p>
          <w:p w:rsidR="00606E4D" w:rsidRPr="00606E4D" w:rsidRDefault="00606E4D" w:rsidP="00606E4D">
            <w:pPr>
              <w:pStyle w:val="ListParagraph"/>
              <w:numPr>
                <w:ilvl w:val="0"/>
                <w:numId w:val="15"/>
              </w:numPr>
              <w:spacing w:before="120" w:after="120"/>
              <w:cnfStyle w:val="000000100000" w:firstRow="0" w:lastRow="0" w:firstColumn="0" w:lastColumn="0" w:oddVBand="0" w:evenVBand="0" w:oddHBand="1" w:evenHBand="0" w:firstRowFirstColumn="0" w:firstRowLastColumn="0" w:lastRowFirstColumn="0" w:lastRowLastColumn="0"/>
              <w:rPr>
                <w:sz w:val="20"/>
              </w:rPr>
            </w:pPr>
            <w:r>
              <w:rPr>
                <w:sz w:val="20"/>
              </w:rPr>
              <w:t>U</w:t>
            </w:r>
            <w:r w:rsidRPr="00606E4D">
              <w:rPr>
                <w:sz w:val="20"/>
              </w:rPr>
              <w:t>se the following suitability form:</w:t>
            </w:r>
          </w:p>
        </w:tc>
        <w:tc>
          <w:tcPr>
            <w:tcW w:w="938" w:type="pct"/>
          </w:tcPr>
          <w:p w:rsidR="00677C3D" w:rsidRPr="006D1DAF" w:rsidRDefault="00677C3D" w:rsidP="00D91AAE">
            <w:pPr>
              <w:spacing w:before="120" w:after="120"/>
              <w:cnfStyle w:val="000000100000" w:firstRow="0" w:lastRow="0" w:firstColumn="0" w:lastColumn="0" w:oddVBand="0" w:evenVBand="0" w:oddHBand="1" w:evenHBand="0" w:firstRowFirstColumn="0" w:firstRowLastColumn="0" w:lastRowFirstColumn="0" w:lastRowLastColumn="0"/>
              <w:rPr>
                <w:sz w:val="20"/>
              </w:rPr>
            </w:pPr>
          </w:p>
        </w:tc>
      </w:tr>
      <w:tr w:rsidR="00677C3D" w:rsidRPr="006D1DAF" w:rsidTr="002CA857">
        <w:tc>
          <w:tcPr>
            <w:cnfStyle w:val="001000000000" w:firstRow="0" w:lastRow="0" w:firstColumn="1" w:lastColumn="0" w:oddVBand="0" w:evenVBand="0" w:oddHBand="0" w:evenHBand="0" w:firstRowFirstColumn="0" w:firstRowLastColumn="0" w:lastRowFirstColumn="0" w:lastRowLastColumn="0"/>
            <w:tcW w:w="1000" w:type="pct"/>
            <w:tcBorders>
              <w:top w:val="single" w:sz="18" w:space="0" w:color="E7E6E6" w:themeColor="background2"/>
              <w:bottom w:val="single" w:sz="18" w:space="0" w:color="E7E6E6" w:themeColor="background2"/>
            </w:tcBorders>
            <w:shd w:val="clear" w:color="auto" w:fill="002060"/>
            <w:vAlign w:val="center"/>
          </w:tcPr>
          <w:p w:rsidR="00677C3D" w:rsidRPr="009337AC" w:rsidRDefault="00677C3D" w:rsidP="00D91AAE">
            <w:pPr>
              <w:spacing w:before="120" w:after="120"/>
              <w:jc w:val="left"/>
              <w:rPr>
                <w:b/>
                <w:color w:val="E7E6E6" w:themeColor="background2"/>
                <w:sz w:val="20"/>
              </w:rPr>
            </w:pPr>
            <w:r w:rsidRPr="009337AC">
              <w:rPr>
                <w:b/>
                <w:color w:val="E7E6E6" w:themeColor="background2"/>
                <w:sz w:val="20"/>
              </w:rPr>
              <w:t>Option Exercises:</w:t>
            </w:r>
          </w:p>
          <w:p w:rsidR="00677C3D" w:rsidRPr="009337AC" w:rsidRDefault="00677C3D" w:rsidP="008D31AF">
            <w:pPr>
              <w:pStyle w:val="ListParagraph"/>
              <w:numPr>
                <w:ilvl w:val="0"/>
                <w:numId w:val="15"/>
              </w:numPr>
              <w:spacing w:before="120" w:after="120"/>
              <w:ind w:left="253" w:hanging="180"/>
              <w:jc w:val="left"/>
              <w:rPr>
                <w:b/>
                <w:color w:val="E7E6E6" w:themeColor="background2"/>
                <w:sz w:val="20"/>
              </w:rPr>
            </w:pPr>
            <w:r w:rsidRPr="009337AC">
              <w:rPr>
                <w:b/>
                <w:color w:val="E7E6E6" w:themeColor="background2"/>
                <w:sz w:val="20"/>
              </w:rPr>
              <w:t>Addition of Insurability Rider</w:t>
            </w:r>
          </w:p>
          <w:p w:rsidR="00677C3D" w:rsidRPr="009337AC" w:rsidRDefault="00677C3D" w:rsidP="008D31AF">
            <w:pPr>
              <w:pStyle w:val="ListParagraph"/>
              <w:numPr>
                <w:ilvl w:val="0"/>
                <w:numId w:val="15"/>
              </w:numPr>
              <w:spacing w:before="120" w:after="120"/>
              <w:ind w:left="253" w:hanging="180"/>
              <w:jc w:val="left"/>
              <w:rPr>
                <w:b/>
                <w:color w:val="E7E6E6" w:themeColor="background2"/>
                <w:sz w:val="20"/>
              </w:rPr>
            </w:pPr>
            <w:r w:rsidRPr="009337AC">
              <w:rPr>
                <w:b/>
                <w:color w:val="E7E6E6" w:themeColor="background2"/>
                <w:sz w:val="20"/>
              </w:rPr>
              <w:t>Exercise Policy Split Option</w:t>
            </w:r>
          </w:p>
          <w:p w:rsidR="00677C3D" w:rsidRPr="009337AC" w:rsidRDefault="00677C3D" w:rsidP="008D31AF">
            <w:pPr>
              <w:pStyle w:val="ListParagraph"/>
              <w:numPr>
                <w:ilvl w:val="0"/>
                <w:numId w:val="15"/>
              </w:numPr>
              <w:spacing w:before="120" w:after="120"/>
              <w:ind w:left="253" w:hanging="180"/>
              <w:jc w:val="left"/>
              <w:rPr>
                <w:b/>
                <w:color w:val="E7E6E6" w:themeColor="background2"/>
                <w:sz w:val="20"/>
              </w:rPr>
            </w:pPr>
            <w:r w:rsidRPr="009337AC">
              <w:rPr>
                <w:b/>
                <w:color w:val="E7E6E6" w:themeColor="background2"/>
                <w:sz w:val="20"/>
              </w:rPr>
              <w:t>Exercise of Guaranteed Insurability Rider</w:t>
            </w:r>
          </w:p>
          <w:p w:rsidR="00677C3D" w:rsidRPr="009337AC" w:rsidRDefault="00677C3D" w:rsidP="008D31AF">
            <w:pPr>
              <w:pStyle w:val="ListParagraph"/>
              <w:numPr>
                <w:ilvl w:val="0"/>
                <w:numId w:val="15"/>
              </w:numPr>
              <w:spacing w:before="120" w:after="120"/>
              <w:ind w:left="253" w:hanging="180"/>
              <w:jc w:val="left"/>
              <w:rPr>
                <w:b/>
                <w:color w:val="E7E6E6" w:themeColor="background2"/>
                <w:sz w:val="20"/>
              </w:rPr>
            </w:pPr>
            <w:r w:rsidRPr="009337AC">
              <w:rPr>
                <w:b/>
                <w:color w:val="E7E6E6" w:themeColor="background2"/>
                <w:sz w:val="20"/>
              </w:rPr>
              <w:t>Transfer / Substitute Insured</w:t>
            </w:r>
          </w:p>
        </w:tc>
        <w:tc>
          <w:tcPr>
            <w:tcW w:w="3063" w:type="pct"/>
          </w:tcPr>
          <w:p w:rsidR="00677C3D" w:rsidRPr="006D1DAF" w:rsidRDefault="00677C3D" w:rsidP="00D91AAE">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 xml:space="preserve">Modified suitability will be required:  </w:t>
            </w:r>
            <w:hyperlink r:id="rId25" w:history="1">
              <w:r w:rsidRPr="006D1DAF">
                <w:rPr>
                  <w:rStyle w:val="Hyperlink"/>
                  <w:sz w:val="20"/>
                </w:rPr>
                <w:t>Life Suitability Acknowledgement Certification (FR2284)</w:t>
              </w:r>
            </w:hyperlink>
          </w:p>
          <w:p w:rsidR="00677C3D" w:rsidRPr="006D1DAF" w:rsidRDefault="00677C3D" w:rsidP="00D91AAE">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 xml:space="preserve">The client can exercise their contractual right regardless of the suitability outcome.  </w:t>
            </w:r>
          </w:p>
          <w:p w:rsidR="00677C3D" w:rsidRPr="008D31AF" w:rsidRDefault="00677C3D" w:rsidP="00D91AAE">
            <w:pPr>
              <w:pStyle w:val="ListParagraph"/>
              <w:numPr>
                <w:ilvl w:val="0"/>
                <w:numId w:val="14"/>
              </w:num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If the case is determined “Not Suitable” indicate if it is recommended to convert OR if the client is choosing to exercise the contractual right.</w:t>
            </w:r>
          </w:p>
        </w:tc>
        <w:tc>
          <w:tcPr>
            <w:tcW w:w="938" w:type="pct"/>
          </w:tcPr>
          <w:p w:rsidR="00677C3D" w:rsidRPr="006D1DAF" w:rsidRDefault="00677C3D" w:rsidP="00D91AAE">
            <w:pPr>
              <w:spacing w:before="120" w:after="120"/>
              <w:cnfStyle w:val="000000000000" w:firstRow="0" w:lastRow="0" w:firstColumn="0" w:lastColumn="0" w:oddVBand="0" w:evenVBand="0" w:oddHBand="0" w:evenHBand="0" w:firstRowFirstColumn="0" w:firstRowLastColumn="0" w:lastRowFirstColumn="0" w:lastRowLastColumn="0"/>
              <w:rPr>
                <w:sz w:val="20"/>
              </w:rPr>
            </w:pPr>
          </w:p>
        </w:tc>
      </w:tr>
      <w:tr w:rsidR="00677C3D" w:rsidRPr="006D1DAF" w:rsidTr="002CA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single" w:sz="18" w:space="0" w:color="E7E6E6" w:themeColor="background2"/>
              <w:bottom w:val="single" w:sz="18" w:space="0" w:color="E7E6E6" w:themeColor="background2"/>
            </w:tcBorders>
            <w:shd w:val="clear" w:color="auto" w:fill="002060"/>
            <w:vAlign w:val="center"/>
          </w:tcPr>
          <w:p w:rsidR="00677C3D" w:rsidRPr="009337AC" w:rsidRDefault="00677C3D" w:rsidP="00EB27F4">
            <w:pPr>
              <w:spacing w:before="120" w:after="120"/>
              <w:jc w:val="left"/>
              <w:rPr>
                <w:b/>
                <w:color w:val="E7E6E6" w:themeColor="background2"/>
                <w:sz w:val="20"/>
              </w:rPr>
            </w:pPr>
            <w:r w:rsidRPr="009337AC">
              <w:rPr>
                <w:b/>
                <w:color w:val="E7E6E6" w:themeColor="background2"/>
                <w:sz w:val="20"/>
              </w:rPr>
              <w:t xml:space="preserve">Changes to an Existing Policy </w:t>
            </w:r>
            <w:r w:rsidR="00EB27F4">
              <w:rPr>
                <w:b/>
                <w:color w:val="E7E6E6" w:themeColor="background2"/>
                <w:sz w:val="20"/>
              </w:rPr>
              <w:t>inforce more than 90 days</w:t>
            </w:r>
          </w:p>
        </w:tc>
        <w:tc>
          <w:tcPr>
            <w:tcW w:w="3063" w:type="pct"/>
          </w:tcPr>
          <w:p w:rsidR="00677C3D" w:rsidRPr="006D1DAF" w:rsidRDefault="00677C3D" w:rsidP="00D91AAE">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 xml:space="preserve">Complete </w:t>
            </w:r>
            <w:hyperlink r:id="rId26" w:history="1">
              <w:r w:rsidRPr="006D1DAF">
                <w:rPr>
                  <w:rStyle w:val="Hyperlink"/>
                  <w:sz w:val="20"/>
                </w:rPr>
                <w:t>Life Products Post Issue Full Suitability Questionnaire (FR2291)</w:t>
              </w:r>
            </w:hyperlink>
            <w:r w:rsidRPr="006D1DAF">
              <w:rPr>
                <w:sz w:val="20"/>
              </w:rPr>
              <w:t xml:space="preserve"> for the following changes to an existing policy:</w:t>
            </w:r>
          </w:p>
          <w:p w:rsidR="00677C3D" w:rsidRPr="006D1DAF" w:rsidRDefault="00677C3D" w:rsidP="00D91AAE">
            <w:pPr>
              <w:pStyle w:val="ListParagraph"/>
              <w:numPr>
                <w:ilvl w:val="0"/>
                <w:numId w:val="9"/>
              </w:num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Face increase to an existing policy</w:t>
            </w:r>
          </w:p>
          <w:p w:rsidR="00677C3D" w:rsidRPr="006D1DAF" w:rsidRDefault="00677C3D" w:rsidP="00D91AAE">
            <w:pPr>
              <w:pStyle w:val="ListParagraph"/>
              <w:numPr>
                <w:ilvl w:val="0"/>
                <w:numId w:val="9"/>
              </w:num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Addition of a new unscheduled ALIR</w:t>
            </w:r>
          </w:p>
          <w:p w:rsidR="00677C3D" w:rsidRPr="006D1DAF" w:rsidRDefault="00677C3D" w:rsidP="00D91AAE">
            <w:pPr>
              <w:pStyle w:val="ListParagraph"/>
              <w:numPr>
                <w:ilvl w:val="0"/>
                <w:numId w:val="9"/>
              </w:numPr>
              <w:spacing w:before="120" w:after="120"/>
              <w:cnfStyle w:val="000000100000" w:firstRow="0" w:lastRow="0" w:firstColumn="0" w:lastColumn="0" w:oddVBand="0" w:evenVBand="0" w:oddHBand="1" w:evenHBand="0" w:firstRowFirstColumn="0" w:firstRowLastColumn="0" w:lastRowFirstColumn="0" w:lastRowLastColumn="0"/>
              <w:rPr>
                <w:sz w:val="20"/>
              </w:rPr>
            </w:pPr>
            <w:r w:rsidRPr="006D1DAF">
              <w:rPr>
                <w:sz w:val="20"/>
              </w:rPr>
              <w:t>Term or VUL conversion in the first year</w:t>
            </w:r>
          </w:p>
        </w:tc>
        <w:tc>
          <w:tcPr>
            <w:tcW w:w="938" w:type="pct"/>
          </w:tcPr>
          <w:p w:rsidR="00677C3D" w:rsidRPr="006D1DAF" w:rsidRDefault="00E841FF" w:rsidP="00D91AAE">
            <w:pPr>
              <w:spacing w:before="120" w:after="120"/>
              <w:cnfStyle w:val="000000100000" w:firstRow="0" w:lastRow="0" w:firstColumn="0" w:lastColumn="0" w:oddVBand="0" w:evenVBand="0" w:oddHBand="1" w:evenHBand="0" w:firstRowFirstColumn="0" w:firstRowLastColumn="0" w:lastRowFirstColumn="0" w:lastRowLastColumn="0"/>
              <w:rPr>
                <w:sz w:val="20"/>
              </w:rPr>
            </w:pPr>
            <w:hyperlink r:id="rId27" w:history="1">
              <w:r w:rsidR="00677C3D" w:rsidRPr="006D1DAF">
                <w:rPr>
                  <w:rStyle w:val="Hyperlink"/>
                  <w:sz w:val="20"/>
                </w:rPr>
                <w:t>A producer guide to the Life Products Post Issue Full Suitability Questionnaire (FR2291)</w:t>
              </w:r>
            </w:hyperlink>
          </w:p>
        </w:tc>
      </w:tr>
      <w:tr w:rsidR="00677C3D" w:rsidRPr="006D1DAF" w:rsidTr="002CA857">
        <w:tc>
          <w:tcPr>
            <w:cnfStyle w:val="001000000000" w:firstRow="0" w:lastRow="0" w:firstColumn="1" w:lastColumn="0" w:oddVBand="0" w:evenVBand="0" w:oddHBand="0" w:evenHBand="0" w:firstRowFirstColumn="0" w:firstRowLastColumn="0" w:lastRowFirstColumn="0" w:lastRowLastColumn="0"/>
            <w:tcW w:w="1000" w:type="pct"/>
            <w:tcBorders>
              <w:top w:val="single" w:sz="18" w:space="0" w:color="E7E6E6" w:themeColor="background2"/>
              <w:bottom w:val="single" w:sz="18" w:space="0" w:color="E7E6E6" w:themeColor="background2"/>
            </w:tcBorders>
            <w:shd w:val="clear" w:color="auto" w:fill="002060"/>
            <w:vAlign w:val="center"/>
          </w:tcPr>
          <w:p w:rsidR="00677C3D" w:rsidRPr="009337AC" w:rsidRDefault="00677C3D" w:rsidP="00D91AAE">
            <w:pPr>
              <w:spacing w:before="120" w:after="120"/>
              <w:jc w:val="left"/>
              <w:rPr>
                <w:b/>
                <w:color w:val="E7E6E6" w:themeColor="background2"/>
                <w:sz w:val="20"/>
              </w:rPr>
            </w:pPr>
            <w:r w:rsidRPr="009337AC">
              <w:rPr>
                <w:b/>
                <w:color w:val="E7E6E6" w:themeColor="background2"/>
                <w:sz w:val="20"/>
              </w:rPr>
              <w:t>Rider Additions:</w:t>
            </w:r>
          </w:p>
          <w:p w:rsidR="00677C3D" w:rsidRPr="009337AC" w:rsidRDefault="00677C3D" w:rsidP="00606E4D">
            <w:pPr>
              <w:pStyle w:val="ListParagraph"/>
              <w:numPr>
                <w:ilvl w:val="0"/>
                <w:numId w:val="15"/>
              </w:numPr>
              <w:spacing w:before="120" w:after="120"/>
              <w:ind w:left="253" w:hanging="180"/>
              <w:jc w:val="left"/>
              <w:rPr>
                <w:b/>
                <w:color w:val="E7E6E6" w:themeColor="background2"/>
                <w:sz w:val="20"/>
              </w:rPr>
            </w:pPr>
            <w:r w:rsidRPr="009337AC">
              <w:rPr>
                <w:b/>
                <w:color w:val="E7E6E6" w:themeColor="background2"/>
                <w:sz w:val="20"/>
              </w:rPr>
              <w:lastRenderedPageBreak/>
              <w:t>Add Waiver of Premium / Waiver of Specified Premium Rider</w:t>
            </w:r>
          </w:p>
          <w:p w:rsidR="00677C3D" w:rsidRPr="009337AC" w:rsidRDefault="00677C3D" w:rsidP="00606E4D">
            <w:pPr>
              <w:pStyle w:val="ListParagraph"/>
              <w:numPr>
                <w:ilvl w:val="0"/>
                <w:numId w:val="15"/>
              </w:numPr>
              <w:spacing w:before="120" w:after="120"/>
              <w:ind w:left="253" w:hanging="180"/>
              <w:jc w:val="left"/>
              <w:rPr>
                <w:b/>
                <w:color w:val="E7E6E6" w:themeColor="background2"/>
                <w:sz w:val="20"/>
              </w:rPr>
            </w:pPr>
            <w:r w:rsidRPr="009337AC">
              <w:rPr>
                <w:b/>
                <w:color w:val="E7E6E6" w:themeColor="background2"/>
                <w:sz w:val="20"/>
              </w:rPr>
              <w:t xml:space="preserve">ALIR:  </w:t>
            </w:r>
          </w:p>
          <w:p w:rsidR="00677C3D" w:rsidRPr="009337AC" w:rsidRDefault="00677C3D" w:rsidP="00606E4D">
            <w:pPr>
              <w:pStyle w:val="ListParagraph"/>
              <w:numPr>
                <w:ilvl w:val="1"/>
                <w:numId w:val="15"/>
              </w:numPr>
              <w:spacing w:before="120" w:after="120"/>
              <w:ind w:left="523" w:hanging="270"/>
              <w:jc w:val="left"/>
              <w:rPr>
                <w:b/>
                <w:color w:val="E7E6E6" w:themeColor="background2"/>
                <w:sz w:val="20"/>
              </w:rPr>
            </w:pPr>
            <w:r w:rsidRPr="009337AC">
              <w:rPr>
                <w:b/>
                <w:color w:val="E7E6E6" w:themeColor="background2"/>
                <w:sz w:val="20"/>
              </w:rPr>
              <w:t>Increase existing ALIR</w:t>
            </w:r>
          </w:p>
          <w:p w:rsidR="00677C3D" w:rsidRPr="009337AC" w:rsidRDefault="00677C3D" w:rsidP="00606E4D">
            <w:pPr>
              <w:pStyle w:val="ListParagraph"/>
              <w:numPr>
                <w:ilvl w:val="1"/>
                <w:numId w:val="15"/>
              </w:numPr>
              <w:spacing w:before="120" w:after="120"/>
              <w:ind w:left="523" w:hanging="270"/>
              <w:jc w:val="left"/>
              <w:rPr>
                <w:b/>
                <w:color w:val="E7E6E6" w:themeColor="background2"/>
                <w:sz w:val="20"/>
              </w:rPr>
            </w:pPr>
            <w:r w:rsidRPr="009337AC">
              <w:rPr>
                <w:b/>
                <w:color w:val="E7E6E6" w:themeColor="background2"/>
                <w:sz w:val="20"/>
              </w:rPr>
              <w:t xml:space="preserve">Add Scheduled ALIR </w:t>
            </w:r>
          </w:p>
        </w:tc>
        <w:tc>
          <w:tcPr>
            <w:tcW w:w="3063" w:type="pct"/>
          </w:tcPr>
          <w:p w:rsidR="00677C3D" w:rsidRPr="006D1DAF" w:rsidRDefault="00677C3D" w:rsidP="00D91AAE">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lastRenderedPageBreak/>
              <w:t xml:space="preserve">Modified suitability will be required for all changes listed to left:  </w:t>
            </w:r>
            <w:hyperlink r:id="rId28" w:history="1">
              <w:r w:rsidRPr="006D1DAF">
                <w:rPr>
                  <w:rStyle w:val="Hyperlink"/>
                  <w:sz w:val="20"/>
                </w:rPr>
                <w:t>Life Suitability Acknowledgement Certification (FR2284)</w:t>
              </w:r>
            </w:hyperlink>
          </w:p>
          <w:p w:rsidR="00677C3D" w:rsidRPr="006D1DAF" w:rsidRDefault="00677C3D" w:rsidP="00D91AAE">
            <w:pPr>
              <w:spacing w:before="120" w:after="120"/>
              <w:cnfStyle w:val="000000000000" w:firstRow="0" w:lastRow="0" w:firstColumn="0" w:lastColumn="0" w:oddVBand="0" w:evenVBand="0" w:oddHBand="0" w:evenHBand="0" w:firstRowFirstColumn="0" w:firstRowLastColumn="0" w:lastRowFirstColumn="0" w:lastRowLastColumn="0"/>
              <w:rPr>
                <w:sz w:val="20"/>
              </w:rPr>
            </w:pPr>
          </w:p>
          <w:p w:rsidR="00677C3D" w:rsidRPr="006D1DAF" w:rsidRDefault="00677C3D" w:rsidP="00D91AAE">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 xml:space="preserve">For a new Unscheduled ALIR </w:t>
            </w:r>
            <w:r w:rsidR="009E4017">
              <w:rPr>
                <w:sz w:val="20"/>
              </w:rPr>
              <w:t xml:space="preserve">: </w:t>
            </w:r>
          </w:p>
          <w:p w:rsidR="00677C3D" w:rsidRDefault="00677C3D" w:rsidP="00D91AAE">
            <w:pPr>
              <w:pStyle w:val="ListParagraph"/>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sz w:val="20"/>
              </w:rPr>
            </w:pPr>
            <w:r w:rsidRPr="006D1DAF">
              <w:rPr>
                <w:sz w:val="20"/>
              </w:rPr>
              <w:t>Signed Illustrations must be attached to the application</w:t>
            </w:r>
          </w:p>
          <w:p w:rsidR="009E4017" w:rsidRPr="006D1DAF" w:rsidRDefault="009E4017" w:rsidP="00D91AAE">
            <w:pPr>
              <w:pStyle w:val="ListParagraph"/>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sz w:val="20"/>
              </w:rPr>
            </w:pPr>
            <w:r>
              <w:rPr>
                <w:sz w:val="20"/>
              </w:rPr>
              <w:t>U</w:t>
            </w:r>
            <w:r w:rsidRPr="006D1DAF">
              <w:rPr>
                <w:sz w:val="20"/>
              </w:rPr>
              <w:t xml:space="preserve">se </w:t>
            </w:r>
            <w:hyperlink r:id="rId29" w:history="1">
              <w:r w:rsidRPr="006D1DAF">
                <w:rPr>
                  <w:rStyle w:val="Hyperlink"/>
                  <w:sz w:val="20"/>
                </w:rPr>
                <w:t xml:space="preserve"> Life Products Post Issue Full Suitability Questionnaire (FR2282)</w:t>
              </w:r>
            </w:hyperlink>
          </w:p>
        </w:tc>
        <w:tc>
          <w:tcPr>
            <w:tcW w:w="938" w:type="pct"/>
          </w:tcPr>
          <w:p w:rsidR="00677C3D" w:rsidRPr="006D1DAF" w:rsidRDefault="00677C3D" w:rsidP="00D91AAE">
            <w:pPr>
              <w:spacing w:before="120" w:after="120"/>
              <w:cnfStyle w:val="000000000000" w:firstRow="0" w:lastRow="0" w:firstColumn="0" w:lastColumn="0" w:oddVBand="0" w:evenVBand="0" w:oddHBand="0" w:evenHBand="0" w:firstRowFirstColumn="0" w:firstRowLastColumn="0" w:lastRowFirstColumn="0" w:lastRowLastColumn="0"/>
              <w:rPr>
                <w:sz w:val="20"/>
              </w:rPr>
            </w:pPr>
          </w:p>
        </w:tc>
      </w:tr>
      <w:tr w:rsidR="00F80CCD" w:rsidRPr="006D1DAF" w:rsidTr="002CA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single" w:sz="18" w:space="0" w:color="E7E6E6" w:themeColor="background2"/>
              <w:bottom w:val="single" w:sz="18" w:space="0" w:color="E7E6E6" w:themeColor="background2"/>
            </w:tcBorders>
            <w:shd w:val="clear" w:color="auto" w:fill="002060"/>
            <w:vAlign w:val="center"/>
          </w:tcPr>
          <w:p w:rsidR="00F80CCD" w:rsidRPr="009337AC" w:rsidRDefault="00F80CCD" w:rsidP="00E6670A">
            <w:pPr>
              <w:spacing w:before="120" w:after="120"/>
              <w:jc w:val="left"/>
              <w:rPr>
                <w:b/>
                <w:color w:val="E7E6E6" w:themeColor="background2"/>
                <w:sz w:val="20"/>
              </w:rPr>
            </w:pPr>
            <w:r w:rsidRPr="009337AC">
              <w:rPr>
                <w:b/>
                <w:color w:val="E7E6E6" w:themeColor="background2"/>
                <w:sz w:val="20"/>
              </w:rPr>
              <w:t>Best Interest – Recommendations vs non-recommendation</w:t>
            </w:r>
          </w:p>
        </w:tc>
        <w:tc>
          <w:tcPr>
            <w:tcW w:w="3063" w:type="pct"/>
          </w:tcPr>
          <w:p w:rsidR="00F80CCD" w:rsidRDefault="00F80CCD" w:rsidP="00E6670A">
            <w:pPr>
              <w:spacing w:before="120" w:after="120"/>
              <w:cnfStyle w:val="000000100000" w:firstRow="0" w:lastRow="0" w:firstColumn="0" w:lastColumn="0" w:oddVBand="0" w:evenVBand="0" w:oddHBand="1" w:evenHBand="0" w:firstRowFirstColumn="0" w:firstRowLastColumn="0" w:lastRowFirstColumn="0" w:lastRowLastColumn="0"/>
              <w:rPr>
                <w:sz w:val="20"/>
              </w:rPr>
            </w:pPr>
            <w:r>
              <w:rPr>
                <w:sz w:val="20"/>
              </w:rPr>
              <w:t xml:space="preserve">Keep complete file notes when a recommendation is made for all scenarios.  While not all recommendations are subject to suitability (only transactions with new coverage and FYC are subject to suitability), all recommendations are subject to best interest.  </w:t>
            </w:r>
          </w:p>
          <w:p w:rsidR="00F80CCD" w:rsidRDefault="00F80CCD" w:rsidP="00E6670A">
            <w:pPr>
              <w:spacing w:before="120" w:after="120"/>
              <w:cnfStyle w:val="000000100000" w:firstRow="0" w:lastRow="0" w:firstColumn="0" w:lastColumn="0" w:oddVBand="0" w:evenVBand="0" w:oddHBand="1" w:evenHBand="0" w:firstRowFirstColumn="0" w:firstRowLastColumn="0" w:lastRowFirstColumn="0" w:lastRowLastColumn="0"/>
              <w:rPr>
                <w:sz w:val="20"/>
              </w:rPr>
            </w:pPr>
            <w:r>
              <w:rPr>
                <w:sz w:val="20"/>
              </w:rPr>
              <w:t>What’s the difference between a recommendation and a client exercising options?</w:t>
            </w:r>
          </w:p>
          <w:p w:rsidR="00F80CCD" w:rsidRPr="00D91AAE" w:rsidRDefault="00F80CCD" w:rsidP="00E6670A">
            <w:pPr>
              <w:pStyle w:val="ListParagraph"/>
              <w:numPr>
                <w:ilvl w:val="0"/>
                <w:numId w:val="21"/>
              </w:numPr>
              <w:spacing w:before="120" w:after="120"/>
              <w:cnfStyle w:val="000000100000" w:firstRow="0" w:lastRow="0" w:firstColumn="0" w:lastColumn="0" w:oddVBand="0" w:evenVBand="0" w:oddHBand="1" w:evenHBand="0" w:firstRowFirstColumn="0" w:firstRowLastColumn="0" w:lastRowFirstColumn="0" w:lastRowLastColumn="0"/>
              <w:rPr>
                <w:sz w:val="20"/>
              </w:rPr>
            </w:pPr>
            <w:r w:rsidRPr="00D91AAE">
              <w:rPr>
                <w:sz w:val="20"/>
              </w:rPr>
              <w:t>If a client calls and asks you to review their policy, wanting to know which policy to take a loan out to pay for a child’s education and the producer provides feedback – that is a recommendation.  Basis of the recommendation should be noted in the client file notes along with summary of conversation and decision(s) client makes.</w:t>
            </w:r>
            <w:r>
              <w:rPr>
                <w:sz w:val="20"/>
              </w:rPr>
              <w:br/>
            </w:r>
          </w:p>
          <w:p w:rsidR="00F80CCD" w:rsidRPr="00D91AAE" w:rsidRDefault="00F80CCD" w:rsidP="00E6670A">
            <w:pPr>
              <w:pStyle w:val="ListParagraph"/>
              <w:numPr>
                <w:ilvl w:val="0"/>
                <w:numId w:val="21"/>
              </w:numPr>
              <w:spacing w:before="120" w:after="120"/>
              <w:cnfStyle w:val="000000100000" w:firstRow="0" w:lastRow="0" w:firstColumn="0" w:lastColumn="0" w:oddVBand="0" w:evenVBand="0" w:oddHBand="1" w:evenHBand="0" w:firstRowFirstColumn="0" w:firstRowLastColumn="0" w:lastRowFirstColumn="0" w:lastRowLastColumn="0"/>
              <w:rPr>
                <w:sz w:val="20"/>
              </w:rPr>
            </w:pPr>
            <w:r w:rsidRPr="00D91AAE">
              <w:rPr>
                <w:sz w:val="20"/>
              </w:rPr>
              <w:t>If a client calls and requests a loan of $10,000 on a policy – that is not a recommendation and is not subject to best interest.  Recommended practice is to note the request in the client file.</w:t>
            </w:r>
          </w:p>
        </w:tc>
        <w:tc>
          <w:tcPr>
            <w:tcW w:w="938" w:type="pct"/>
          </w:tcPr>
          <w:p w:rsidR="00F80CCD" w:rsidRDefault="00F80CCD" w:rsidP="00E6670A">
            <w:pPr>
              <w:spacing w:before="120" w:after="120"/>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B9792D">
              <w:rPr>
                <w:rFonts w:ascii="Arial" w:hAnsi="Arial" w:cs="Arial"/>
                <w:color w:val="333333"/>
                <w:sz w:val="17"/>
                <w:szCs w:val="17"/>
                <w:shd w:val="clear" w:color="auto" w:fill="F2F2F2" w:themeFill="background1" w:themeFillShade="F2"/>
              </w:rPr>
              <w:t> </w:t>
            </w:r>
            <w:hyperlink r:id="rId30" w:tgtFrame="_blank" w:history="1">
              <w:r w:rsidRPr="00B9792D">
                <w:rPr>
                  <w:rStyle w:val="Hyperlink"/>
                  <w:rFonts w:ascii="Arial" w:hAnsi="Arial" w:cs="Arial"/>
                  <w:color w:val="4C97E5"/>
                  <w:sz w:val="17"/>
                  <w:szCs w:val="17"/>
                  <w:shd w:val="clear" w:color="auto" w:fill="F2F2F2" w:themeFill="background1" w:themeFillShade="F2"/>
                </w:rPr>
                <w:t>New York (NY) Regulation 187: Suitability and Best Interest in Life Insurance and Annuity Transaction</w:t>
              </w:r>
            </w:hyperlink>
          </w:p>
          <w:p w:rsidR="00F80CCD" w:rsidRPr="00B9792D" w:rsidRDefault="00E841FF" w:rsidP="00E6670A">
            <w:pPr>
              <w:shd w:val="clear" w:color="auto" w:fill="F2F2F2" w:themeFill="background1" w:themeFillShade="F2"/>
              <w:spacing w:before="120" w:after="120"/>
              <w:cnfStyle w:val="000000100000" w:firstRow="0" w:lastRow="0" w:firstColumn="0" w:lastColumn="0" w:oddVBand="0" w:evenVBand="0" w:oddHBand="1" w:evenHBand="0" w:firstRowFirstColumn="0" w:firstRowLastColumn="0" w:lastRowFirstColumn="0" w:lastRowLastColumn="0"/>
            </w:pPr>
            <w:hyperlink r:id="rId31" w:tgtFrame="_blank" w:history="1">
              <w:r w:rsidR="00F80CCD" w:rsidRPr="00B9792D">
                <w:rPr>
                  <w:rStyle w:val="Hyperlink"/>
                  <w:rFonts w:ascii="Arial" w:hAnsi="Arial" w:cs="Arial"/>
                  <w:color w:val="0065CE"/>
                  <w:sz w:val="17"/>
                  <w:szCs w:val="17"/>
                  <w:shd w:val="clear" w:color="auto" w:fill="F2F2F2" w:themeFill="background1" w:themeFillShade="F2"/>
                </w:rPr>
                <w:t>Best Interest for New Sales Transactions Job Aid</w:t>
              </w:r>
            </w:hyperlink>
          </w:p>
          <w:p w:rsidR="00F80CCD" w:rsidRPr="006D1DAF" w:rsidRDefault="00E841FF" w:rsidP="00E6670A">
            <w:pPr>
              <w:shd w:val="clear" w:color="auto" w:fill="F2F2F2" w:themeFill="background1" w:themeFillShade="F2"/>
              <w:spacing w:before="120" w:after="120"/>
              <w:cnfStyle w:val="000000100000" w:firstRow="0" w:lastRow="0" w:firstColumn="0" w:lastColumn="0" w:oddVBand="0" w:evenVBand="0" w:oddHBand="1" w:evenHBand="0" w:firstRowFirstColumn="0" w:firstRowLastColumn="0" w:lastRowFirstColumn="0" w:lastRowLastColumn="0"/>
              <w:rPr>
                <w:sz w:val="20"/>
              </w:rPr>
            </w:pPr>
            <w:hyperlink r:id="rId32" w:tgtFrame="_blank" w:history="1">
              <w:r w:rsidR="00F80CCD" w:rsidRPr="00B9792D">
                <w:rPr>
                  <w:rStyle w:val="Hyperlink"/>
                  <w:rFonts w:ascii="Arial" w:hAnsi="Arial" w:cs="Arial"/>
                  <w:color w:val="0065CE"/>
                  <w:sz w:val="17"/>
                  <w:szCs w:val="17"/>
                  <w:shd w:val="clear" w:color="auto" w:fill="F2F2F2" w:themeFill="background1" w:themeFillShade="F2"/>
                </w:rPr>
                <w:t>Life Insurance: Needs Assessment Questionnaire</w:t>
              </w:r>
            </w:hyperlink>
            <w:r w:rsidR="00F80CCD">
              <w:rPr>
                <w:rFonts w:ascii="Arial" w:hAnsi="Arial" w:cs="Arial"/>
                <w:color w:val="333333"/>
                <w:sz w:val="17"/>
                <w:szCs w:val="17"/>
                <w:shd w:val="clear" w:color="auto" w:fill="FFFFFF"/>
              </w:rPr>
              <w:t> </w:t>
            </w:r>
          </w:p>
        </w:tc>
      </w:tr>
    </w:tbl>
    <w:p w:rsidR="00A516AB" w:rsidRDefault="00B9792D" w:rsidP="00D91AAE">
      <w:pPr>
        <w:spacing w:before="120" w:after="120"/>
      </w:pPr>
      <w:r>
        <w:t xml:space="preserve">Full Reference to above and more:  </w:t>
      </w:r>
    </w:p>
    <w:p w:rsidR="00A516AB" w:rsidRDefault="00E841FF" w:rsidP="002CA857">
      <w:pPr>
        <w:pStyle w:val="ListParagraph"/>
        <w:numPr>
          <w:ilvl w:val="0"/>
          <w:numId w:val="1"/>
        </w:numPr>
        <w:spacing w:before="120" w:after="120"/>
        <w:rPr>
          <w:color w:val="4C97E5"/>
          <w:sz w:val="17"/>
          <w:szCs w:val="17"/>
        </w:rPr>
      </w:pPr>
      <w:hyperlink r:id="rId33" w:tgtFrame="_blank" w:history="1">
        <w:r w:rsidR="00B9792D">
          <w:rPr>
            <w:rStyle w:val="Hyperlink"/>
            <w:rFonts w:ascii="Arial" w:hAnsi="Arial" w:cs="Arial"/>
            <w:color w:val="4C97E5"/>
            <w:sz w:val="17"/>
            <w:szCs w:val="17"/>
            <w:shd w:val="clear" w:color="auto" w:fill="FFFFFF"/>
          </w:rPr>
          <w:t>NY Reg 187: Sales Process Guide for Career Agents</w:t>
        </w:r>
      </w:hyperlink>
      <w:r w:rsidR="00B9792D">
        <w:rPr>
          <w:rFonts w:ascii="Arial" w:hAnsi="Arial" w:cs="Arial"/>
          <w:color w:val="333333"/>
          <w:sz w:val="17"/>
          <w:szCs w:val="17"/>
          <w:shd w:val="clear" w:color="auto" w:fill="FFFFFF"/>
        </w:rPr>
        <w:t> </w:t>
      </w:r>
    </w:p>
    <w:p w:rsidR="002CA857" w:rsidRDefault="00E841FF" w:rsidP="002CA857">
      <w:pPr>
        <w:pStyle w:val="ListParagraph"/>
        <w:numPr>
          <w:ilvl w:val="0"/>
          <w:numId w:val="1"/>
        </w:numPr>
        <w:spacing w:before="120" w:after="120"/>
        <w:rPr>
          <w:color w:val="333333"/>
          <w:sz w:val="17"/>
          <w:szCs w:val="17"/>
        </w:rPr>
      </w:pPr>
      <w:hyperlink r:id="rId34" w:history="1">
        <w:r w:rsidR="002CA857" w:rsidRPr="00812289">
          <w:rPr>
            <w:rStyle w:val="Hyperlink"/>
            <w:rFonts w:ascii="Arial" w:hAnsi="Arial" w:cs="Arial"/>
            <w:sz w:val="17"/>
            <w:szCs w:val="17"/>
          </w:rPr>
          <w:t xml:space="preserve">New York Regulation 187 </w:t>
        </w:r>
        <w:proofErr w:type="spellStart"/>
        <w:r w:rsidR="002CA857" w:rsidRPr="00812289">
          <w:rPr>
            <w:rStyle w:val="Hyperlink"/>
            <w:rFonts w:ascii="Arial" w:hAnsi="Arial" w:cs="Arial"/>
            <w:sz w:val="17"/>
            <w:szCs w:val="17"/>
          </w:rPr>
          <w:t>Fiedlnet</w:t>
        </w:r>
        <w:proofErr w:type="spellEnd"/>
        <w:r w:rsidR="002CA857" w:rsidRPr="00812289">
          <w:rPr>
            <w:rStyle w:val="Hyperlink"/>
            <w:rFonts w:ascii="Arial" w:hAnsi="Arial" w:cs="Arial"/>
            <w:sz w:val="17"/>
            <w:szCs w:val="17"/>
          </w:rPr>
          <w:t xml:space="preserve"> Page </w:t>
        </w:r>
      </w:hyperlink>
      <w:r w:rsidR="002CA857" w:rsidRPr="002CA857">
        <w:rPr>
          <w:rFonts w:ascii="Arial" w:hAnsi="Arial" w:cs="Arial"/>
          <w:color w:val="333333"/>
          <w:sz w:val="17"/>
          <w:szCs w:val="17"/>
        </w:rPr>
        <w:t xml:space="preserve"> </w:t>
      </w:r>
    </w:p>
    <w:sectPr w:rsidR="002CA857" w:rsidSect="006D1DAF">
      <w:headerReference w:type="even" r:id="rId35"/>
      <w:headerReference w:type="default" r:id="rId36"/>
      <w:footerReference w:type="even" r:id="rId37"/>
      <w:footerReference w:type="default" r:id="rId38"/>
      <w:headerReference w:type="first" r:id="rId39"/>
      <w:footerReference w:type="first" r:id="rId4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1FF" w:rsidRDefault="00E841FF" w:rsidP="00D91AAE">
      <w:pPr>
        <w:spacing w:after="0" w:line="240" w:lineRule="auto"/>
      </w:pPr>
      <w:r>
        <w:separator/>
      </w:r>
    </w:p>
  </w:endnote>
  <w:endnote w:type="continuationSeparator" w:id="0">
    <w:p w:rsidR="00E841FF" w:rsidRDefault="00E841FF" w:rsidP="00D9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F4" w:rsidRDefault="00EB2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F4" w:rsidRDefault="00EB2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F4" w:rsidRDefault="00EB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1FF" w:rsidRDefault="00E841FF" w:rsidP="00D91AAE">
      <w:pPr>
        <w:spacing w:after="0" w:line="240" w:lineRule="auto"/>
      </w:pPr>
      <w:r>
        <w:separator/>
      </w:r>
    </w:p>
  </w:footnote>
  <w:footnote w:type="continuationSeparator" w:id="0">
    <w:p w:rsidR="00E841FF" w:rsidRDefault="00E841FF" w:rsidP="00D91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F4" w:rsidRDefault="00EB2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F4" w:rsidRDefault="00EB2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F4" w:rsidRDefault="00EB2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309"/>
    <w:multiLevelType w:val="hybridMultilevel"/>
    <w:tmpl w:val="1974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35CEC"/>
    <w:multiLevelType w:val="hybridMultilevel"/>
    <w:tmpl w:val="0F6C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156A1"/>
    <w:multiLevelType w:val="hybridMultilevel"/>
    <w:tmpl w:val="3C004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7E6E75"/>
    <w:multiLevelType w:val="hybridMultilevel"/>
    <w:tmpl w:val="7702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F7A23"/>
    <w:multiLevelType w:val="hybridMultilevel"/>
    <w:tmpl w:val="DA1E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271E3"/>
    <w:multiLevelType w:val="hybridMultilevel"/>
    <w:tmpl w:val="0A8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A3168"/>
    <w:multiLevelType w:val="hybridMultilevel"/>
    <w:tmpl w:val="2C62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4265A"/>
    <w:multiLevelType w:val="hybridMultilevel"/>
    <w:tmpl w:val="EAF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03AF1"/>
    <w:multiLevelType w:val="multilevel"/>
    <w:tmpl w:val="BB22A0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5D6408"/>
    <w:multiLevelType w:val="hybridMultilevel"/>
    <w:tmpl w:val="973E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F226C"/>
    <w:multiLevelType w:val="hybridMultilevel"/>
    <w:tmpl w:val="9DF4189A"/>
    <w:lvl w:ilvl="0" w:tplc="5582DF0C">
      <w:start w:val="1"/>
      <w:numFmt w:val="bullet"/>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26133"/>
    <w:multiLevelType w:val="hybridMultilevel"/>
    <w:tmpl w:val="9196D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F6781"/>
    <w:multiLevelType w:val="hybridMultilevel"/>
    <w:tmpl w:val="1608ADE6"/>
    <w:lvl w:ilvl="0" w:tplc="BF2C9D40">
      <w:start w:val="1"/>
      <w:numFmt w:val="bullet"/>
      <w:lvlText w:val=""/>
      <w:lvlJc w:val="left"/>
      <w:pPr>
        <w:ind w:left="720" w:hanging="360"/>
      </w:pPr>
      <w:rPr>
        <w:rFonts w:ascii="Symbol" w:hAnsi="Symbol" w:hint="default"/>
      </w:rPr>
    </w:lvl>
    <w:lvl w:ilvl="1" w:tplc="0C6600E4">
      <w:start w:val="1"/>
      <w:numFmt w:val="bullet"/>
      <w:lvlText w:val="o"/>
      <w:lvlJc w:val="left"/>
      <w:pPr>
        <w:ind w:left="1440" w:hanging="360"/>
      </w:pPr>
      <w:rPr>
        <w:rFonts w:ascii="Courier New" w:hAnsi="Courier New" w:hint="default"/>
      </w:rPr>
    </w:lvl>
    <w:lvl w:ilvl="2" w:tplc="83B63B58">
      <w:start w:val="1"/>
      <w:numFmt w:val="bullet"/>
      <w:lvlText w:val=""/>
      <w:lvlJc w:val="left"/>
      <w:pPr>
        <w:ind w:left="2160" w:hanging="360"/>
      </w:pPr>
      <w:rPr>
        <w:rFonts w:ascii="Wingdings" w:hAnsi="Wingdings" w:hint="default"/>
      </w:rPr>
    </w:lvl>
    <w:lvl w:ilvl="3" w:tplc="F7E6C1CE">
      <w:start w:val="1"/>
      <w:numFmt w:val="bullet"/>
      <w:lvlText w:val=""/>
      <w:lvlJc w:val="left"/>
      <w:pPr>
        <w:ind w:left="2880" w:hanging="360"/>
      </w:pPr>
      <w:rPr>
        <w:rFonts w:ascii="Symbol" w:hAnsi="Symbol" w:hint="default"/>
      </w:rPr>
    </w:lvl>
    <w:lvl w:ilvl="4" w:tplc="AE3A98AC">
      <w:start w:val="1"/>
      <w:numFmt w:val="bullet"/>
      <w:lvlText w:val="o"/>
      <w:lvlJc w:val="left"/>
      <w:pPr>
        <w:ind w:left="3600" w:hanging="360"/>
      </w:pPr>
      <w:rPr>
        <w:rFonts w:ascii="Courier New" w:hAnsi="Courier New" w:hint="default"/>
      </w:rPr>
    </w:lvl>
    <w:lvl w:ilvl="5" w:tplc="7F64A3C2">
      <w:start w:val="1"/>
      <w:numFmt w:val="bullet"/>
      <w:lvlText w:val=""/>
      <w:lvlJc w:val="left"/>
      <w:pPr>
        <w:ind w:left="4320" w:hanging="360"/>
      </w:pPr>
      <w:rPr>
        <w:rFonts w:ascii="Wingdings" w:hAnsi="Wingdings" w:hint="default"/>
      </w:rPr>
    </w:lvl>
    <w:lvl w:ilvl="6" w:tplc="DB4C7CC0">
      <w:start w:val="1"/>
      <w:numFmt w:val="bullet"/>
      <w:lvlText w:val=""/>
      <w:lvlJc w:val="left"/>
      <w:pPr>
        <w:ind w:left="5040" w:hanging="360"/>
      </w:pPr>
      <w:rPr>
        <w:rFonts w:ascii="Symbol" w:hAnsi="Symbol" w:hint="default"/>
      </w:rPr>
    </w:lvl>
    <w:lvl w:ilvl="7" w:tplc="576E6D06">
      <w:start w:val="1"/>
      <w:numFmt w:val="bullet"/>
      <w:lvlText w:val="o"/>
      <w:lvlJc w:val="left"/>
      <w:pPr>
        <w:ind w:left="5760" w:hanging="360"/>
      </w:pPr>
      <w:rPr>
        <w:rFonts w:ascii="Courier New" w:hAnsi="Courier New" w:hint="default"/>
      </w:rPr>
    </w:lvl>
    <w:lvl w:ilvl="8" w:tplc="FABEFE0A">
      <w:start w:val="1"/>
      <w:numFmt w:val="bullet"/>
      <w:lvlText w:val=""/>
      <w:lvlJc w:val="left"/>
      <w:pPr>
        <w:ind w:left="6480" w:hanging="360"/>
      </w:pPr>
      <w:rPr>
        <w:rFonts w:ascii="Wingdings" w:hAnsi="Wingdings" w:hint="default"/>
      </w:rPr>
    </w:lvl>
  </w:abstractNum>
  <w:abstractNum w:abstractNumId="13" w15:restartNumberingAfterBreak="0">
    <w:nsid w:val="402A4F32"/>
    <w:multiLevelType w:val="hybridMultilevel"/>
    <w:tmpl w:val="CCAC8768"/>
    <w:lvl w:ilvl="0" w:tplc="24B0C658">
      <w:start w:val="1"/>
      <w:numFmt w:val="bullet"/>
      <w:lvlText w:val=""/>
      <w:lvlJc w:val="left"/>
      <w:pPr>
        <w:ind w:left="720" w:hanging="360"/>
      </w:pPr>
      <w:rPr>
        <w:rFonts w:ascii="Symbol" w:hAnsi="Symbol" w:hint="default"/>
      </w:rPr>
    </w:lvl>
    <w:lvl w:ilvl="1" w:tplc="AD587E3E">
      <w:start w:val="1"/>
      <w:numFmt w:val="bullet"/>
      <w:lvlText w:val="o"/>
      <w:lvlJc w:val="left"/>
      <w:pPr>
        <w:ind w:left="1440" w:hanging="360"/>
      </w:pPr>
      <w:rPr>
        <w:rFonts w:ascii="Courier New" w:hAnsi="Courier New" w:hint="default"/>
      </w:rPr>
    </w:lvl>
    <w:lvl w:ilvl="2" w:tplc="AF969840">
      <w:start w:val="1"/>
      <w:numFmt w:val="bullet"/>
      <w:lvlText w:val=""/>
      <w:lvlJc w:val="left"/>
      <w:pPr>
        <w:ind w:left="2160" w:hanging="360"/>
      </w:pPr>
      <w:rPr>
        <w:rFonts w:ascii="Wingdings" w:hAnsi="Wingdings" w:hint="default"/>
      </w:rPr>
    </w:lvl>
    <w:lvl w:ilvl="3" w:tplc="458424DC">
      <w:start w:val="1"/>
      <w:numFmt w:val="bullet"/>
      <w:lvlText w:val=""/>
      <w:lvlJc w:val="left"/>
      <w:pPr>
        <w:ind w:left="2880" w:hanging="360"/>
      </w:pPr>
      <w:rPr>
        <w:rFonts w:ascii="Symbol" w:hAnsi="Symbol" w:hint="default"/>
      </w:rPr>
    </w:lvl>
    <w:lvl w:ilvl="4" w:tplc="4D5C3A1A">
      <w:start w:val="1"/>
      <w:numFmt w:val="bullet"/>
      <w:lvlText w:val="o"/>
      <w:lvlJc w:val="left"/>
      <w:pPr>
        <w:ind w:left="3600" w:hanging="360"/>
      </w:pPr>
      <w:rPr>
        <w:rFonts w:ascii="Courier New" w:hAnsi="Courier New" w:hint="default"/>
      </w:rPr>
    </w:lvl>
    <w:lvl w:ilvl="5" w:tplc="816CA006">
      <w:start w:val="1"/>
      <w:numFmt w:val="bullet"/>
      <w:lvlText w:val=""/>
      <w:lvlJc w:val="left"/>
      <w:pPr>
        <w:ind w:left="4320" w:hanging="360"/>
      </w:pPr>
      <w:rPr>
        <w:rFonts w:ascii="Wingdings" w:hAnsi="Wingdings" w:hint="default"/>
      </w:rPr>
    </w:lvl>
    <w:lvl w:ilvl="6" w:tplc="A36C0842">
      <w:start w:val="1"/>
      <w:numFmt w:val="bullet"/>
      <w:lvlText w:val=""/>
      <w:lvlJc w:val="left"/>
      <w:pPr>
        <w:ind w:left="5040" w:hanging="360"/>
      </w:pPr>
      <w:rPr>
        <w:rFonts w:ascii="Symbol" w:hAnsi="Symbol" w:hint="default"/>
      </w:rPr>
    </w:lvl>
    <w:lvl w:ilvl="7" w:tplc="262014F8">
      <w:start w:val="1"/>
      <w:numFmt w:val="bullet"/>
      <w:lvlText w:val="o"/>
      <w:lvlJc w:val="left"/>
      <w:pPr>
        <w:ind w:left="5760" w:hanging="360"/>
      </w:pPr>
      <w:rPr>
        <w:rFonts w:ascii="Courier New" w:hAnsi="Courier New" w:hint="default"/>
      </w:rPr>
    </w:lvl>
    <w:lvl w:ilvl="8" w:tplc="EC226A32">
      <w:start w:val="1"/>
      <w:numFmt w:val="bullet"/>
      <w:lvlText w:val=""/>
      <w:lvlJc w:val="left"/>
      <w:pPr>
        <w:ind w:left="6480" w:hanging="360"/>
      </w:pPr>
      <w:rPr>
        <w:rFonts w:ascii="Wingdings" w:hAnsi="Wingdings" w:hint="default"/>
      </w:rPr>
    </w:lvl>
  </w:abstractNum>
  <w:abstractNum w:abstractNumId="14" w15:restartNumberingAfterBreak="0">
    <w:nsid w:val="41580DA4"/>
    <w:multiLevelType w:val="hybridMultilevel"/>
    <w:tmpl w:val="1D6C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906BB"/>
    <w:multiLevelType w:val="hybridMultilevel"/>
    <w:tmpl w:val="C7F0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E52D3"/>
    <w:multiLevelType w:val="hybridMultilevel"/>
    <w:tmpl w:val="16483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C1448"/>
    <w:multiLevelType w:val="hybridMultilevel"/>
    <w:tmpl w:val="81B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A41FA"/>
    <w:multiLevelType w:val="multilevel"/>
    <w:tmpl w:val="B53A1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6EE3E50"/>
    <w:multiLevelType w:val="hybridMultilevel"/>
    <w:tmpl w:val="94D4F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134B57"/>
    <w:multiLevelType w:val="hybridMultilevel"/>
    <w:tmpl w:val="A884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31184"/>
    <w:multiLevelType w:val="hybridMultilevel"/>
    <w:tmpl w:val="2F3EA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5055DE"/>
    <w:multiLevelType w:val="hybridMultilevel"/>
    <w:tmpl w:val="BACA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62698"/>
    <w:multiLevelType w:val="hybridMultilevel"/>
    <w:tmpl w:val="B4CC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11A8A"/>
    <w:multiLevelType w:val="hybridMultilevel"/>
    <w:tmpl w:val="B3F443C0"/>
    <w:lvl w:ilvl="0" w:tplc="1116CD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E6C92"/>
    <w:multiLevelType w:val="hybridMultilevel"/>
    <w:tmpl w:val="DC8A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B1923"/>
    <w:multiLevelType w:val="hybridMultilevel"/>
    <w:tmpl w:val="27EE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0"/>
  </w:num>
  <w:num w:numId="4">
    <w:abstractNumId w:val="18"/>
  </w:num>
  <w:num w:numId="5">
    <w:abstractNumId w:val="8"/>
  </w:num>
  <w:num w:numId="6">
    <w:abstractNumId w:val="6"/>
  </w:num>
  <w:num w:numId="7">
    <w:abstractNumId w:val="14"/>
  </w:num>
  <w:num w:numId="8">
    <w:abstractNumId w:val="5"/>
  </w:num>
  <w:num w:numId="9">
    <w:abstractNumId w:val="7"/>
  </w:num>
  <w:num w:numId="10">
    <w:abstractNumId w:val="1"/>
  </w:num>
  <w:num w:numId="11">
    <w:abstractNumId w:val="19"/>
  </w:num>
  <w:num w:numId="12">
    <w:abstractNumId w:val="23"/>
  </w:num>
  <w:num w:numId="13">
    <w:abstractNumId w:val="17"/>
  </w:num>
  <w:num w:numId="14">
    <w:abstractNumId w:val="3"/>
  </w:num>
  <w:num w:numId="15">
    <w:abstractNumId w:val="16"/>
  </w:num>
  <w:num w:numId="16">
    <w:abstractNumId w:val="22"/>
  </w:num>
  <w:num w:numId="17">
    <w:abstractNumId w:val="4"/>
  </w:num>
  <w:num w:numId="18">
    <w:abstractNumId w:val="21"/>
  </w:num>
  <w:num w:numId="19">
    <w:abstractNumId w:val="11"/>
  </w:num>
  <w:num w:numId="20">
    <w:abstractNumId w:val="26"/>
  </w:num>
  <w:num w:numId="21">
    <w:abstractNumId w:val="25"/>
  </w:num>
  <w:num w:numId="22">
    <w:abstractNumId w:val="0"/>
  </w:num>
  <w:num w:numId="23">
    <w:abstractNumId w:val="9"/>
  </w:num>
  <w:num w:numId="24">
    <w:abstractNumId w:val="15"/>
  </w:num>
  <w:num w:numId="25">
    <w:abstractNumId w:val="2"/>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47"/>
    <w:rsid w:val="0017766A"/>
    <w:rsid w:val="001C0CC7"/>
    <w:rsid w:val="002775AE"/>
    <w:rsid w:val="00283FCA"/>
    <w:rsid w:val="002CA857"/>
    <w:rsid w:val="00330FF3"/>
    <w:rsid w:val="00345BF1"/>
    <w:rsid w:val="003A436F"/>
    <w:rsid w:val="003F7A3F"/>
    <w:rsid w:val="004E6FC1"/>
    <w:rsid w:val="005C4A17"/>
    <w:rsid w:val="00606E4D"/>
    <w:rsid w:val="006477B5"/>
    <w:rsid w:val="00677C3D"/>
    <w:rsid w:val="00681815"/>
    <w:rsid w:val="006B06F1"/>
    <w:rsid w:val="006D1DAF"/>
    <w:rsid w:val="00754B14"/>
    <w:rsid w:val="007A7EA1"/>
    <w:rsid w:val="007E35E0"/>
    <w:rsid w:val="00812289"/>
    <w:rsid w:val="008D31AF"/>
    <w:rsid w:val="009337AC"/>
    <w:rsid w:val="00941D06"/>
    <w:rsid w:val="009E4017"/>
    <w:rsid w:val="00A13F4B"/>
    <w:rsid w:val="00A516AB"/>
    <w:rsid w:val="00B04DDF"/>
    <w:rsid w:val="00B428EB"/>
    <w:rsid w:val="00B44D95"/>
    <w:rsid w:val="00B7554B"/>
    <w:rsid w:val="00B9792D"/>
    <w:rsid w:val="00C05C62"/>
    <w:rsid w:val="00C878E3"/>
    <w:rsid w:val="00CE65FC"/>
    <w:rsid w:val="00D3716A"/>
    <w:rsid w:val="00D91AAE"/>
    <w:rsid w:val="00E815D8"/>
    <w:rsid w:val="00E841FF"/>
    <w:rsid w:val="00E95053"/>
    <w:rsid w:val="00EB27F4"/>
    <w:rsid w:val="00EB3947"/>
    <w:rsid w:val="00EF58C5"/>
    <w:rsid w:val="00F14078"/>
    <w:rsid w:val="00F468AE"/>
    <w:rsid w:val="00F80CCD"/>
    <w:rsid w:val="37637591"/>
    <w:rsid w:val="5AD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B02D9"/>
  <w15:chartTrackingRefBased/>
  <w15:docId w15:val="{8D360F7A-2346-4342-A2EB-890F0FE8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947"/>
    <w:pPr>
      <w:ind w:left="720"/>
      <w:contextualSpacing/>
    </w:pPr>
  </w:style>
  <w:style w:type="character" w:styleId="Hyperlink">
    <w:name w:val="Hyperlink"/>
    <w:basedOn w:val="DefaultParagraphFont"/>
    <w:uiPriority w:val="99"/>
    <w:unhideWhenUsed/>
    <w:rsid w:val="00EB3947"/>
    <w:rPr>
      <w:color w:val="0563C1" w:themeColor="hyperlink"/>
      <w:u w:val="single"/>
    </w:rPr>
  </w:style>
  <w:style w:type="paragraph" w:customStyle="1" w:styleId="paragraph">
    <w:name w:val="paragraph"/>
    <w:basedOn w:val="Normal"/>
    <w:rsid w:val="00EB3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3947"/>
  </w:style>
  <w:style w:type="character" w:customStyle="1" w:styleId="eop">
    <w:name w:val="eop"/>
    <w:basedOn w:val="DefaultParagraphFont"/>
    <w:rsid w:val="00EB3947"/>
  </w:style>
  <w:style w:type="table" w:styleId="GridTable3-Accent3">
    <w:name w:val="Grid Table 3 Accent 3"/>
    <w:basedOn w:val="TableNormal"/>
    <w:uiPriority w:val="48"/>
    <w:rsid w:val="006D1DA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D91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AAE"/>
  </w:style>
  <w:style w:type="paragraph" w:styleId="Footer">
    <w:name w:val="footer"/>
    <w:basedOn w:val="Normal"/>
    <w:link w:val="FooterChar"/>
    <w:uiPriority w:val="99"/>
    <w:unhideWhenUsed/>
    <w:rsid w:val="00D91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AAE"/>
  </w:style>
  <w:style w:type="character" w:styleId="FollowedHyperlink">
    <w:name w:val="FollowedHyperlink"/>
    <w:basedOn w:val="DefaultParagraphFont"/>
    <w:uiPriority w:val="99"/>
    <w:semiHidden/>
    <w:unhideWhenUsed/>
    <w:rsid w:val="00606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423873">
      <w:bodyDiv w:val="1"/>
      <w:marLeft w:val="0"/>
      <w:marRight w:val="0"/>
      <w:marTop w:val="0"/>
      <w:marBottom w:val="0"/>
      <w:divBdr>
        <w:top w:val="none" w:sz="0" w:space="0" w:color="auto"/>
        <w:left w:val="none" w:sz="0" w:space="0" w:color="auto"/>
        <w:bottom w:val="none" w:sz="0" w:space="0" w:color="auto"/>
        <w:right w:val="none" w:sz="0" w:space="0" w:color="auto"/>
      </w:divBdr>
    </w:div>
    <w:div w:id="1659072204">
      <w:bodyDiv w:val="1"/>
      <w:marLeft w:val="0"/>
      <w:marRight w:val="0"/>
      <w:marTop w:val="0"/>
      <w:marBottom w:val="0"/>
      <w:divBdr>
        <w:top w:val="none" w:sz="0" w:space="0" w:color="auto"/>
        <w:left w:val="none" w:sz="0" w:space="0" w:color="auto"/>
        <w:bottom w:val="none" w:sz="0" w:space="0" w:color="auto"/>
        <w:right w:val="none" w:sz="0" w:space="0" w:color="auto"/>
      </w:divBdr>
    </w:div>
    <w:div w:id="1838230881">
      <w:bodyDiv w:val="1"/>
      <w:marLeft w:val="0"/>
      <w:marRight w:val="0"/>
      <w:marTop w:val="0"/>
      <w:marBottom w:val="0"/>
      <w:divBdr>
        <w:top w:val="none" w:sz="0" w:space="0" w:color="auto"/>
        <w:left w:val="none" w:sz="0" w:space="0" w:color="auto"/>
        <w:bottom w:val="none" w:sz="0" w:space="0" w:color="auto"/>
        <w:right w:val="none" w:sz="0" w:space="0" w:color="auto"/>
      </w:divBdr>
      <w:divsChild>
        <w:div w:id="1246115608">
          <w:marLeft w:val="0"/>
          <w:marRight w:val="0"/>
          <w:marTop w:val="0"/>
          <w:marBottom w:val="0"/>
          <w:divBdr>
            <w:top w:val="none" w:sz="0" w:space="0" w:color="auto"/>
            <w:left w:val="none" w:sz="0" w:space="0" w:color="auto"/>
            <w:bottom w:val="none" w:sz="0" w:space="0" w:color="auto"/>
            <w:right w:val="none" w:sz="0" w:space="0" w:color="auto"/>
          </w:divBdr>
        </w:div>
        <w:div w:id="135576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fieldnet.massmutual.com/public/life/pdfs/fr2281.pdf" TargetMode="External"/><Relationship Id="rId26" Type="http://schemas.openxmlformats.org/officeDocument/2006/relationships/hyperlink" Target="https://fieldnet.massmutual.com/public/life/pdfs/fr2291.pdf" TargetMode="External"/><Relationship Id="rId39" Type="http://schemas.openxmlformats.org/officeDocument/2006/relationships/header" Target="header3.xml"/><Relationship Id="rId21" Type="http://schemas.openxmlformats.org/officeDocument/2006/relationships/hyperlink" Target="https://fieldnet.massmutual.com/public/life/pdfs/fr2281.pdf" TargetMode="External"/><Relationship Id="rId34" Type="http://schemas.openxmlformats.org/officeDocument/2006/relationships/hyperlink" Target="https://fieldnet.massmutual.com/fldnet/mypractice/nyreg187.html" TargetMode="External"/><Relationship Id="rId42" Type="http://schemas.openxmlformats.org/officeDocument/2006/relationships/theme" Target="theme/theme1.xml"/><Relationship Id="rId7" Type="http://schemas.openxmlformats.org/officeDocument/2006/relationships/hyperlink" Target="https://fieldnet.massmutual.com/fldnet/document/display.html?DOCURL=https://fieldnet.massmutual.com/public/life/pdfs/fr2332.pdf&amp;PAGEURL=/mypractice/nyreg187.html&amp;LINKTEXT=Replacement%20Producer%20Explanation%20Template%20-%20FR2332" TargetMode="External"/><Relationship Id="rId2" Type="http://schemas.openxmlformats.org/officeDocument/2006/relationships/styles" Target="styles.xml"/><Relationship Id="rId16" Type="http://schemas.openxmlformats.org/officeDocument/2006/relationships/hyperlink" Target="https://fieldnet.massmutual.com/public/life/pdfs/fr2289.pdf" TargetMode="External"/><Relationship Id="rId20" Type="http://schemas.openxmlformats.org/officeDocument/2006/relationships/hyperlink" Target="https://fieldnet.massmutual.com/public/life/pdfs/fr2282.pdf" TargetMode="External"/><Relationship Id="rId29" Type="http://schemas.openxmlformats.org/officeDocument/2006/relationships/hyperlink" Target="https://fieldnet.massmutual.com/public/life/pdfs/fr2291.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eldnet.massmutual.com/fldnet/document/display.html?DOCURL=https://fieldnet.massmutual.com/public/life/pdfs/top-consider-regard-replacements-guide.pdf&amp;PAGEURL=/mypractice/nyreg187.html&amp;LINKTEXT=Top%20Considerations%20Regarding%20Replacements%20Guide" TargetMode="External"/><Relationship Id="rId24" Type="http://schemas.openxmlformats.org/officeDocument/2006/relationships/hyperlink" Target="https://fieldnet.massmutual.com/public/life/pdfs/fr2284.pdf" TargetMode="External"/><Relationship Id="rId32" Type="http://schemas.openxmlformats.org/officeDocument/2006/relationships/hyperlink" Target="http://a1027.g.akamai.net/f/1027/2744/1d/mass.download.akamai.com/2744/mmu_b/reg187/OPER197r17_41NY_Life_Needs_Assessment_JA.doc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fieldnet.massmutual.com/fnmmfg/life/pdfs/fr2074.pdf" TargetMode="External"/><Relationship Id="rId23" Type="http://schemas.openxmlformats.org/officeDocument/2006/relationships/hyperlink" Target="https://fieldnet.massmutual.com/public/life/pdfs/fr2284.pdf" TargetMode="External"/><Relationship Id="rId28" Type="http://schemas.openxmlformats.org/officeDocument/2006/relationships/hyperlink" Target="https://fieldnet.massmutual.com/public/life/pdfs/fr2284.pdf" TargetMode="External"/><Relationship Id="rId36" Type="http://schemas.openxmlformats.org/officeDocument/2006/relationships/header" Target="header2.xml"/><Relationship Id="rId10" Type="http://schemas.openxmlformats.org/officeDocument/2006/relationships/hyperlink" Target="http://a1027.g.akamai.net/f/1027/2744/1d/mass.download.akamai.com/2744/mmu_b/reg187/oper197r23_41ny.xlsx" TargetMode="External"/><Relationship Id="rId19" Type="http://schemas.openxmlformats.org/officeDocument/2006/relationships/hyperlink" Target="https://fieldnet.massmutual.com/public/life/pdfs/fr2281.pdf" TargetMode="External"/><Relationship Id="rId31" Type="http://schemas.openxmlformats.org/officeDocument/2006/relationships/hyperlink" Target="http://a1027.g.akamai.net/f/1027/2744/1d/mass.download.akamai.com/2744/mmu_b/reg187/OPER196r1_43NY_Reg_187_New_Sales_Best_Interest_RS.pdf" TargetMode="External"/><Relationship Id="rId4" Type="http://schemas.openxmlformats.org/officeDocument/2006/relationships/webSettings" Target="webSettings.xml"/><Relationship Id="rId9" Type="http://schemas.openxmlformats.org/officeDocument/2006/relationships/hyperlink" Target="http://a1027.g.akamai.net/f/1027/2744/1d/mass.download.akamai.com/2744/mmu_b/reg187/oper197r14_41ny.pdf" TargetMode="External"/><Relationship Id="rId14" Type="http://schemas.openxmlformats.org/officeDocument/2006/relationships/hyperlink" Target="https://fieldnet.massmutual.com/public/life/pdfs/fr2289.pdf" TargetMode="External"/><Relationship Id="rId22" Type="http://schemas.openxmlformats.org/officeDocument/2006/relationships/hyperlink" Target="https://fieldnet.massmutual.com/public/life/pdfs/fr2282.pdf" TargetMode="External"/><Relationship Id="rId27" Type="http://schemas.openxmlformats.org/officeDocument/2006/relationships/hyperlink" Target="http://a1027.g.akamai.net/f/1027/2744/1d/mass.download.akamai.com/2744/mmu_b/reg187/oper197r20_41ny.pdf" TargetMode="External"/><Relationship Id="rId30" Type="http://schemas.openxmlformats.org/officeDocument/2006/relationships/hyperlink" Target="https://massmutuallms.pinpointglobal.com/Portal/GlobalActions/RedirectToContentUrl?LearningContentId=2619" TargetMode="External"/><Relationship Id="rId35" Type="http://schemas.openxmlformats.org/officeDocument/2006/relationships/header" Target="header1.xml"/><Relationship Id="rId8" Type="http://schemas.openxmlformats.org/officeDocument/2006/relationships/hyperlink" Target="https://fieldnet.massmutual.com/fldnet/document/display.html?DOCURL=https://fieldnet.massmutual.com/public/life/pdfs/fr2282.pdf&amp;PAGEURL=/mypractice/nyreg187.html&amp;LINKTEXT=Life%20Products%20Suitability%20Questionnaire%20-%20FR2282" TargetMode="External"/><Relationship Id="rId3"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fieldnet.massmutual.com/fnmmfg/life/pdfs/fr2074.pdf" TargetMode="External"/><Relationship Id="rId25" Type="http://schemas.openxmlformats.org/officeDocument/2006/relationships/hyperlink" Target="https://fieldnet.massmutual.com/public/life/pdfs/fr2284.pdf" TargetMode="External"/><Relationship Id="rId33" Type="http://schemas.openxmlformats.org/officeDocument/2006/relationships/hyperlink" Target="http://a1027.g.akamai.net/f/1027/2744/1d/mass.download.akamai.com/2744/mmu_b/reg187/oper197r13_41ny.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MassMutual Financial Group</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Garra, Kris</dc:creator>
  <cp:keywords/>
  <dc:description/>
  <cp:lastModifiedBy>Aga, Hajri</cp:lastModifiedBy>
  <cp:revision>5</cp:revision>
  <dcterms:created xsi:type="dcterms:W3CDTF">2020-03-17T20:23:00Z</dcterms:created>
  <dcterms:modified xsi:type="dcterms:W3CDTF">2020-03-18T13:47:00Z</dcterms:modified>
</cp:coreProperties>
</file>