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D6" w:rsidRPr="007103DF" w:rsidRDefault="00B73DF4" w:rsidP="005A4FD6">
      <w:pPr>
        <w:spacing w:before="160" w:line="240" w:lineRule="auto"/>
        <w:jc w:val="center"/>
        <w:rPr>
          <w:rFonts w:asciiTheme="majorHAnsi" w:hAnsiTheme="majorHAnsi" w:cs="Times New Roman"/>
          <w:i/>
          <w:sz w:val="28"/>
          <w:szCs w:val="24"/>
        </w:rPr>
      </w:pPr>
      <w:r w:rsidRPr="007103DF">
        <w:rPr>
          <w:rFonts w:asciiTheme="majorHAnsi" w:hAnsiTheme="majorHAnsi" w:cs="Times New Roman"/>
          <w:i/>
          <w:sz w:val="28"/>
          <w:szCs w:val="24"/>
        </w:rPr>
        <w:t xml:space="preserve">In this </w:t>
      </w:r>
      <w:r>
        <w:rPr>
          <w:rFonts w:asciiTheme="majorHAnsi" w:hAnsiTheme="majorHAnsi" w:cs="Times New Roman"/>
          <w:i/>
          <w:sz w:val="28"/>
          <w:szCs w:val="24"/>
        </w:rPr>
        <w:t>year-end</w:t>
      </w:r>
      <w:r w:rsidRPr="007103DF">
        <w:rPr>
          <w:rFonts w:asciiTheme="majorHAnsi" w:hAnsiTheme="majorHAnsi" w:cs="Times New Roman"/>
          <w:i/>
          <w:sz w:val="28"/>
          <w:szCs w:val="24"/>
        </w:rPr>
        <w:t xml:space="preserve"> recap: </w:t>
      </w:r>
      <w:r>
        <w:rPr>
          <w:rFonts w:asciiTheme="majorHAnsi" w:hAnsiTheme="majorHAnsi" w:cs="Times New Roman"/>
          <w:i/>
          <w:sz w:val="28"/>
          <w:szCs w:val="24"/>
        </w:rPr>
        <w:t xml:space="preserve">A </w:t>
      </w:r>
      <w:r>
        <w:rPr>
          <w:rFonts w:asciiTheme="majorHAnsi" w:hAnsiTheme="majorHAnsi" w:cs="Times New Roman"/>
          <w:i/>
          <w:sz w:val="28"/>
          <w:szCs w:val="24"/>
        </w:rPr>
        <w:t>look back at the ascent stocks made during 2019 and some of the key economic developments of the year</w:t>
      </w:r>
      <w:r>
        <w:rPr>
          <w:rFonts w:asciiTheme="majorHAnsi" w:hAnsiTheme="majorHAnsi" w:cs="Times New Roman"/>
          <w:i/>
          <w:sz w:val="28"/>
          <w:szCs w:val="24"/>
        </w:rPr>
        <w:t>.</w:t>
      </w:r>
    </w:p>
    <w:p w:rsidR="005A4FD6" w:rsidRPr="00A56786" w:rsidRDefault="00B73DF4" w:rsidP="005A4FD6">
      <w:pPr>
        <w:spacing w:before="160" w:line="276" w:lineRule="auto"/>
        <w:jc w:val="center"/>
        <w:rPr>
          <w:rFonts w:asciiTheme="majorHAnsi" w:hAnsiTheme="majorHAnsi" w:cs="Times New Roman"/>
          <w:b/>
          <w:color w:val="000000" w:themeColor="text1"/>
          <w:sz w:val="72"/>
          <w:szCs w:val="24"/>
        </w:rPr>
      </w:pPr>
      <w:r w:rsidRPr="00A56786">
        <w:rPr>
          <w:rFonts w:asciiTheme="majorHAnsi" w:hAnsiTheme="majorHAnsi"/>
          <w:b/>
          <w:noProof/>
          <w:sz w:val="72"/>
        </w:rPr>
        <w:t>Weekly Economic Update</w:t>
      </w:r>
    </w:p>
    <w:p w:rsidR="005A4FD6" w:rsidRDefault="00B73DF4" w:rsidP="005A4FD6">
      <w:pPr>
        <w:spacing w:before="160" w:line="276" w:lineRule="auto"/>
        <w:jc w:val="center"/>
        <w:rPr>
          <w:rFonts w:asciiTheme="majorHAnsi" w:hAnsiTheme="majorHAnsi" w:cs="Times New Roman"/>
          <w:i/>
          <w:color w:val="376B8D"/>
          <w:sz w:val="28"/>
          <w:szCs w:val="24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B73DF4" w:rsidP="005A4FD6">
      <w:pPr>
        <w:spacing w:before="160"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"/>
          <w:szCs w:val="24"/>
        </w:rPr>
      </w:pPr>
    </w:p>
    <w:p w:rsidR="005A4FD6" w:rsidRPr="001162D1" w:rsidRDefault="00B73DF4" w:rsidP="005A4FD6">
      <w:pPr>
        <w:spacing w:before="160" w:line="276" w:lineRule="auto"/>
        <w:jc w:val="center"/>
        <w:rPr>
          <w:rFonts w:asciiTheme="majorHAnsi" w:hAnsiTheme="majorHAnsi" w:cs="Times New Roman"/>
          <w:i/>
          <w:color w:val="646464"/>
          <w:sz w:val="24"/>
          <w:szCs w:val="24"/>
        </w:rPr>
      </w:pPr>
      <w:r>
        <w:rPr>
          <w:rFonts w:asciiTheme="majorHAnsi" w:hAnsiTheme="majorHAnsi" w:cs="Times New Roman"/>
          <w:i/>
          <w:color w:val="646464"/>
          <w:sz w:val="24"/>
          <w:szCs w:val="24"/>
        </w:rPr>
        <w:t>Presented by Michael J. Levine</w:t>
      </w:r>
      <w:bookmarkStart w:id="0" w:name="_GoBack"/>
      <w:bookmarkEnd w:id="0"/>
      <w:r w:rsidRPr="001162D1">
        <w:rPr>
          <w:rFonts w:asciiTheme="majorHAnsi" w:hAnsiTheme="majorHAnsi" w:cs="Times New Roman"/>
          <w:i/>
          <w:color w:val="646464"/>
          <w:sz w:val="24"/>
          <w:szCs w:val="24"/>
        </w:rPr>
        <w:t xml:space="preserve">, 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 xml:space="preserve">December 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30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 xml:space="preserve">, 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2019</w:t>
      </w:r>
    </w:p>
    <w:p w:rsidR="005A4FD6" w:rsidRPr="00E61F22" w:rsidRDefault="00B73DF4" w:rsidP="005A4FD6">
      <w:pPr>
        <w:spacing w:before="160" w:line="276" w:lineRule="auto"/>
        <w:jc w:val="center"/>
        <w:rPr>
          <w:rFonts w:asciiTheme="majorHAnsi" w:hAnsiTheme="majorHAnsi" w:cs="Times New Roman"/>
          <w:color w:val="000000" w:themeColor="text1"/>
          <w:sz w:val="4"/>
          <w:szCs w:val="24"/>
        </w:rPr>
      </w:pPr>
    </w:p>
    <w:p w:rsidR="005A4FD6" w:rsidRDefault="00B73DF4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C11642">
        <w:rPr>
          <w:rFonts w:asciiTheme="majorHAnsi" w:hAnsiTheme="majorHAnsi"/>
          <w:b/>
          <w:caps/>
          <w:color w:val="E88E0A"/>
          <w:sz w:val="28"/>
        </w:rPr>
        <w:t>What Drove the Markets?</w:t>
      </w:r>
    </w:p>
    <w:p w:rsidR="00C11642" w:rsidRPr="00C11642" w:rsidRDefault="00B73DF4" w:rsidP="00C11642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C11642">
        <w:rPr>
          <w:rStyle w:val="st"/>
          <w:rFonts w:asciiTheme="majorHAnsi" w:hAnsiTheme="majorHAnsi"/>
          <w:sz w:val="24"/>
        </w:rPr>
        <w:t xml:space="preserve">Four factors influenced investment performance in 2019: a shift in U.S. monetary policy, the ongoing trade dispute between the U.S. and China, earnings, and the economy.  </w:t>
      </w:r>
    </w:p>
    <w:p w:rsidR="005A4FD6" w:rsidRPr="0043614C" w:rsidRDefault="00B73DF4" w:rsidP="00C11642">
      <w:pPr>
        <w:spacing w:line="276" w:lineRule="auto"/>
        <w:jc w:val="both"/>
        <w:rPr>
          <w:rStyle w:val="st"/>
          <w:rFonts w:asciiTheme="majorHAnsi" w:hAnsiTheme="majorHAnsi"/>
          <w:sz w:val="6"/>
        </w:rPr>
      </w:pPr>
      <w:r w:rsidRPr="00C11642">
        <w:rPr>
          <w:rStyle w:val="st"/>
          <w:rFonts w:asciiTheme="majorHAnsi" w:hAnsiTheme="majorHAnsi"/>
          <w:sz w:val="24"/>
        </w:rPr>
        <w:t>Stocks reached record highs in 2019. The S&amp;P 500 climb</w:t>
      </w:r>
      <w:r w:rsidRPr="00C11642">
        <w:rPr>
          <w:rStyle w:val="st"/>
          <w:rFonts w:asciiTheme="majorHAnsi" w:hAnsiTheme="majorHAnsi"/>
          <w:sz w:val="24"/>
        </w:rPr>
        <w:t>ed above 3,000 for the first time. The benchmark ended Friday’s trading session up 29.25% for the year. At Friday’s close, the Dow Jones Industrial Average showed a year-to-date advance of 22.95%, while the Nasdaq Composite was up 35.74% YTD. The MSCI EAFE</w:t>
      </w:r>
      <w:r w:rsidRPr="00C11642">
        <w:rPr>
          <w:rStyle w:val="st"/>
          <w:rFonts w:asciiTheme="majorHAnsi" w:hAnsiTheme="majorHAnsi"/>
          <w:sz w:val="24"/>
        </w:rPr>
        <w:t xml:space="preserve"> index</w:t>
      </w:r>
      <w:r>
        <w:rPr>
          <w:rStyle w:val="st"/>
          <w:rFonts w:asciiTheme="majorHAnsi" w:hAnsiTheme="majorHAnsi"/>
          <w:sz w:val="24"/>
        </w:rPr>
        <w:t>,</w:t>
      </w:r>
      <w:r w:rsidRPr="00C11642">
        <w:rPr>
          <w:rStyle w:val="st"/>
          <w:rFonts w:asciiTheme="majorHAnsi" w:hAnsiTheme="majorHAnsi"/>
          <w:sz w:val="24"/>
        </w:rPr>
        <w:t xml:space="preserve"> representing foreign stocks</w:t>
      </w:r>
      <w:r>
        <w:rPr>
          <w:rStyle w:val="st"/>
          <w:rFonts w:asciiTheme="majorHAnsi" w:hAnsiTheme="majorHAnsi"/>
          <w:sz w:val="24"/>
        </w:rPr>
        <w:t>,</w:t>
      </w:r>
      <w:r w:rsidRPr="00C11642">
        <w:rPr>
          <w:rStyle w:val="st"/>
          <w:rFonts w:asciiTheme="majorHAnsi" w:hAnsiTheme="majorHAnsi"/>
          <w:sz w:val="24"/>
        </w:rPr>
        <w:t xml:space="preserve"> was up 18.10% YTD through December 27</w:t>
      </w:r>
      <w:r w:rsidRPr="00534997">
        <w:rPr>
          <w:rStyle w:val="st"/>
          <w:rFonts w:asciiTheme="majorHAnsi" w:hAnsiTheme="majorHAnsi"/>
          <w:sz w:val="24"/>
        </w:rPr>
        <w:t>.</w:t>
      </w:r>
      <w:r w:rsidRPr="008C6A92">
        <w:rPr>
          <w:rStyle w:val="st"/>
          <w:rFonts w:asciiTheme="majorHAnsi" w:hAnsiTheme="majorHAnsi"/>
          <w:sz w:val="24"/>
          <w:vertAlign w:val="superscript"/>
        </w:rPr>
        <w:t>1,2</w:t>
      </w:r>
    </w:p>
    <w:p w:rsidR="008C6A92" w:rsidRPr="0043614C" w:rsidRDefault="00B73DF4" w:rsidP="008C6A92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</w:p>
    <w:p w:rsidR="005A4FD6" w:rsidRPr="00E24345" w:rsidRDefault="00B73DF4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C11642">
        <w:rPr>
          <w:rFonts w:asciiTheme="majorHAnsi" w:hAnsiTheme="majorHAnsi"/>
          <w:b/>
          <w:caps/>
          <w:color w:val="E88E0A"/>
          <w:sz w:val="28"/>
        </w:rPr>
        <w:t>The Federal Reserve Eased</w:t>
      </w:r>
    </w:p>
    <w:p w:rsidR="00C11642" w:rsidRPr="00C11642" w:rsidRDefault="00B73DF4" w:rsidP="00C11642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C11642">
        <w:rPr>
          <w:rStyle w:val="st"/>
          <w:rFonts w:asciiTheme="majorHAnsi" w:hAnsiTheme="majorHAnsi"/>
          <w:sz w:val="24"/>
        </w:rPr>
        <w:t xml:space="preserve">The central bank made three quarter-point cuts to the benchmark short-term interest rate in 2019. That was a change from 2018, when the Fed worked on </w:t>
      </w:r>
      <w:r w:rsidRPr="00C11642">
        <w:rPr>
          <w:rStyle w:val="st"/>
          <w:rFonts w:asciiTheme="majorHAnsi" w:hAnsiTheme="majorHAnsi"/>
          <w:sz w:val="24"/>
        </w:rPr>
        <w:t>normalizing monetary policy with interest rate increases</w:t>
      </w:r>
      <w:r>
        <w:rPr>
          <w:rStyle w:val="st"/>
          <w:rFonts w:asciiTheme="majorHAnsi" w:hAnsiTheme="majorHAnsi"/>
          <w:sz w:val="24"/>
        </w:rPr>
        <w:t>,</w:t>
      </w:r>
      <w:r w:rsidRPr="00C11642">
        <w:rPr>
          <w:rStyle w:val="st"/>
          <w:rFonts w:asciiTheme="majorHAnsi" w:hAnsiTheme="majorHAnsi"/>
          <w:sz w:val="24"/>
        </w:rPr>
        <w:t xml:space="preserve"> while thinning its large bond portfolio.</w:t>
      </w:r>
    </w:p>
    <w:p w:rsidR="005A4FD6" w:rsidRPr="00ED56E3" w:rsidRDefault="00B73DF4" w:rsidP="00C11642">
      <w:pPr>
        <w:spacing w:line="276" w:lineRule="auto"/>
        <w:jc w:val="both"/>
        <w:rPr>
          <w:rStyle w:val="st"/>
          <w:rFonts w:asciiTheme="majorHAnsi" w:hAnsiTheme="majorHAnsi"/>
          <w:sz w:val="24"/>
          <w:vertAlign w:val="superscript"/>
        </w:rPr>
      </w:pPr>
      <w:r w:rsidRPr="00C11642">
        <w:rPr>
          <w:rStyle w:val="st"/>
          <w:rFonts w:asciiTheme="majorHAnsi" w:hAnsiTheme="majorHAnsi"/>
          <w:sz w:val="24"/>
        </w:rPr>
        <w:t>By and large, investors welcomed the policy shift. At the end of 2018, there were concerns that the Fed’s effort to tighten the money supply had backfired, w</w:t>
      </w:r>
      <w:r w:rsidRPr="00C11642">
        <w:rPr>
          <w:rStyle w:val="st"/>
          <w:rFonts w:asciiTheme="majorHAnsi" w:hAnsiTheme="majorHAnsi"/>
          <w:sz w:val="24"/>
        </w:rPr>
        <w:t>ith higher U.S. interest rates impeding both the domestic and global economy</w:t>
      </w:r>
      <w:r w:rsidRPr="00D95DF2">
        <w:rPr>
          <w:rStyle w:val="st"/>
          <w:rFonts w:asciiTheme="majorHAnsi" w:hAnsiTheme="majorHAnsi"/>
          <w:sz w:val="24"/>
        </w:rPr>
        <w:t>.</w:t>
      </w:r>
      <w:r w:rsidRPr="008C6A92">
        <w:rPr>
          <w:rStyle w:val="st"/>
          <w:rFonts w:asciiTheme="majorHAnsi" w:hAnsiTheme="majorHAnsi"/>
          <w:sz w:val="24"/>
          <w:vertAlign w:val="superscript"/>
        </w:rPr>
        <w:t>3</w:t>
      </w:r>
      <w:r w:rsidRPr="00ED56E3">
        <w:rPr>
          <w:rStyle w:val="st"/>
          <w:rFonts w:asciiTheme="majorHAnsi" w:hAnsiTheme="majorHAnsi"/>
          <w:sz w:val="24"/>
        </w:rPr>
        <w:t xml:space="preserve">  </w:t>
      </w:r>
    </w:p>
    <w:p w:rsidR="005A4FD6" w:rsidRPr="0043614C" w:rsidRDefault="00B73DF4" w:rsidP="005A4FD6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</w:p>
    <w:p w:rsidR="005A4FD6" w:rsidRPr="00E24345" w:rsidRDefault="00B73DF4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C11642">
        <w:rPr>
          <w:rFonts w:asciiTheme="majorHAnsi" w:hAnsiTheme="majorHAnsi"/>
          <w:b/>
          <w:caps/>
          <w:color w:val="E88E0A"/>
          <w:sz w:val="28"/>
        </w:rPr>
        <w:t>The U.S. and China Trade Quarrel Cooled Down Slightly</w:t>
      </w:r>
    </w:p>
    <w:p w:rsidR="00C11642" w:rsidRPr="00C11642" w:rsidRDefault="00B73DF4" w:rsidP="00C11642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C11642">
        <w:rPr>
          <w:rStyle w:val="st"/>
          <w:rFonts w:asciiTheme="majorHAnsi" w:hAnsiTheme="majorHAnsi"/>
          <w:sz w:val="24"/>
        </w:rPr>
        <w:t>In December, representatives from both nations agreed on a “phase-one” trade deal after a year-and-a-half of imposing ta</w:t>
      </w:r>
      <w:r w:rsidRPr="00C11642">
        <w:rPr>
          <w:rStyle w:val="st"/>
          <w:rFonts w:asciiTheme="majorHAnsi" w:hAnsiTheme="majorHAnsi"/>
          <w:sz w:val="24"/>
        </w:rPr>
        <w:t>riffs on each other’s products. This pact, which is expected to be signed in 2020, is characterized as an initial step toward a larger deal.</w:t>
      </w:r>
    </w:p>
    <w:p w:rsidR="005A4FD6" w:rsidRPr="00ED56E3" w:rsidRDefault="00B73DF4" w:rsidP="00C11642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C11642">
        <w:rPr>
          <w:rStyle w:val="st"/>
          <w:rFonts w:asciiTheme="majorHAnsi" w:hAnsiTheme="majorHAnsi"/>
          <w:sz w:val="24"/>
        </w:rPr>
        <w:t xml:space="preserve">In May, the U.S. put 25% tariffs on $200 billion of Chinese imports; a month later, China imposed a 25% import tax </w:t>
      </w:r>
      <w:r w:rsidRPr="00C11642">
        <w:rPr>
          <w:rStyle w:val="st"/>
          <w:rFonts w:asciiTheme="majorHAnsi" w:hAnsiTheme="majorHAnsi"/>
          <w:sz w:val="24"/>
        </w:rPr>
        <w:t xml:space="preserve">on $60 billion of U.S.-made goods reaching its shores. These tariffs may be </w:t>
      </w:r>
      <w:r w:rsidRPr="00C11642">
        <w:rPr>
          <w:rStyle w:val="st"/>
          <w:rFonts w:asciiTheme="majorHAnsi" w:hAnsiTheme="majorHAnsi"/>
          <w:sz w:val="24"/>
        </w:rPr>
        <w:lastRenderedPageBreak/>
        <w:t>reduced or removed as part of the phase-one deal. (Another $120 billion worth of Chinese goods are currently under a 7.5% tariff, reduced from 15% by the new agreement.)</w:t>
      </w:r>
      <w:r w:rsidRPr="00D13D93">
        <w:rPr>
          <w:rStyle w:val="st"/>
          <w:rFonts w:asciiTheme="majorHAnsi" w:hAnsiTheme="majorHAnsi"/>
          <w:sz w:val="24"/>
          <w:vertAlign w:val="superscript"/>
        </w:rPr>
        <w:t>4</w:t>
      </w:r>
    </w:p>
    <w:p w:rsidR="00C11642" w:rsidRPr="0043614C" w:rsidRDefault="00B73DF4" w:rsidP="00C11642">
      <w:pPr>
        <w:spacing w:line="276" w:lineRule="auto"/>
        <w:jc w:val="both"/>
        <w:rPr>
          <w:rStyle w:val="st"/>
          <w:rFonts w:asciiTheme="majorHAnsi" w:hAnsiTheme="majorHAnsi"/>
          <w:sz w:val="4"/>
        </w:rPr>
      </w:pPr>
    </w:p>
    <w:p w:rsidR="00C11642" w:rsidRPr="00E24345" w:rsidRDefault="00B73DF4" w:rsidP="00C11642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C11642">
        <w:rPr>
          <w:rFonts w:asciiTheme="majorHAnsi" w:hAnsiTheme="majorHAnsi"/>
          <w:b/>
          <w:caps/>
          <w:color w:val="E88E0A"/>
          <w:sz w:val="28"/>
        </w:rPr>
        <w:t>Earnings</w:t>
      </w:r>
      <w:r w:rsidRPr="00C11642">
        <w:rPr>
          <w:rFonts w:asciiTheme="majorHAnsi" w:hAnsiTheme="majorHAnsi"/>
          <w:b/>
          <w:caps/>
          <w:color w:val="E88E0A"/>
          <w:sz w:val="28"/>
        </w:rPr>
        <w:t xml:space="preserve"> Beat (Low) Expectations</w:t>
      </w:r>
    </w:p>
    <w:p w:rsidR="00C11642" w:rsidRPr="00C11642" w:rsidRDefault="00B73DF4" w:rsidP="00C11642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C11642">
        <w:rPr>
          <w:rStyle w:val="st"/>
          <w:rFonts w:asciiTheme="majorHAnsi" w:hAnsiTheme="majorHAnsi"/>
          <w:sz w:val="24"/>
        </w:rPr>
        <w:t xml:space="preserve">Stock market analysts were pessimistic about corporate profits as the year began. With economies worldwide slowing down in 2018, year-over-year earnings growth for S&amp;P 500 firms seemed poised to decelerate. </w:t>
      </w:r>
    </w:p>
    <w:p w:rsidR="00C11642" w:rsidRDefault="00B73DF4" w:rsidP="00C11642">
      <w:pPr>
        <w:spacing w:line="276" w:lineRule="auto"/>
        <w:jc w:val="both"/>
        <w:rPr>
          <w:rStyle w:val="st"/>
          <w:rFonts w:asciiTheme="majorHAnsi" w:hAnsiTheme="majorHAnsi"/>
          <w:sz w:val="24"/>
          <w:vertAlign w:val="superscript"/>
        </w:rPr>
      </w:pPr>
      <w:r w:rsidRPr="00C11642">
        <w:rPr>
          <w:rStyle w:val="st"/>
          <w:rFonts w:asciiTheme="majorHAnsi" w:hAnsiTheme="majorHAnsi"/>
          <w:sz w:val="24"/>
        </w:rPr>
        <w:t>Deceleration was eviden</w:t>
      </w:r>
      <w:r w:rsidRPr="00C11642">
        <w:rPr>
          <w:rStyle w:val="st"/>
          <w:rFonts w:asciiTheme="majorHAnsi" w:hAnsiTheme="majorHAnsi"/>
          <w:sz w:val="24"/>
        </w:rPr>
        <w:t>t, but later in the year, many firms managed to exceed reduced estimates. According to stock market analytics firm FactSet, 75% of S&amp;P 500 components beat earnings-per-share estimates in Q3, compared to a 5-year historical average of 72%</w:t>
      </w:r>
      <w:r w:rsidRPr="00EC38D4">
        <w:rPr>
          <w:rStyle w:val="st"/>
          <w:rFonts w:asciiTheme="majorHAnsi" w:hAnsiTheme="majorHAnsi"/>
          <w:sz w:val="24"/>
        </w:rPr>
        <w:t>.</w:t>
      </w:r>
      <w:r w:rsidRPr="00FE1AF3">
        <w:rPr>
          <w:rStyle w:val="st"/>
          <w:rFonts w:asciiTheme="majorHAnsi" w:hAnsiTheme="majorHAnsi"/>
          <w:sz w:val="24"/>
          <w:vertAlign w:val="superscript"/>
        </w:rPr>
        <w:t>5</w:t>
      </w:r>
    </w:p>
    <w:p w:rsidR="00C11642" w:rsidRPr="0043614C" w:rsidRDefault="00B73DF4" w:rsidP="00C11642">
      <w:pPr>
        <w:spacing w:line="276" w:lineRule="auto"/>
        <w:jc w:val="both"/>
        <w:rPr>
          <w:rStyle w:val="st"/>
          <w:rFonts w:asciiTheme="majorHAnsi" w:hAnsiTheme="majorHAnsi"/>
          <w:sz w:val="4"/>
        </w:rPr>
      </w:pPr>
    </w:p>
    <w:p w:rsidR="00C11642" w:rsidRPr="00E24345" w:rsidRDefault="00B73DF4" w:rsidP="00C11642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C11642">
        <w:rPr>
          <w:rFonts w:asciiTheme="majorHAnsi" w:hAnsiTheme="majorHAnsi"/>
          <w:b/>
          <w:caps/>
          <w:color w:val="E88E0A"/>
          <w:sz w:val="28"/>
        </w:rPr>
        <w:t xml:space="preserve">The Economy </w:t>
      </w:r>
      <w:r w:rsidRPr="00C11642">
        <w:rPr>
          <w:rFonts w:asciiTheme="majorHAnsi" w:hAnsiTheme="majorHAnsi"/>
          <w:b/>
          <w:caps/>
          <w:color w:val="E88E0A"/>
          <w:sz w:val="28"/>
        </w:rPr>
        <w:t>Maintained Momentum</w:t>
      </w:r>
    </w:p>
    <w:p w:rsidR="00C11642" w:rsidRPr="00C11642" w:rsidRDefault="00B73DF4" w:rsidP="00C11642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C11642">
        <w:rPr>
          <w:rStyle w:val="st"/>
          <w:rFonts w:asciiTheme="majorHAnsi" w:hAnsiTheme="majorHAnsi"/>
          <w:sz w:val="24"/>
        </w:rPr>
        <w:t>Gross domestic product came in at 3.1% in Q1, 2.0% in Q2, and 2.1% in Q3. Through November, nonfarm payrolls growth had averaged 180,000 per month during 2019. Manufacturing output varied, as CEOs were less certain about expansion and c</w:t>
      </w:r>
      <w:r w:rsidRPr="00C11642">
        <w:rPr>
          <w:rStyle w:val="st"/>
          <w:rFonts w:asciiTheme="majorHAnsi" w:hAnsiTheme="majorHAnsi"/>
          <w:sz w:val="24"/>
        </w:rPr>
        <w:t xml:space="preserve">apital investments </w:t>
      </w:r>
      <w:r>
        <w:rPr>
          <w:rStyle w:val="st"/>
          <w:rFonts w:asciiTheme="majorHAnsi" w:hAnsiTheme="majorHAnsi"/>
          <w:sz w:val="24"/>
        </w:rPr>
        <w:t>during</w:t>
      </w:r>
      <w:r w:rsidRPr="00C11642">
        <w:rPr>
          <w:rStyle w:val="st"/>
          <w:rFonts w:asciiTheme="majorHAnsi" w:hAnsiTheme="majorHAnsi"/>
          <w:sz w:val="24"/>
        </w:rPr>
        <w:t xml:space="preserve"> the first half of the year; it declined in Q1 and Q2 before improving again in Q3.</w:t>
      </w:r>
      <w:r w:rsidRPr="00C11642">
        <w:rPr>
          <w:rStyle w:val="st"/>
          <w:rFonts w:asciiTheme="majorHAnsi" w:hAnsiTheme="majorHAnsi"/>
          <w:sz w:val="24"/>
          <w:vertAlign w:val="superscript"/>
        </w:rPr>
        <w:t>6,7</w:t>
      </w:r>
    </w:p>
    <w:p w:rsidR="00C11642" w:rsidRDefault="00B73DF4" w:rsidP="00C11642">
      <w:pPr>
        <w:spacing w:line="276" w:lineRule="auto"/>
        <w:jc w:val="both"/>
        <w:rPr>
          <w:rStyle w:val="st"/>
          <w:rFonts w:asciiTheme="majorHAnsi" w:hAnsiTheme="majorHAnsi"/>
          <w:sz w:val="24"/>
          <w:vertAlign w:val="superscript"/>
        </w:rPr>
      </w:pPr>
      <w:r w:rsidRPr="00C11642">
        <w:rPr>
          <w:rStyle w:val="st"/>
          <w:rFonts w:asciiTheme="majorHAnsi" w:hAnsiTheme="majorHAnsi"/>
          <w:sz w:val="24"/>
        </w:rPr>
        <w:t xml:space="preserve">The Conference Board’s </w:t>
      </w:r>
      <w:r>
        <w:rPr>
          <w:rStyle w:val="st"/>
          <w:rFonts w:asciiTheme="majorHAnsi" w:hAnsiTheme="majorHAnsi"/>
          <w:sz w:val="24"/>
        </w:rPr>
        <w:t>C</w:t>
      </w:r>
      <w:r w:rsidRPr="00C11642">
        <w:rPr>
          <w:rStyle w:val="st"/>
          <w:rFonts w:asciiTheme="majorHAnsi" w:hAnsiTheme="majorHAnsi"/>
          <w:sz w:val="24"/>
        </w:rPr>
        <w:t xml:space="preserve">onsumer </w:t>
      </w:r>
      <w:r>
        <w:rPr>
          <w:rStyle w:val="st"/>
          <w:rFonts w:asciiTheme="majorHAnsi" w:hAnsiTheme="majorHAnsi"/>
          <w:sz w:val="24"/>
        </w:rPr>
        <w:t>C</w:t>
      </w:r>
      <w:r w:rsidRPr="00C11642">
        <w:rPr>
          <w:rStyle w:val="st"/>
          <w:rFonts w:asciiTheme="majorHAnsi" w:hAnsiTheme="majorHAnsi"/>
          <w:sz w:val="24"/>
        </w:rPr>
        <w:t xml:space="preserve">onfidence </w:t>
      </w:r>
      <w:r>
        <w:rPr>
          <w:rStyle w:val="st"/>
          <w:rFonts w:asciiTheme="majorHAnsi" w:hAnsiTheme="majorHAnsi"/>
          <w:sz w:val="24"/>
        </w:rPr>
        <w:t>I</w:t>
      </w:r>
      <w:r w:rsidRPr="00C11642">
        <w:rPr>
          <w:rStyle w:val="st"/>
          <w:rFonts w:asciiTheme="majorHAnsi" w:hAnsiTheme="majorHAnsi"/>
          <w:sz w:val="24"/>
        </w:rPr>
        <w:t xml:space="preserve">ndex was at 125.5 in November, above its (revised) January mark of 121.7. Inflation stayed under 2% </w:t>
      </w:r>
      <w:r w:rsidRPr="00C11642">
        <w:rPr>
          <w:rStyle w:val="st"/>
          <w:rFonts w:asciiTheme="majorHAnsi" w:hAnsiTheme="majorHAnsi"/>
          <w:sz w:val="24"/>
        </w:rPr>
        <w:t>for most of the year before reaching a 12-month high of 2.1% in November.</w:t>
      </w:r>
      <w:r>
        <w:rPr>
          <w:rStyle w:val="st"/>
          <w:rFonts w:asciiTheme="majorHAnsi" w:hAnsiTheme="majorHAnsi"/>
          <w:sz w:val="24"/>
          <w:vertAlign w:val="superscript"/>
        </w:rPr>
        <w:t>8,9</w:t>
      </w:r>
    </w:p>
    <w:p w:rsidR="005A4FD6" w:rsidRPr="0043614C" w:rsidRDefault="00B73DF4" w:rsidP="005A4FD6">
      <w:pPr>
        <w:spacing w:line="276" w:lineRule="auto"/>
        <w:jc w:val="both"/>
        <w:rPr>
          <w:rStyle w:val="st"/>
          <w:rFonts w:asciiTheme="majorHAnsi" w:hAnsiTheme="majorHAnsi"/>
          <w:sz w:val="4"/>
        </w:rPr>
      </w:pPr>
    </w:p>
    <w:p w:rsidR="005A4FD6" w:rsidRPr="00E24345" w:rsidRDefault="00B73DF4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C11642">
        <w:rPr>
          <w:rFonts w:asciiTheme="majorHAnsi" w:hAnsiTheme="majorHAnsi"/>
          <w:b/>
          <w:caps/>
          <w:color w:val="E88E0A"/>
          <w:sz w:val="28"/>
        </w:rPr>
        <w:t>What’s Ahead</w:t>
      </w:r>
    </w:p>
    <w:p w:rsidR="005A4FD6" w:rsidRDefault="00B73DF4" w:rsidP="005A4FD6">
      <w:pPr>
        <w:spacing w:line="276" w:lineRule="auto"/>
        <w:jc w:val="both"/>
        <w:rPr>
          <w:rStyle w:val="st"/>
          <w:rFonts w:asciiTheme="majorHAnsi" w:hAnsiTheme="majorHAnsi"/>
          <w:sz w:val="24"/>
          <w:vertAlign w:val="superscript"/>
        </w:rPr>
      </w:pPr>
      <w:r w:rsidRPr="002E78FF">
        <w:rPr>
          <w:rStyle w:val="st"/>
          <w:rFonts w:asciiTheme="majorHAnsi" w:hAnsiTheme="majorHAnsi"/>
          <w:sz w:val="24"/>
        </w:rPr>
        <w:t>Congress passed the Setting Every Community Up for Retirement Enhancement (SECURE) Act before Christmas, and President Trump signed it into law last week</w:t>
      </w:r>
      <w:r w:rsidRPr="00C11642">
        <w:rPr>
          <w:rStyle w:val="st"/>
          <w:rFonts w:asciiTheme="majorHAnsi" w:hAnsiTheme="majorHAnsi"/>
          <w:sz w:val="24"/>
        </w:rPr>
        <w:t xml:space="preserve">. This new </w:t>
      </w:r>
      <w:r w:rsidRPr="00C11642">
        <w:rPr>
          <w:rStyle w:val="st"/>
          <w:rFonts w:asciiTheme="majorHAnsi" w:hAnsiTheme="majorHAnsi"/>
          <w:sz w:val="24"/>
        </w:rPr>
        <w:t>law alters a key rule pertaining to traditional retirement accounts. It raises the age for Required Minimum Distributions (RMDs) from these accounts</w:t>
      </w:r>
      <w:r>
        <w:rPr>
          <w:rStyle w:val="st"/>
          <w:rFonts w:asciiTheme="majorHAnsi" w:hAnsiTheme="majorHAnsi"/>
          <w:sz w:val="24"/>
        </w:rPr>
        <w:t>,</w:t>
      </w:r>
      <w:r w:rsidRPr="00C11642">
        <w:rPr>
          <w:rStyle w:val="st"/>
          <w:rFonts w:asciiTheme="majorHAnsi" w:hAnsiTheme="majorHAnsi"/>
          <w:sz w:val="24"/>
        </w:rPr>
        <w:t xml:space="preserve"> from 70½ to 72. (If you are now 70½ or older, this change does not affect your scheduled RMDs. Only those </w:t>
      </w:r>
      <w:r w:rsidRPr="00C11642">
        <w:rPr>
          <w:rStyle w:val="st"/>
          <w:rFonts w:asciiTheme="majorHAnsi" w:hAnsiTheme="majorHAnsi"/>
          <w:sz w:val="24"/>
        </w:rPr>
        <w:t>who turn 70½ in 2020 or later are subject to the new rule.)</w:t>
      </w:r>
      <w:r>
        <w:rPr>
          <w:rStyle w:val="st"/>
          <w:rFonts w:asciiTheme="majorHAnsi" w:hAnsiTheme="majorHAnsi"/>
          <w:sz w:val="24"/>
          <w:vertAlign w:val="superscript"/>
        </w:rPr>
        <w:t>10</w:t>
      </w:r>
    </w:p>
    <w:p w:rsidR="005A4FD6" w:rsidRDefault="00B73DF4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5A4FD6" w:rsidRPr="0043614C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  <w:r w:rsidRPr="00552AA9">
        <w:rPr>
          <w:rStyle w:val="st"/>
          <w:rFonts w:asciiTheme="majorHAnsi" w:hAnsiTheme="majorHAnsi"/>
          <w:color w:val="E88E0A"/>
        </w:rPr>
        <w:t>T I P</w:t>
      </w:r>
      <w:r>
        <w:rPr>
          <w:rStyle w:val="st"/>
          <w:rFonts w:asciiTheme="majorHAnsi" w:hAnsiTheme="majorHAnsi"/>
          <w:color w:val="E88E0A"/>
        </w:rPr>
        <w:t xml:space="preserve">   O F   T H E   W E E K</w:t>
      </w:r>
      <w:r>
        <w:rPr>
          <w:rStyle w:val="st"/>
          <w:rFonts w:asciiTheme="majorHAnsi" w:hAnsiTheme="majorHAnsi"/>
          <w:color w:val="E88E0A"/>
        </w:rPr>
        <w:br/>
      </w:r>
    </w:p>
    <w:p w:rsidR="005A4FD6" w:rsidRDefault="00B73DF4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14375" cy="7143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Pr="00EA0505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i/>
          <w:sz w:val="28"/>
        </w:rPr>
      </w:pPr>
      <w:r>
        <w:rPr>
          <w:rStyle w:val="st"/>
          <w:rFonts w:asciiTheme="majorHAnsi" w:hAnsiTheme="majorHAnsi"/>
          <w:sz w:val="24"/>
        </w:rPr>
        <w:lastRenderedPageBreak/>
        <w:br/>
      </w:r>
      <w:r>
        <w:rPr>
          <w:rStyle w:val="st"/>
          <w:rFonts w:asciiTheme="majorHAnsi" w:hAnsiTheme="majorHAnsi"/>
          <w:i/>
          <w:sz w:val="28"/>
        </w:rPr>
        <w:t xml:space="preserve">If you have not yet </w:t>
      </w:r>
      <w:r w:rsidRPr="002E78FF">
        <w:rPr>
          <w:rStyle w:val="st"/>
          <w:rFonts w:asciiTheme="majorHAnsi" w:hAnsiTheme="majorHAnsi"/>
          <w:b/>
          <w:i/>
          <w:sz w:val="28"/>
        </w:rPr>
        <w:t>automated</w:t>
      </w:r>
      <w:r>
        <w:rPr>
          <w:rStyle w:val="st"/>
          <w:rFonts w:asciiTheme="majorHAnsi" w:hAnsiTheme="majorHAnsi"/>
          <w:i/>
          <w:sz w:val="28"/>
        </w:rPr>
        <w:t xml:space="preserve"> your </w:t>
      </w:r>
      <w:r w:rsidRPr="002E78FF">
        <w:rPr>
          <w:rStyle w:val="st"/>
          <w:rFonts w:asciiTheme="majorHAnsi" w:hAnsiTheme="majorHAnsi"/>
          <w:b/>
          <w:i/>
          <w:sz w:val="28"/>
        </w:rPr>
        <w:t>retirement account contributions</w:t>
      </w:r>
      <w:r>
        <w:rPr>
          <w:rStyle w:val="st"/>
          <w:rFonts w:asciiTheme="majorHAnsi" w:hAnsiTheme="majorHAnsi"/>
          <w:i/>
          <w:sz w:val="28"/>
        </w:rPr>
        <w:t xml:space="preserve">, consider doing so for 2020 and years ahead. This is a way to help you prepare for </w:t>
      </w:r>
      <w:r>
        <w:rPr>
          <w:rStyle w:val="st"/>
          <w:rFonts w:asciiTheme="majorHAnsi" w:hAnsiTheme="majorHAnsi"/>
          <w:i/>
          <w:sz w:val="28"/>
        </w:rPr>
        <w:t>retirement, even while other things are on your mind.</w:t>
      </w:r>
    </w:p>
    <w:p w:rsidR="005A4FD6" w:rsidRPr="0043614C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5A4FD6" w:rsidRDefault="00B73DF4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B73DF4" w:rsidP="005A4FD6">
      <w:pPr>
        <w:spacing w:line="276" w:lineRule="auto"/>
        <w:rPr>
          <w:rFonts w:asciiTheme="majorHAnsi" w:hAnsiTheme="majorHAnsi"/>
          <w:b/>
          <w:color w:val="E88E0A"/>
          <w:spacing w:val="-2"/>
          <w:sz w:val="6"/>
        </w:rPr>
      </w:pPr>
    </w:p>
    <w:p w:rsidR="005A4FD6" w:rsidRDefault="00B73DF4" w:rsidP="005A4FD6">
      <w:pPr>
        <w:spacing w:line="276" w:lineRule="auto"/>
        <w:rPr>
          <w:rFonts w:asciiTheme="majorHAnsi" w:hAnsiTheme="majorHAnsi"/>
          <w:b/>
          <w:color w:val="E88E0A"/>
          <w:spacing w:val="-2"/>
          <w:sz w:val="28"/>
        </w:rPr>
      </w:pPr>
      <w:r w:rsidRPr="000525F2">
        <w:rPr>
          <w:rFonts w:asciiTheme="majorHAnsi" w:hAnsiTheme="majorHAnsi"/>
          <w:b/>
          <w:color w:val="E88E0A"/>
          <w:spacing w:val="-2"/>
          <w:sz w:val="28"/>
        </w:rPr>
        <w:t>THE WEEK AHEAD: KEY ECONOMIC DATA</w:t>
      </w:r>
    </w:p>
    <w:p w:rsidR="002E78FF" w:rsidRPr="002E78FF" w:rsidRDefault="00B73DF4" w:rsidP="002E78FF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bookmarkStart w:id="1" w:name="_Hlk3729023"/>
      <w:r w:rsidRPr="002E78FF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Tuesday: </w:t>
      </w:r>
      <w:r w:rsidRPr="002E78FF">
        <w:rPr>
          <w:rFonts w:asciiTheme="majorHAnsi" w:hAnsiTheme="majorHAnsi"/>
          <w:color w:val="000000" w:themeColor="text1"/>
          <w:spacing w:val="-2"/>
          <w:sz w:val="24"/>
        </w:rPr>
        <w:t xml:space="preserve">The Conference Board publishes its last monthly </w:t>
      </w:r>
      <w:r>
        <w:rPr>
          <w:rFonts w:asciiTheme="majorHAnsi" w:hAnsiTheme="majorHAnsi"/>
          <w:color w:val="000000" w:themeColor="text1"/>
          <w:spacing w:val="-2"/>
          <w:sz w:val="24"/>
        </w:rPr>
        <w:t>C</w:t>
      </w:r>
      <w:r w:rsidRPr="002E78FF">
        <w:rPr>
          <w:rFonts w:asciiTheme="majorHAnsi" w:hAnsiTheme="majorHAnsi"/>
          <w:color w:val="000000" w:themeColor="text1"/>
          <w:spacing w:val="-2"/>
          <w:sz w:val="24"/>
        </w:rPr>
        <w:t xml:space="preserve">onsumer </w:t>
      </w:r>
      <w:r>
        <w:rPr>
          <w:rFonts w:asciiTheme="majorHAnsi" w:hAnsiTheme="majorHAnsi"/>
          <w:color w:val="000000" w:themeColor="text1"/>
          <w:spacing w:val="-2"/>
          <w:sz w:val="24"/>
        </w:rPr>
        <w:t>C</w:t>
      </w:r>
      <w:r w:rsidRPr="002E78FF">
        <w:rPr>
          <w:rFonts w:asciiTheme="majorHAnsi" w:hAnsiTheme="majorHAnsi"/>
          <w:color w:val="000000" w:themeColor="text1"/>
          <w:spacing w:val="-2"/>
          <w:sz w:val="24"/>
        </w:rPr>
        <w:t xml:space="preserve">onfidence </w:t>
      </w:r>
      <w:r>
        <w:rPr>
          <w:rFonts w:asciiTheme="majorHAnsi" w:hAnsiTheme="majorHAnsi"/>
          <w:color w:val="000000" w:themeColor="text1"/>
          <w:spacing w:val="-2"/>
          <w:sz w:val="24"/>
        </w:rPr>
        <w:t>I</w:t>
      </w:r>
      <w:r w:rsidRPr="002E78FF">
        <w:rPr>
          <w:rFonts w:asciiTheme="majorHAnsi" w:hAnsiTheme="majorHAnsi"/>
          <w:color w:val="000000" w:themeColor="text1"/>
          <w:spacing w:val="-2"/>
          <w:sz w:val="24"/>
        </w:rPr>
        <w:t>ndex of 2019.</w:t>
      </w:r>
    </w:p>
    <w:p w:rsidR="005A4FD6" w:rsidRPr="003E57D4" w:rsidRDefault="00B73DF4" w:rsidP="002E78FF">
      <w:pPr>
        <w:spacing w:line="240" w:lineRule="auto"/>
        <w:rPr>
          <w:rFonts w:asciiTheme="majorHAnsi" w:eastAsia="Times New Roman" w:hAnsiTheme="majorHAnsi"/>
          <w:bCs/>
          <w:color w:val="000000" w:themeColor="text1"/>
          <w:spacing w:val="-2"/>
          <w:sz w:val="24"/>
          <w:szCs w:val="20"/>
        </w:rPr>
      </w:pPr>
      <w:r w:rsidRPr="002E78FF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Friday: </w:t>
      </w:r>
      <w:r w:rsidRPr="002E78FF">
        <w:rPr>
          <w:rFonts w:asciiTheme="majorHAnsi" w:hAnsiTheme="majorHAnsi"/>
          <w:color w:val="000000" w:themeColor="text1"/>
          <w:spacing w:val="-2"/>
          <w:sz w:val="24"/>
        </w:rPr>
        <w:t xml:space="preserve">The Institute for Supply Management presents its December </w:t>
      </w:r>
      <w:r w:rsidRPr="002E78FF">
        <w:rPr>
          <w:rFonts w:asciiTheme="majorHAnsi" w:hAnsiTheme="majorHAnsi"/>
          <w:color w:val="000000" w:themeColor="text1"/>
          <w:spacing w:val="-2"/>
          <w:sz w:val="24"/>
        </w:rPr>
        <w:t>manufacturing index, a gauge of U.S. factory activity.</w:t>
      </w:r>
    </w:p>
    <w:bookmarkEnd w:id="1"/>
    <w:p w:rsidR="005A4FD6" w:rsidRPr="000525F2" w:rsidRDefault="00B73DF4" w:rsidP="005A4FD6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Source: Econoday, </w:t>
      </w:r>
      <w:r>
        <w:rPr>
          <w:rFonts w:eastAsia="Times New Roman"/>
          <w:color w:val="000000"/>
          <w:sz w:val="18"/>
          <w:szCs w:val="20"/>
        </w:rPr>
        <w:t xml:space="preserve">December </w:t>
      </w:r>
      <w:r>
        <w:rPr>
          <w:rFonts w:eastAsia="Times New Roman"/>
          <w:color w:val="000000"/>
          <w:sz w:val="18"/>
          <w:szCs w:val="20"/>
        </w:rPr>
        <w:t>27</w:t>
      </w:r>
      <w:r>
        <w:rPr>
          <w:rFonts w:eastAsia="Times New Roman"/>
          <w:color w:val="000000"/>
          <w:sz w:val="18"/>
          <w:szCs w:val="20"/>
        </w:rPr>
        <w:t>, 2019</w:t>
      </w:r>
    </w:p>
    <w:p w:rsidR="005A4FD6" w:rsidRPr="0043614C" w:rsidRDefault="00B73DF4" w:rsidP="005A4FD6">
      <w:pPr>
        <w:spacing w:line="240" w:lineRule="auto"/>
        <w:jc w:val="both"/>
        <w:rPr>
          <w:rFonts w:asciiTheme="majorHAnsi" w:hAnsiTheme="majorHAnsi"/>
          <w:color w:val="000000" w:themeColor="text1"/>
          <w:spacing w:val="-2"/>
          <w:sz w:val="24"/>
        </w:rPr>
      </w:pPr>
      <w:r w:rsidRPr="00BF0E6C">
        <w:rPr>
          <w:rFonts w:eastAsia="Times New Roman"/>
          <w:color w:val="000000"/>
          <w:sz w:val="18"/>
          <w:szCs w:val="20"/>
        </w:rPr>
        <w:t>The Econoday economic calendar lists upcoming U.S. economic data releases (including key economic indicators), Federal Reserve policy meetings, and speaking engageme</w:t>
      </w:r>
      <w:r w:rsidRPr="00BF0E6C">
        <w:rPr>
          <w:rFonts w:eastAsia="Times New Roman"/>
          <w:color w:val="000000"/>
          <w:sz w:val="18"/>
          <w:szCs w:val="20"/>
        </w:rPr>
        <w:t>nts of Federal Reserve officials. The content is developed from sources believed to be providing accurate information. The forecasts or forward-looking statements are based on assumptions and may not materialize. The forecasts also are subject to revision</w:t>
      </w:r>
      <w:r w:rsidRPr="000525F2">
        <w:rPr>
          <w:rFonts w:eastAsia="Times New Roman"/>
          <w:color w:val="000000"/>
          <w:sz w:val="18"/>
          <w:szCs w:val="20"/>
        </w:rPr>
        <w:t>.</w:t>
      </w:r>
    </w:p>
    <w:p w:rsidR="005A4FD6" w:rsidRPr="0043614C" w:rsidRDefault="00B73DF4" w:rsidP="005A4FD6">
      <w:pPr>
        <w:spacing w:line="276" w:lineRule="auto"/>
        <w:rPr>
          <w:rFonts w:asciiTheme="majorHAnsi" w:hAnsiTheme="majorHAnsi"/>
          <w:color w:val="808080"/>
          <w:spacing w:val="-2"/>
          <w:sz w:val="4"/>
        </w:rPr>
      </w:pPr>
    </w:p>
    <w:p w:rsidR="005A4FD6" w:rsidRDefault="00B73DF4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5A4FD6" w:rsidRPr="00B2579B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 w:rsidRPr="00B2579B">
        <w:rPr>
          <w:rStyle w:val="st"/>
          <w:rFonts w:asciiTheme="majorHAnsi" w:hAnsiTheme="majorHAnsi"/>
          <w:color w:val="E88E0A"/>
        </w:rPr>
        <w:t>Q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U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O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T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O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F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T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H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W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K</w:t>
      </w:r>
    </w:p>
    <w:p w:rsidR="005A4FD6" w:rsidRPr="0043614C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5A4FD6" w:rsidRDefault="00B73DF4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868680" cy="640080"/>
            <wp:effectExtent l="0" t="0" r="762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Pr="00234A75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i/>
          <w:sz w:val="36"/>
        </w:rPr>
      </w:pPr>
      <w:r w:rsidRPr="00234A75">
        <w:rPr>
          <w:rStyle w:val="st"/>
          <w:rFonts w:asciiTheme="majorHAnsi" w:hAnsiTheme="majorHAnsi"/>
          <w:i/>
          <w:sz w:val="36"/>
        </w:rPr>
        <w:t>“</w:t>
      </w:r>
      <w:r w:rsidRPr="002E78FF">
        <w:rPr>
          <w:rStyle w:val="st"/>
          <w:rFonts w:asciiTheme="majorHAnsi" w:hAnsiTheme="majorHAnsi"/>
          <w:i/>
          <w:sz w:val="36"/>
        </w:rPr>
        <w:t xml:space="preserve">A </w:t>
      </w:r>
      <w:r w:rsidRPr="002E78FF">
        <w:rPr>
          <w:rStyle w:val="st"/>
          <w:rFonts w:asciiTheme="majorHAnsi" w:hAnsiTheme="majorHAnsi"/>
          <w:b/>
          <w:i/>
          <w:sz w:val="36"/>
        </w:rPr>
        <w:t>single day</w:t>
      </w:r>
      <w:r w:rsidRPr="002E78FF">
        <w:rPr>
          <w:rStyle w:val="st"/>
          <w:rFonts w:asciiTheme="majorHAnsi" w:hAnsiTheme="majorHAnsi"/>
          <w:i/>
          <w:sz w:val="36"/>
        </w:rPr>
        <w:t xml:space="preserve"> is enough to make us a </w:t>
      </w:r>
      <w:r w:rsidRPr="002E78FF">
        <w:rPr>
          <w:rStyle w:val="st"/>
          <w:rFonts w:asciiTheme="majorHAnsi" w:hAnsiTheme="majorHAnsi"/>
          <w:b/>
          <w:i/>
          <w:sz w:val="36"/>
        </w:rPr>
        <w:t>little larger</w:t>
      </w:r>
      <w:r w:rsidRPr="004F6F29">
        <w:rPr>
          <w:rStyle w:val="st"/>
          <w:rFonts w:asciiTheme="majorHAnsi" w:hAnsiTheme="majorHAnsi"/>
          <w:i/>
          <w:sz w:val="36"/>
        </w:rPr>
        <w:t>.</w:t>
      </w:r>
      <w:r w:rsidRPr="00234A75">
        <w:rPr>
          <w:rStyle w:val="st"/>
          <w:rFonts w:asciiTheme="majorHAnsi" w:hAnsiTheme="majorHAnsi"/>
          <w:i/>
          <w:sz w:val="36"/>
        </w:rPr>
        <w:t>”</w:t>
      </w:r>
    </w:p>
    <w:p w:rsidR="005A4FD6" w:rsidRPr="00552AA9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sz w:val="24"/>
        </w:rPr>
      </w:pPr>
      <w:r>
        <w:rPr>
          <w:rStyle w:val="st"/>
          <w:rFonts w:asciiTheme="majorHAnsi" w:hAnsiTheme="majorHAnsi"/>
          <w:i/>
          <w:color w:val="E88E0A"/>
        </w:rPr>
        <w:t>PAUL KLEE</w:t>
      </w:r>
    </w:p>
    <w:p w:rsidR="005A4FD6" w:rsidRPr="0043614C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5A4FD6" w:rsidRDefault="00B73DF4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B73DF4" w:rsidP="005A4FD6">
      <w:pPr>
        <w:spacing w:line="276" w:lineRule="auto"/>
        <w:rPr>
          <w:rStyle w:val="st"/>
          <w:rFonts w:asciiTheme="majorHAnsi" w:hAnsiTheme="majorHAnsi"/>
          <w:sz w:val="4"/>
        </w:rPr>
      </w:pPr>
    </w:p>
    <w:p w:rsidR="005A4FD6" w:rsidRPr="001162D1" w:rsidRDefault="00B73DF4" w:rsidP="005A4FD6">
      <w:pPr>
        <w:spacing w:line="276" w:lineRule="auto"/>
        <w:jc w:val="center"/>
        <w:rPr>
          <w:rFonts w:asciiTheme="majorHAnsi" w:hAnsiTheme="majorHAnsi" w:cs="Verdana"/>
          <w:iCs/>
          <w:color w:val="646464"/>
          <w:spacing w:val="-4"/>
          <w:sz w:val="18"/>
          <w:szCs w:val="14"/>
        </w:rPr>
      </w:pPr>
      <w:r>
        <w:rPr>
          <w:rFonts w:asciiTheme="majorHAnsi" w:hAnsiTheme="majorHAnsi" w:cs="Verdana"/>
          <w:iCs/>
          <w:noProof/>
          <w:color w:val="646464"/>
          <w:spacing w:val="-4"/>
          <w:sz w:val="18"/>
          <w:szCs w:val="14"/>
        </w:rPr>
        <w:lastRenderedPageBreak/>
        <w:drawing>
          <wp:inline distT="0" distB="0" distL="0" distR="0">
            <wp:extent cx="5715000" cy="64556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kly-commentary-tab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5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Default="00B73DF4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5A4FD6" w:rsidRPr="00B2579B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>
        <w:rPr>
          <w:rStyle w:val="st"/>
          <w:rFonts w:asciiTheme="majorHAnsi" w:hAnsiTheme="majorHAnsi"/>
          <w:color w:val="E88E0A"/>
        </w:rPr>
        <w:t>T H E   W E E K L Y   R I D D L E</w:t>
      </w:r>
    </w:p>
    <w:p w:rsidR="005A4FD6" w:rsidRPr="0043614C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5A4FD6" w:rsidRDefault="00B73DF4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771525" cy="949569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5" cy="95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Pr="00DB1BD4" w:rsidRDefault="00B73DF4" w:rsidP="00DB1BD4">
      <w:pPr>
        <w:spacing w:line="276" w:lineRule="auto"/>
        <w:jc w:val="center"/>
        <w:rPr>
          <w:rStyle w:val="st"/>
          <w:rFonts w:asciiTheme="majorHAnsi" w:hAnsiTheme="majorHAnsi"/>
          <w:i/>
          <w:sz w:val="36"/>
        </w:rPr>
      </w:pPr>
      <w:r w:rsidRPr="00DB1BD4">
        <w:rPr>
          <w:rStyle w:val="st"/>
          <w:rFonts w:asciiTheme="majorHAnsi" w:hAnsiTheme="majorHAnsi"/>
          <w:i/>
          <w:sz w:val="36"/>
        </w:rPr>
        <w:t xml:space="preserve">Two people are </w:t>
      </w:r>
      <w:r w:rsidRPr="00DB1BD4">
        <w:rPr>
          <w:rStyle w:val="st"/>
          <w:rFonts w:asciiTheme="majorHAnsi" w:hAnsiTheme="majorHAnsi"/>
          <w:b/>
          <w:i/>
          <w:sz w:val="36"/>
        </w:rPr>
        <w:t>born</w:t>
      </w:r>
      <w:r w:rsidRPr="00DB1BD4">
        <w:rPr>
          <w:rStyle w:val="st"/>
          <w:rFonts w:asciiTheme="majorHAnsi" w:hAnsiTheme="majorHAnsi"/>
          <w:i/>
          <w:sz w:val="36"/>
        </w:rPr>
        <w:t xml:space="preserve"> at the </w:t>
      </w:r>
      <w:r w:rsidRPr="00DB1BD4">
        <w:rPr>
          <w:rStyle w:val="st"/>
          <w:rFonts w:asciiTheme="majorHAnsi" w:hAnsiTheme="majorHAnsi"/>
          <w:b/>
          <w:i/>
          <w:sz w:val="36"/>
        </w:rPr>
        <w:t>same moment</w:t>
      </w:r>
      <w:r w:rsidRPr="00DB1BD4">
        <w:rPr>
          <w:rStyle w:val="st"/>
          <w:rFonts w:asciiTheme="majorHAnsi" w:hAnsiTheme="majorHAnsi"/>
          <w:i/>
          <w:sz w:val="36"/>
        </w:rPr>
        <w:t xml:space="preserve">, but they </w:t>
      </w:r>
      <w:r w:rsidRPr="00DB1BD4">
        <w:rPr>
          <w:rStyle w:val="st"/>
          <w:rFonts w:asciiTheme="majorHAnsi" w:hAnsiTheme="majorHAnsi"/>
          <w:b/>
          <w:i/>
          <w:sz w:val="36"/>
        </w:rPr>
        <w:t>don’t have</w:t>
      </w:r>
      <w:r w:rsidRPr="00DB1BD4">
        <w:rPr>
          <w:rStyle w:val="st"/>
          <w:rFonts w:asciiTheme="majorHAnsi" w:hAnsiTheme="majorHAnsi"/>
          <w:i/>
          <w:sz w:val="36"/>
        </w:rPr>
        <w:t xml:space="preserve"> the </w:t>
      </w:r>
      <w:r w:rsidRPr="00DB1BD4">
        <w:rPr>
          <w:rStyle w:val="st"/>
          <w:rFonts w:asciiTheme="majorHAnsi" w:hAnsiTheme="majorHAnsi"/>
          <w:b/>
          <w:i/>
          <w:sz w:val="36"/>
        </w:rPr>
        <w:t>same birthdays</w:t>
      </w:r>
      <w:r w:rsidRPr="00DB1BD4">
        <w:rPr>
          <w:rStyle w:val="st"/>
          <w:rFonts w:asciiTheme="majorHAnsi" w:hAnsiTheme="majorHAnsi"/>
          <w:i/>
          <w:sz w:val="36"/>
        </w:rPr>
        <w:t>.</w:t>
      </w:r>
      <w:r>
        <w:rPr>
          <w:rStyle w:val="st"/>
          <w:rFonts w:asciiTheme="majorHAnsi" w:hAnsiTheme="majorHAnsi"/>
          <w:i/>
          <w:sz w:val="36"/>
        </w:rPr>
        <w:t xml:space="preserve"> </w:t>
      </w:r>
      <w:r w:rsidRPr="00DB1BD4">
        <w:rPr>
          <w:rStyle w:val="st"/>
          <w:rFonts w:asciiTheme="majorHAnsi" w:hAnsiTheme="majorHAnsi"/>
          <w:i/>
          <w:sz w:val="36"/>
        </w:rPr>
        <w:t xml:space="preserve">How </w:t>
      </w:r>
      <w:r>
        <w:rPr>
          <w:rStyle w:val="st"/>
          <w:rFonts w:asciiTheme="majorHAnsi" w:hAnsiTheme="majorHAnsi"/>
          <w:i/>
          <w:sz w:val="36"/>
        </w:rPr>
        <w:t>can</w:t>
      </w:r>
      <w:r w:rsidRPr="00DB1BD4">
        <w:rPr>
          <w:rStyle w:val="st"/>
          <w:rFonts w:asciiTheme="majorHAnsi" w:hAnsiTheme="majorHAnsi"/>
          <w:i/>
          <w:sz w:val="36"/>
        </w:rPr>
        <w:t xml:space="preserve"> this be</w:t>
      </w:r>
      <w:r w:rsidRPr="003B2B01">
        <w:rPr>
          <w:rStyle w:val="st"/>
          <w:rFonts w:asciiTheme="majorHAnsi" w:hAnsiTheme="majorHAnsi"/>
          <w:i/>
          <w:sz w:val="36"/>
        </w:rPr>
        <w:t>?</w:t>
      </w:r>
    </w:p>
    <w:p w:rsidR="005A4FD6" w:rsidRPr="0043614C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</w:p>
    <w:p w:rsidR="005A4FD6" w:rsidRPr="001162D1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646464"/>
        </w:rPr>
      </w:pPr>
      <w:r>
        <w:rPr>
          <w:rStyle w:val="st"/>
          <w:rFonts w:asciiTheme="majorHAnsi" w:hAnsiTheme="majorHAnsi"/>
          <w:i/>
          <w:color w:val="646464"/>
        </w:rPr>
        <w:t>THE</w:t>
      </w:r>
      <w:r w:rsidRPr="001162D1">
        <w:rPr>
          <w:rStyle w:val="st"/>
          <w:rFonts w:asciiTheme="majorHAnsi" w:hAnsiTheme="majorHAnsi"/>
          <w:i/>
          <w:color w:val="646464"/>
        </w:rPr>
        <w:t xml:space="preserve"> RIDDLE</w:t>
      </w:r>
      <w:r>
        <w:rPr>
          <w:rStyle w:val="st"/>
          <w:rFonts w:asciiTheme="majorHAnsi" w:hAnsiTheme="majorHAnsi"/>
          <w:i/>
          <w:color w:val="646464"/>
        </w:rPr>
        <w:t xml:space="preserve"> FROM THE PREVIOUS WEEKLY ECONOMIC UPDATE</w:t>
      </w:r>
      <w:r w:rsidRPr="001162D1">
        <w:rPr>
          <w:rStyle w:val="st"/>
          <w:rFonts w:asciiTheme="majorHAnsi" w:hAnsiTheme="majorHAnsi"/>
          <w:i/>
          <w:color w:val="646464"/>
        </w:rPr>
        <w:t xml:space="preserve">: </w:t>
      </w:r>
      <w:r w:rsidRPr="00DB1BD4">
        <w:rPr>
          <w:rStyle w:val="st"/>
          <w:rFonts w:asciiTheme="majorHAnsi" w:hAnsiTheme="majorHAnsi"/>
          <w:i/>
          <w:color w:val="646464"/>
        </w:rPr>
        <w:t>The more places I be, the less you can see. What am I</w:t>
      </w:r>
      <w:r w:rsidRPr="001162D1">
        <w:rPr>
          <w:rStyle w:val="st"/>
          <w:rFonts w:asciiTheme="majorHAnsi" w:hAnsiTheme="majorHAnsi"/>
          <w:i/>
          <w:color w:val="646464"/>
        </w:rPr>
        <w:t>?</w:t>
      </w:r>
    </w:p>
    <w:p w:rsidR="005A4FD6" w:rsidRPr="001162D1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646464"/>
        </w:rPr>
      </w:pPr>
      <w:r w:rsidRPr="001162D1">
        <w:rPr>
          <w:rStyle w:val="st"/>
          <w:rFonts w:asciiTheme="majorHAnsi" w:hAnsiTheme="majorHAnsi"/>
          <w:i/>
          <w:color w:val="646464"/>
        </w:rPr>
        <w:t xml:space="preserve">ANSWER: </w:t>
      </w:r>
      <w:r>
        <w:rPr>
          <w:rStyle w:val="st"/>
          <w:rFonts w:asciiTheme="majorHAnsi" w:hAnsiTheme="majorHAnsi"/>
          <w:i/>
          <w:color w:val="646464"/>
        </w:rPr>
        <w:t>Darkness</w:t>
      </w:r>
      <w:r>
        <w:rPr>
          <w:rStyle w:val="st"/>
          <w:rFonts w:asciiTheme="majorHAnsi" w:hAnsiTheme="majorHAnsi"/>
          <w:i/>
          <w:color w:val="646464"/>
        </w:rPr>
        <w:t>.</w:t>
      </w:r>
    </w:p>
    <w:p w:rsidR="005A4FD6" w:rsidRPr="0043614C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</w:p>
    <w:p w:rsidR="005A4FD6" w:rsidRDefault="00B73DF4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8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B73DF4" w:rsidP="005A4FD6">
      <w:pPr>
        <w:spacing w:line="276" w:lineRule="auto"/>
        <w:rPr>
          <w:rFonts w:asciiTheme="majorHAnsi" w:hAnsiTheme="majorHAnsi"/>
          <w:color w:val="A6A6A6" w:themeColor="background1" w:themeShade="A6"/>
          <w:sz w:val="4"/>
          <w:szCs w:val="20"/>
        </w:rPr>
      </w:pPr>
    </w:p>
    <w:p w:rsidR="005A4FD6" w:rsidRPr="0043614C" w:rsidRDefault="00B73DF4" w:rsidP="005A4FD6">
      <w:pPr>
        <w:spacing w:line="276" w:lineRule="auto"/>
        <w:jc w:val="center"/>
        <w:rPr>
          <w:rFonts w:asciiTheme="majorHAnsi" w:hAnsiTheme="majorHAnsi" w:cs="Times New Roman"/>
          <w:sz w:val="6"/>
          <w:szCs w:val="32"/>
        </w:rPr>
      </w:pPr>
      <w:r w:rsidRPr="006E3EBF">
        <w:rPr>
          <w:rFonts w:asciiTheme="majorHAnsi" w:hAnsiTheme="majorHAnsi" w:cs="Times New Roman"/>
          <w:b/>
          <w:sz w:val="24"/>
          <w:szCs w:val="32"/>
        </w:rPr>
        <w:t xml:space="preserve">Know someone who could use information like this? </w:t>
      </w:r>
      <w:r>
        <w:rPr>
          <w:rFonts w:asciiTheme="majorHAnsi" w:hAnsiTheme="majorHAnsi" w:cs="Times New Roman"/>
          <w:b/>
          <w:sz w:val="24"/>
          <w:szCs w:val="32"/>
        </w:rPr>
        <w:br/>
      </w:r>
      <w:r>
        <w:rPr>
          <w:rFonts w:asciiTheme="majorHAnsi" w:hAnsiTheme="majorHAnsi" w:cs="Times New Roman"/>
          <w:sz w:val="24"/>
          <w:szCs w:val="32"/>
        </w:rPr>
        <w:t xml:space="preserve">Please feel </w:t>
      </w:r>
      <w:r>
        <w:rPr>
          <w:rFonts w:asciiTheme="majorHAnsi" w:hAnsiTheme="majorHAnsi" w:cs="Times New Roman"/>
          <w:sz w:val="24"/>
          <w:szCs w:val="32"/>
        </w:rPr>
        <w:t>free to send us their contact information via phone or email. (Don’t worry – we’ll request their permission before adding them to our mailing list.)</w:t>
      </w:r>
    </w:p>
    <w:p w:rsidR="00237981" w:rsidRDefault="00B73DF4" w:rsidP="00571E5C">
      <w:pPr>
        <w:spacing w:line="276" w:lineRule="auto"/>
        <w:jc w:val="center"/>
        <w:rPr>
          <w:rFonts w:asciiTheme="majorHAnsi" w:hAnsiTheme="majorHAnsi"/>
          <w:color w:val="A6A6A6" w:themeColor="background1" w:themeShade="A6"/>
          <w:sz w:val="20"/>
          <w:szCs w:val="20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6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05" w:rsidRPr="0043614C" w:rsidRDefault="00B73DF4" w:rsidP="00571E5C">
      <w:pPr>
        <w:spacing w:line="276" w:lineRule="auto"/>
        <w:jc w:val="both"/>
        <w:rPr>
          <w:rFonts w:asciiTheme="majorHAnsi" w:hAnsiTheme="majorHAnsi"/>
          <w:color w:val="A6A6A6" w:themeColor="background1" w:themeShade="A6"/>
          <w:sz w:val="2"/>
          <w:szCs w:val="16"/>
        </w:rPr>
      </w:pPr>
    </w:p>
    <w:p w:rsidR="00B73DF4" w:rsidRDefault="00B73DF4" w:rsidP="00B73DF4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Securities offered through Kestra Investment Services, LLC (Kestra IS), a member FINRA/SIPC.  Investment advisory services offered through Kestra Advisory Services, LLC (Kestra AS), </w:t>
      </w:r>
      <w:proofErr w:type="gramStart"/>
      <w:r>
        <w:rPr>
          <w:rFonts w:ascii="Times New Roman" w:hAnsi="Times New Roman"/>
          <w:sz w:val="16"/>
          <w:szCs w:val="16"/>
        </w:rPr>
        <w:t>an</w:t>
      </w:r>
      <w:proofErr w:type="gramEnd"/>
      <w:r>
        <w:rPr>
          <w:rFonts w:ascii="Times New Roman" w:hAnsi="Times New Roman"/>
          <w:sz w:val="16"/>
          <w:szCs w:val="16"/>
        </w:rPr>
        <w:t xml:space="preserve"> affiliate of Kestra IS.  Levine Group, LLC is not affiliated with Kestra IS or Kestra AS.</w:t>
      </w:r>
    </w:p>
    <w:p w:rsidR="00613524" w:rsidRDefault="00B73DF4" w:rsidP="00E476E1">
      <w:pPr>
        <w:spacing w:line="276" w:lineRule="auto"/>
        <w:jc w:val="both"/>
        <w:rPr>
          <w:rFonts w:asciiTheme="majorHAnsi" w:hAnsiTheme="majorHAnsi" w:cs="Arial"/>
          <w:color w:val="646464"/>
          <w:sz w:val="16"/>
          <w:szCs w:val="16"/>
        </w:rPr>
      </w:pPr>
      <w:r w:rsidRPr="001162D1">
        <w:rPr>
          <w:rFonts w:asciiTheme="majorHAnsi" w:hAnsiTheme="majorHAnsi" w:cs="Arial"/>
          <w:color w:val="646464"/>
          <w:sz w:val="16"/>
          <w:szCs w:val="16"/>
        </w:rPr>
        <w:t>.</w:t>
      </w:r>
    </w:p>
    <w:p w:rsidR="00DB1BD4" w:rsidRPr="002543AC" w:rsidRDefault="00B73DF4" w:rsidP="00DB1BD4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bookmarkStart w:id="2" w:name="_Hlk2950709"/>
      <w:bookmarkStart w:id="3" w:name="_Hlk5367224"/>
      <w:bookmarkStart w:id="4" w:name="_Hlk1133051"/>
      <w:r w:rsidRPr="002543AC">
        <w:rPr>
          <w:rFonts w:asciiTheme="majorHAnsi" w:hAnsiTheme="majorHAnsi" w:cs="Arial"/>
          <w:color w:val="646464"/>
          <w:sz w:val="16"/>
          <w:szCs w:val="16"/>
        </w:rPr>
        <w:t>CITATIONS:</w:t>
      </w:r>
    </w:p>
    <w:p w:rsidR="00DB1BD4" w:rsidRDefault="00B73DF4" w:rsidP="00DB1BD4">
      <w:pPr>
        <w:spacing w:after="0" w:line="240" w:lineRule="auto"/>
        <w:rPr>
          <w:noProof/>
        </w:rPr>
      </w:pPr>
      <w:bookmarkStart w:id="5" w:name="_Hlk7787319"/>
      <w:r>
        <w:rPr>
          <w:rFonts w:asciiTheme="majorHAnsi" w:hAnsiTheme="majorHAnsi" w:cs="Arial"/>
          <w:color w:val="767171" w:themeColor="background2" w:themeShade="80"/>
          <w:sz w:val="16"/>
        </w:rPr>
        <w:t xml:space="preserve">1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 xml:space="preserve">- </w:t>
      </w:r>
      <w:bookmarkStart w:id="6" w:name="_Hlk8391553"/>
      <w:r w:rsidRPr="009C6AE7">
        <w:rPr>
          <w:rFonts w:asciiTheme="majorHAnsi" w:hAnsiTheme="majorHAnsi" w:cs="Arial"/>
          <w:color w:val="767171" w:themeColor="background2" w:themeShade="80"/>
          <w:sz w:val="16"/>
        </w:rPr>
        <w:t>wsj.com/market-data</w:t>
      </w:r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 </w:t>
      </w:r>
      <w:bookmarkEnd w:id="6"/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12/27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DB1BD4" w:rsidRDefault="00B73DF4" w:rsidP="00DB1BD4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2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- </w:t>
      </w:r>
      <w:r w:rsidRPr="00FA6B4E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quotes.wsj.com/index/XX/MSCI%20GLOBAL/990300/historical-prices 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[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12/27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/19]</w:t>
      </w:r>
    </w:p>
    <w:p w:rsidR="00DB1BD4" w:rsidRDefault="00B73DF4" w:rsidP="00DB1BD4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3 - </w:t>
      </w:r>
      <w:r w:rsidRPr="00C7105D">
        <w:rPr>
          <w:rFonts w:asciiTheme="majorHAnsi" w:hAnsiTheme="majorHAnsi" w:cs="Arial"/>
          <w:color w:val="767171" w:themeColor="background2" w:themeShade="80"/>
          <w:sz w:val="16"/>
        </w:rPr>
        <w:t xml:space="preserve">washingtonpost.com/business/2019/12/11/year-federal-reserve-admitted-it-was-wrong/ </w:t>
      </w:r>
      <w:r>
        <w:rPr>
          <w:rFonts w:asciiTheme="majorHAnsi" w:hAnsiTheme="majorHAnsi" w:cs="Arial"/>
          <w:color w:val="767171" w:themeColor="background2" w:themeShade="80"/>
          <w:sz w:val="16"/>
        </w:rPr>
        <w:t>[12/11/19]</w:t>
      </w:r>
    </w:p>
    <w:p w:rsidR="00DB1BD4" w:rsidRPr="00C149E1" w:rsidRDefault="00B73DF4" w:rsidP="00DB1BD4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4</w:t>
      </w:r>
      <w:r w:rsidRPr="00C149E1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- </w:t>
      </w:r>
      <w:r w:rsidRPr="00D60F7D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bbc.com/news/business-45899310 </w:t>
      </w:r>
      <w:r w:rsidRPr="00C149E1">
        <w:rPr>
          <w:rFonts w:asciiTheme="majorHAnsi" w:hAnsiTheme="majorHAnsi" w:cs="Calibri"/>
          <w:color w:val="767171" w:themeColor="background2" w:themeShade="80"/>
          <w:sz w:val="16"/>
          <w:szCs w:val="16"/>
        </w:rPr>
        <w:t>[1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2/</w:t>
      </w:r>
      <w:r w:rsidRPr="00C149E1">
        <w:rPr>
          <w:rFonts w:asciiTheme="majorHAnsi" w:hAnsiTheme="majorHAnsi" w:cs="Calibri"/>
          <w:color w:val="767171" w:themeColor="background2" w:themeShade="80"/>
          <w:sz w:val="16"/>
          <w:szCs w:val="16"/>
        </w:rPr>
        <w:t>1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6</w:t>
      </w:r>
      <w:r w:rsidRPr="00C149E1">
        <w:rPr>
          <w:rFonts w:asciiTheme="majorHAnsi" w:hAnsiTheme="majorHAnsi" w:cs="Calibri"/>
          <w:color w:val="767171" w:themeColor="background2" w:themeShade="80"/>
          <w:sz w:val="16"/>
          <w:szCs w:val="16"/>
        </w:rPr>
        <w:t>/19]</w:t>
      </w:r>
    </w:p>
    <w:p w:rsidR="00DB1BD4" w:rsidRDefault="00B73DF4" w:rsidP="00DB1BD4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5 - </w:t>
      </w:r>
      <w:r w:rsidRPr="00996AD6">
        <w:rPr>
          <w:rFonts w:asciiTheme="majorHAnsi" w:hAnsiTheme="majorHAnsi" w:cs="Arial"/>
          <w:color w:val="767171" w:themeColor="background2" w:themeShade="80"/>
          <w:sz w:val="16"/>
        </w:rPr>
        <w:t xml:space="preserve">insight.factset.com/earnings-insight-q319-by-the-numbers-infographic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11/21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DB1BD4" w:rsidRDefault="00B73DF4" w:rsidP="00DB1BD4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6 - </w:t>
      </w:r>
      <w:r w:rsidRPr="00285FD8">
        <w:rPr>
          <w:rFonts w:asciiTheme="majorHAnsi" w:hAnsiTheme="majorHAnsi" w:cs="Arial"/>
          <w:color w:val="767171" w:themeColor="background2" w:themeShade="80"/>
          <w:sz w:val="16"/>
        </w:rPr>
        <w:t>marketwatch.com/tools/calendars/economic</w:t>
      </w:r>
      <w:r>
        <w:rPr>
          <w:rFonts w:asciiTheme="majorHAnsi" w:hAnsiTheme="majorHAnsi" w:cs="Arial"/>
          <w:color w:val="767171" w:themeColor="background2" w:themeShade="80"/>
          <w:sz w:val="16"/>
        </w:rPr>
        <w:t xml:space="preserve"> [12/27/19]</w:t>
      </w:r>
    </w:p>
    <w:p w:rsidR="00DB1BD4" w:rsidRPr="0054472B" w:rsidRDefault="00B73DF4" w:rsidP="00DB1BD4">
      <w:pPr>
        <w:spacing w:after="0" w:line="240" w:lineRule="auto"/>
        <w:rPr>
          <w:rFonts w:asciiTheme="majorHAnsi" w:hAnsiTheme="majorHAnsi" w:cstheme="majorHAns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 xml:space="preserve">7 - </w:t>
      </w:r>
      <w:r w:rsidRPr="00285FD8"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 xml:space="preserve">bls.gov/iag/tgs/iag31-33.htm </w:t>
      </w:r>
      <w:r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>[12/20/19]</w:t>
      </w:r>
    </w:p>
    <w:p w:rsidR="00DB1BD4" w:rsidRPr="0054472B" w:rsidRDefault="00B73DF4" w:rsidP="00DB1BD4">
      <w:pPr>
        <w:spacing w:after="0" w:line="240" w:lineRule="auto"/>
        <w:rPr>
          <w:rFonts w:asciiTheme="majorHAnsi" w:hAnsiTheme="majorHAnsi" w:cstheme="majorHAns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 xml:space="preserve">8 - </w:t>
      </w:r>
      <w:bookmarkStart w:id="7" w:name="_Hlk28353205"/>
      <w:r w:rsidRPr="009D50B2"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 xml:space="preserve">investing.com/economic-calendar/cb-consumer-confidence-48 </w:t>
      </w:r>
      <w:bookmarkEnd w:id="7"/>
      <w:r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>[12/27/19]</w:t>
      </w:r>
    </w:p>
    <w:p w:rsidR="00DB1BD4" w:rsidRDefault="00B73DF4" w:rsidP="00DB1BD4">
      <w:pPr>
        <w:spacing w:after="0" w:line="240" w:lineRule="auto"/>
        <w:rPr>
          <w:rFonts w:asciiTheme="majorHAnsi" w:hAnsiTheme="majorHAnsi" w:cstheme="majorHAns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 xml:space="preserve">9 - </w:t>
      </w:r>
      <w:bookmarkStart w:id="8" w:name="_Hlk28353232"/>
      <w:r w:rsidRPr="00CC4C24"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>tradingeconomics.com/united-states/inflation-cpi</w:t>
      </w:r>
      <w:bookmarkEnd w:id="8"/>
      <w:r w:rsidRPr="00462115"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 xml:space="preserve"> </w:t>
      </w:r>
      <w:r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>[12/27/19]</w:t>
      </w:r>
    </w:p>
    <w:p w:rsidR="00DB1BD4" w:rsidRPr="0054472B" w:rsidRDefault="00B73DF4" w:rsidP="00DB1BD4">
      <w:pPr>
        <w:spacing w:after="0" w:line="240" w:lineRule="auto"/>
        <w:rPr>
          <w:rFonts w:asciiTheme="majorHAnsi" w:hAnsiTheme="majorHAnsi" w:cstheme="majorHAnsi"/>
          <w:color w:val="767171" w:themeColor="background2" w:themeShade="80"/>
          <w:spacing w:val="-8"/>
          <w:sz w:val="16"/>
          <w:szCs w:val="16"/>
        </w:rPr>
      </w:pPr>
      <w:r w:rsidRPr="0054472B">
        <w:rPr>
          <w:rFonts w:asciiTheme="majorHAnsi" w:hAnsiTheme="majorHAnsi" w:cstheme="majorHAnsi"/>
          <w:color w:val="767171" w:themeColor="background2" w:themeShade="80"/>
          <w:spacing w:val="-8"/>
          <w:sz w:val="16"/>
          <w:szCs w:val="16"/>
        </w:rPr>
        <w:t xml:space="preserve">10 - </w:t>
      </w:r>
      <w:r w:rsidRPr="0054472B">
        <w:rPr>
          <w:rFonts w:asciiTheme="majorHAnsi" w:hAnsiTheme="majorHAnsi" w:cstheme="majorHAnsi"/>
          <w:color w:val="767171" w:themeColor="background2" w:themeShade="80"/>
          <w:spacing w:val="-8"/>
          <w:sz w:val="16"/>
          <w:szCs w:val="16"/>
        </w:rPr>
        <w:t>marketwatch.com/story/with-president-trumps-signature-the-secure-act-is-passed-here-are-the-most-important-things-to-know-2019-12-21 [12/25/19]</w:t>
      </w:r>
    </w:p>
    <w:p w:rsidR="00DB1BD4" w:rsidRDefault="00B73DF4" w:rsidP="00DB1BD4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</w:p>
    <w:p w:rsidR="00DB1BD4" w:rsidRDefault="00B73DF4" w:rsidP="00DB1BD4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</w:p>
    <w:p w:rsidR="00DB1BD4" w:rsidRPr="002543AC" w:rsidRDefault="00B73DF4" w:rsidP="00DB1BD4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bookmarkStart w:id="9" w:name="_Hlk2950788"/>
      <w:bookmarkStart w:id="10" w:name="_Hlk5367252"/>
      <w:bookmarkEnd w:id="2"/>
      <w:bookmarkEnd w:id="3"/>
      <w:bookmarkEnd w:id="5"/>
      <w:r w:rsidRPr="002543AC">
        <w:rPr>
          <w:rFonts w:asciiTheme="majorHAnsi" w:hAnsiTheme="majorHAnsi" w:cs="Arial"/>
          <w:color w:val="646464"/>
          <w:sz w:val="16"/>
          <w:szCs w:val="16"/>
        </w:rPr>
        <w:t>CHART CITATIONS:</w:t>
      </w:r>
    </w:p>
    <w:p w:rsidR="00DB1BD4" w:rsidRDefault="00B73DF4" w:rsidP="00DB1BD4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bookmarkStart w:id="11" w:name="_Hlk7787375"/>
      <w:r w:rsidRPr="009C6AE7">
        <w:rPr>
          <w:rFonts w:asciiTheme="majorHAnsi" w:hAnsiTheme="majorHAnsi" w:cs="Arial"/>
          <w:color w:val="767171" w:themeColor="background2" w:themeShade="80"/>
          <w:sz w:val="16"/>
        </w:rPr>
        <w:t>wsj.com/market-data</w:t>
      </w:r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12/27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DB1BD4" w:rsidRDefault="00B73DF4" w:rsidP="00DB1BD4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 w:rsidRPr="00FA6B4E">
        <w:rPr>
          <w:rFonts w:asciiTheme="majorHAnsi" w:hAnsiTheme="majorHAnsi" w:cs="Calibri"/>
          <w:color w:val="767171" w:themeColor="background2" w:themeShade="80"/>
          <w:sz w:val="16"/>
          <w:szCs w:val="16"/>
        </w:rPr>
        <w:t>quotes.wsj.com/index/XX/MSCI%20GLOBAL/990300/historical-prices</w:t>
      </w:r>
      <w:r w:rsidRPr="00FA6B4E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[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12/27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/19]</w:t>
      </w:r>
    </w:p>
    <w:p w:rsidR="00DB1BD4" w:rsidRDefault="00B73DF4" w:rsidP="00DB1BD4">
      <w:pPr>
        <w:spacing w:after="0" w:line="240" w:lineRule="auto"/>
        <w:rPr>
          <w:rFonts w:asciiTheme="majorHAnsi" w:hAnsiTheme="majorHAnsi" w:cstheme="majorHAnsi"/>
          <w:color w:val="767171" w:themeColor="background2" w:themeShade="80"/>
          <w:sz w:val="16"/>
          <w:szCs w:val="16"/>
        </w:rPr>
      </w:pPr>
      <w:r w:rsidRPr="00462115"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 xml:space="preserve">quotes.wsj.com/index/SPX/historical-prices </w:t>
      </w:r>
      <w:r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>[12/27/19]</w:t>
      </w:r>
    </w:p>
    <w:bookmarkEnd w:id="11"/>
    <w:p w:rsidR="00DB1BD4" w:rsidRPr="008E589A" w:rsidRDefault="00B73DF4" w:rsidP="00DB1BD4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 w:rsidRPr="00F554A1">
        <w:rPr>
          <w:rFonts w:asciiTheme="majorHAnsi" w:hAnsiTheme="majorHAnsi" w:cs="Arial"/>
          <w:color w:val="767171" w:themeColor="background2" w:themeShade="80"/>
          <w:sz w:val="16"/>
        </w:rPr>
        <w:t xml:space="preserve">treasury.gov/resource-center/data-chart-center/interest-rates/Pages/TextView.aspx?data=yield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12/27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DB1BD4" w:rsidRPr="008E589A" w:rsidRDefault="00B73DF4" w:rsidP="00DB1BD4">
      <w:pPr>
        <w:spacing w:after="0" w:line="240" w:lineRule="auto"/>
        <w:rPr>
          <w:noProof/>
          <w:color w:val="767171" w:themeColor="background2" w:themeShade="80"/>
        </w:rPr>
      </w:pPr>
      <w:bookmarkStart w:id="12" w:name="_Hlk7787450"/>
      <w:r w:rsidRPr="00462115">
        <w:rPr>
          <w:rFonts w:asciiTheme="majorHAnsi" w:hAnsiTheme="majorHAnsi" w:cs="Arial"/>
          <w:color w:val="767171" w:themeColor="background2" w:themeShade="80"/>
          <w:sz w:val="16"/>
        </w:rPr>
        <w:t>treasury.gov/resource-center/data-chart-center/interest-rates/Pages/TextView.aspx?data=yieldAll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 xml:space="preserve"> [</w:t>
      </w:r>
      <w:r>
        <w:rPr>
          <w:rFonts w:asciiTheme="majorHAnsi" w:hAnsiTheme="majorHAnsi" w:cs="Arial"/>
          <w:color w:val="767171" w:themeColor="background2" w:themeShade="80"/>
          <w:sz w:val="16"/>
        </w:rPr>
        <w:t>12/27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bookmarkEnd w:id="4"/>
    <w:bookmarkEnd w:id="9"/>
    <w:bookmarkEnd w:id="10"/>
    <w:bookmarkEnd w:id="12"/>
    <w:p w:rsidR="007916FF" w:rsidRPr="00E55C73" w:rsidRDefault="00B73DF4" w:rsidP="00DB1BD4">
      <w:pPr>
        <w:spacing w:line="276" w:lineRule="auto"/>
        <w:rPr>
          <w:color w:val="767171" w:themeColor="background2" w:themeShade="80"/>
        </w:rPr>
      </w:pPr>
    </w:p>
    <w:sectPr w:rsidR="007916FF" w:rsidRPr="00E55C73" w:rsidSect="002B3955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F4"/>
    <w:rsid w:val="00B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2B86F-D197-4B65-8700-68799019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4A2938"/>
  </w:style>
  <w:style w:type="paragraph" w:styleId="ListParagraph">
    <w:name w:val="List Paragraph"/>
    <w:basedOn w:val="Normal"/>
    <w:uiPriority w:val="34"/>
    <w:qFormat/>
    <w:rsid w:val="00B2579B"/>
    <w:pPr>
      <w:ind w:left="720"/>
      <w:contextualSpacing/>
    </w:pPr>
  </w:style>
  <w:style w:type="table" w:styleId="TableGrid">
    <w:name w:val="Table Grid"/>
    <w:basedOn w:val="TableNormal"/>
    <w:uiPriority w:val="39"/>
    <w:rsid w:val="006D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7981"/>
    <w:pPr>
      <w:autoSpaceDE w:val="0"/>
      <w:autoSpaceDN w:val="0"/>
      <w:adjustRightInd w:val="0"/>
      <w:spacing w:after="480" w:line="420" w:lineRule="exact"/>
    </w:pPr>
    <w:rPr>
      <w:rFonts w:ascii="Georgia" w:eastAsia="Times" w:hAnsi="Georgia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237981"/>
    <w:rPr>
      <w:rFonts w:ascii="Georgia" w:eastAsia="Times" w:hAnsi="Georgia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April Rome</cp:lastModifiedBy>
  <cp:revision>2</cp:revision>
  <dcterms:created xsi:type="dcterms:W3CDTF">2019-12-30T15:44:00Z</dcterms:created>
  <dcterms:modified xsi:type="dcterms:W3CDTF">2019-12-30T15:44:00Z</dcterms:modified>
</cp:coreProperties>
</file>