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5FD8C" w14:textId="77777777" w:rsidR="000E6C96" w:rsidRPr="00C67F54" w:rsidRDefault="006734FC" w:rsidP="00C67F54">
      <w:pPr>
        <w:pStyle w:val="NormalWeb"/>
        <w:spacing w:line="324" w:lineRule="auto"/>
        <w:jc w:val="left"/>
        <w:rPr>
          <w:rFonts w:ascii="Trebuchet MS" w:hAnsi="Trebuchet MS" w:cs="Arial"/>
          <w:color w:val="1A4278"/>
          <w:sz w:val="22"/>
          <w:szCs w:val="20"/>
          <w:lang w:val="en"/>
        </w:rPr>
      </w:pPr>
      <w:bookmarkStart w:id="0" w:name="_GoBack"/>
      <w:bookmarkEnd w:id="0"/>
      <w:r>
        <w:rPr>
          <w:rFonts w:ascii="Trebuchet MS" w:hAnsi="Trebuchet MS" w:cs="Arial"/>
          <w:color w:val="1A4278"/>
          <w:sz w:val="22"/>
          <w:szCs w:val="20"/>
          <w:lang w:val="en"/>
        </w:rPr>
        <w:t>Updated March 30</w:t>
      </w:r>
      <w:r w:rsidR="00BF6CAB" w:rsidRPr="00576C87">
        <w:rPr>
          <w:rFonts w:ascii="Trebuchet MS" w:hAnsi="Trebuchet MS" w:cs="Arial"/>
          <w:color w:val="1A4278"/>
          <w:sz w:val="22"/>
          <w:szCs w:val="20"/>
          <w:lang w:val="en"/>
        </w:rPr>
        <w:t>, 2020</w:t>
      </w:r>
    </w:p>
    <w:p w14:paraId="329CBE60" w14:textId="77777777" w:rsidR="00C67F54" w:rsidRPr="00C67F54" w:rsidRDefault="00C67F54" w:rsidP="00C67F54">
      <w:pPr>
        <w:pStyle w:val="NormalWeb"/>
        <w:rPr>
          <w:rFonts w:ascii="Trebuchet MS" w:hAnsi="Trebuchet MS" w:cs="Arial"/>
          <w:b/>
          <w:color w:val="1A4278"/>
          <w:sz w:val="32"/>
          <w:szCs w:val="20"/>
          <w:lang w:val="en"/>
        </w:rPr>
      </w:pPr>
      <w:r w:rsidRPr="00C67F54">
        <w:rPr>
          <w:rFonts w:ascii="Trebuchet MS" w:hAnsi="Trebuchet MS" w:cs="Arial"/>
          <w:b/>
          <w:color w:val="1A4278"/>
          <w:sz w:val="32"/>
          <w:szCs w:val="20"/>
          <w:lang w:val="en"/>
        </w:rPr>
        <w:t>CARES Act Legislation</w:t>
      </w:r>
      <w:r w:rsidR="000D5713">
        <w:rPr>
          <w:rFonts w:ascii="Trebuchet MS" w:hAnsi="Trebuchet MS" w:cs="Arial"/>
          <w:b/>
          <w:color w:val="1A4278"/>
          <w:sz w:val="32"/>
          <w:szCs w:val="20"/>
          <w:lang w:val="en"/>
        </w:rPr>
        <w:t xml:space="preserve"> Summary</w:t>
      </w:r>
    </w:p>
    <w:p w14:paraId="42403800" w14:textId="77777777" w:rsidR="00812CC0" w:rsidRPr="004335E6" w:rsidRDefault="008E3AD4" w:rsidP="00C67F54">
      <w:pPr>
        <w:pStyle w:val="NormalWeb"/>
        <w:spacing w:line="324" w:lineRule="auto"/>
        <w:jc w:val="left"/>
        <w:rPr>
          <w:rFonts w:ascii="Trebuchet MS" w:hAnsi="Trebuchet MS" w:cs="Arial"/>
          <w:sz w:val="22"/>
          <w:szCs w:val="20"/>
        </w:rPr>
      </w:pPr>
      <w:r w:rsidRPr="004335E6">
        <w:rPr>
          <w:rFonts w:ascii="Trebuchet MS" w:hAnsi="Trebuchet MS" w:cs="Arial"/>
          <w:sz w:val="22"/>
          <w:szCs w:val="20"/>
        </w:rPr>
        <w:t>On March 27, 2020,</w:t>
      </w:r>
      <w:r w:rsidR="00812CC0" w:rsidRPr="004335E6">
        <w:rPr>
          <w:rFonts w:ascii="Trebuchet MS" w:hAnsi="Trebuchet MS" w:cs="Arial"/>
          <w:sz w:val="22"/>
          <w:szCs w:val="20"/>
        </w:rPr>
        <w:t xml:space="preserve"> the Coronavirus, Aid, Relief, and Economic Sec</w:t>
      </w:r>
      <w:r w:rsidR="000B0B2E" w:rsidRPr="004335E6">
        <w:rPr>
          <w:rFonts w:ascii="Trebuchet MS" w:hAnsi="Trebuchet MS" w:cs="Arial"/>
          <w:sz w:val="22"/>
          <w:szCs w:val="20"/>
        </w:rPr>
        <w:t>urity (CARES) Act (the “Act”)</w:t>
      </w:r>
      <w:r w:rsidRPr="004335E6">
        <w:rPr>
          <w:rFonts w:ascii="Trebuchet MS" w:hAnsi="Trebuchet MS" w:cs="Arial"/>
          <w:sz w:val="22"/>
          <w:szCs w:val="20"/>
        </w:rPr>
        <w:t xml:space="preserve"> was signed into law</w:t>
      </w:r>
      <w:r w:rsidR="000B0B2E" w:rsidRPr="004335E6">
        <w:rPr>
          <w:rFonts w:ascii="Trebuchet MS" w:hAnsi="Trebuchet MS" w:cs="Arial"/>
          <w:sz w:val="22"/>
          <w:szCs w:val="20"/>
        </w:rPr>
        <w:t xml:space="preserve">. </w:t>
      </w:r>
      <w:r w:rsidRPr="004335E6">
        <w:rPr>
          <w:rFonts w:ascii="Trebuchet MS" w:hAnsi="Trebuchet MS" w:cs="Arial"/>
          <w:sz w:val="22"/>
          <w:szCs w:val="20"/>
        </w:rPr>
        <w:t>A portion of t</w:t>
      </w:r>
      <w:r w:rsidR="00C67F54" w:rsidRPr="004335E6">
        <w:rPr>
          <w:rFonts w:ascii="Trebuchet MS" w:hAnsi="Trebuchet MS" w:cs="Arial"/>
          <w:sz w:val="22"/>
          <w:szCs w:val="20"/>
        </w:rPr>
        <w:t>he Act</w:t>
      </w:r>
      <w:r w:rsidR="00812CC0" w:rsidRPr="004335E6">
        <w:rPr>
          <w:rFonts w:ascii="Trebuchet MS" w:hAnsi="Trebuchet MS" w:cs="Arial"/>
          <w:sz w:val="22"/>
          <w:szCs w:val="20"/>
        </w:rPr>
        <w:t xml:space="preserve"> is intended to loosen access to retirement plan funds for individuals impacted </w:t>
      </w:r>
      <w:r w:rsidR="00C67F54" w:rsidRPr="004335E6">
        <w:rPr>
          <w:rFonts w:ascii="Trebuchet MS" w:hAnsi="Trebuchet MS" w:cs="Arial"/>
          <w:sz w:val="22"/>
          <w:szCs w:val="20"/>
        </w:rPr>
        <w:t xml:space="preserve">by the COVID-19 pandemic. </w:t>
      </w:r>
      <w:r w:rsidRPr="004335E6">
        <w:rPr>
          <w:rFonts w:ascii="Trebuchet MS" w:hAnsi="Trebuchet MS" w:cs="Arial"/>
          <w:sz w:val="22"/>
          <w:szCs w:val="20"/>
        </w:rPr>
        <w:t>The following is a summary of the retirement-related provisions</w:t>
      </w:r>
      <w:r w:rsidR="00812CC0" w:rsidRPr="004335E6">
        <w:rPr>
          <w:rFonts w:ascii="Trebuchet MS" w:hAnsi="Trebuchet MS" w:cs="Arial"/>
          <w:sz w:val="22"/>
          <w:szCs w:val="20"/>
        </w:rPr>
        <w:t xml:space="preserve"> of the Act:</w:t>
      </w:r>
    </w:p>
    <w:p w14:paraId="34B12AA6" w14:textId="77777777" w:rsidR="008E3AD4" w:rsidRPr="004335E6" w:rsidRDefault="008E3AD4" w:rsidP="00C67F54">
      <w:pPr>
        <w:numPr>
          <w:ilvl w:val="0"/>
          <w:numId w:val="2"/>
        </w:numPr>
        <w:tabs>
          <w:tab w:val="left" w:pos="4542"/>
          <w:tab w:val="left" w:pos="7422"/>
        </w:tabs>
        <w:spacing w:after="0"/>
        <w:ind w:left="450" w:hanging="270"/>
        <w:rPr>
          <w:rFonts w:ascii="Trebuchet MS" w:eastAsia="Times New Roman" w:hAnsi="Trebuchet MS" w:cs="Arial"/>
          <w:szCs w:val="20"/>
        </w:rPr>
      </w:pPr>
      <w:r w:rsidRPr="004335E6">
        <w:rPr>
          <w:rFonts w:ascii="Trebuchet MS" w:eastAsia="Times New Roman" w:hAnsi="Trebuchet MS" w:cs="Arial"/>
          <w:b/>
          <w:szCs w:val="20"/>
        </w:rPr>
        <w:t>$100,000 Withdrawal</w:t>
      </w:r>
    </w:p>
    <w:p w14:paraId="0BBDE332" w14:textId="77777777" w:rsidR="005F68A6" w:rsidRPr="004335E6" w:rsidRDefault="005F68A6" w:rsidP="008E3AD4">
      <w:pPr>
        <w:numPr>
          <w:ilvl w:val="1"/>
          <w:numId w:val="2"/>
        </w:numPr>
        <w:tabs>
          <w:tab w:val="left" w:pos="4542"/>
          <w:tab w:val="left" w:pos="7422"/>
        </w:tabs>
        <w:spacing w:after="0"/>
        <w:rPr>
          <w:rFonts w:ascii="Trebuchet MS" w:eastAsia="Times New Roman" w:hAnsi="Trebuchet MS" w:cs="Arial"/>
          <w:szCs w:val="20"/>
        </w:rPr>
      </w:pPr>
      <w:r w:rsidRPr="004335E6">
        <w:rPr>
          <w:rFonts w:ascii="Trebuchet MS" w:eastAsia="Times New Roman" w:hAnsi="Trebuchet MS" w:cs="Arial"/>
          <w:szCs w:val="20"/>
        </w:rPr>
        <w:t>Waiver of 10% penalty on early withdrawals for amounts up to $100,000 from a retirement plan or IRA</w:t>
      </w:r>
      <w:r w:rsidR="008E3AD4" w:rsidRPr="004335E6">
        <w:rPr>
          <w:rFonts w:ascii="Trebuchet MS" w:eastAsia="Times New Roman" w:hAnsi="Trebuchet MS" w:cs="Arial"/>
          <w:szCs w:val="20"/>
        </w:rPr>
        <w:t xml:space="preserve"> taken between January 1, 2020 and December 31, 2020</w:t>
      </w:r>
    </w:p>
    <w:p w14:paraId="0EC1B42F" w14:textId="77777777" w:rsidR="005F68A6" w:rsidRPr="004335E6" w:rsidRDefault="00F60FA5" w:rsidP="008E3AD4">
      <w:pPr>
        <w:pStyle w:val="ListParagraph"/>
        <w:numPr>
          <w:ilvl w:val="1"/>
          <w:numId w:val="2"/>
        </w:numPr>
        <w:tabs>
          <w:tab w:val="left" w:pos="4542"/>
          <w:tab w:val="left" w:pos="7422"/>
        </w:tabs>
        <w:spacing w:after="0"/>
        <w:rPr>
          <w:rFonts w:ascii="Trebuchet MS" w:eastAsia="Times New Roman" w:hAnsi="Trebuchet MS" w:cs="Arial"/>
          <w:szCs w:val="20"/>
        </w:rPr>
      </w:pPr>
      <w:r w:rsidRPr="004335E6">
        <w:rPr>
          <w:rFonts w:ascii="Trebuchet MS" w:eastAsia="Times New Roman" w:hAnsi="Trebuchet MS" w:cs="Arial"/>
          <w:szCs w:val="20"/>
        </w:rPr>
        <w:t>This withdrawal is only available to</w:t>
      </w:r>
      <w:r w:rsidR="00287593" w:rsidRPr="004335E6">
        <w:rPr>
          <w:rFonts w:ascii="Trebuchet MS" w:eastAsia="Times New Roman" w:hAnsi="Trebuchet MS" w:cs="Arial"/>
          <w:szCs w:val="20"/>
        </w:rPr>
        <w:t xml:space="preserve"> a </w:t>
      </w:r>
      <w:r w:rsidR="00287593" w:rsidRPr="004335E6">
        <w:rPr>
          <w:rFonts w:ascii="Trebuchet MS" w:eastAsia="Times New Roman" w:hAnsi="Trebuchet MS" w:cs="Arial"/>
          <w:i/>
          <w:szCs w:val="20"/>
          <w:u w:val="single"/>
        </w:rPr>
        <w:t xml:space="preserve">qualified </w:t>
      </w:r>
      <w:r w:rsidRPr="004335E6">
        <w:rPr>
          <w:rFonts w:ascii="Trebuchet MS" w:eastAsia="Times New Roman" w:hAnsi="Trebuchet MS" w:cs="Arial"/>
          <w:i/>
          <w:szCs w:val="20"/>
          <w:u w:val="single"/>
        </w:rPr>
        <w:t>individual</w:t>
      </w:r>
      <w:r w:rsidRPr="004335E6">
        <w:rPr>
          <w:rFonts w:ascii="Trebuchet MS" w:eastAsia="Times New Roman" w:hAnsi="Trebuchet MS" w:cs="Arial"/>
          <w:szCs w:val="20"/>
        </w:rPr>
        <w:t xml:space="preserve"> (see “</w:t>
      </w:r>
      <w:r w:rsidR="00287593" w:rsidRPr="004335E6">
        <w:rPr>
          <w:rFonts w:ascii="Trebuchet MS" w:eastAsia="Times New Roman" w:hAnsi="Trebuchet MS" w:cs="Arial"/>
          <w:szCs w:val="20"/>
        </w:rPr>
        <w:t>qualified</w:t>
      </w:r>
      <w:r w:rsidRPr="004335E6">
        <w:rPr>
          <w:rFonts w:ascii="Trebuchet MS" w:eastAsia="Times New Roman" w:hAnsi="Trebuchet MS" w:cs="Arial"/>
          <w:szCs w:val="20"/>
        </w:rPr>
        <w:t xml:space="preserve"> individual” below)</w:t>
      </w:r>
    </w:p>
    <w:p w14:paraId="382A1956" w14:textId="77777777" w:rsidR="005F68A6" w:rsidRPr="004335E6" w:rsidRDefault="005F68A6" w:rsidP="008E3AD4">
      <w:pPr>
        <w:numPr>
          <w:ilvl w:val="1"/>
          <w:numId w:val="2"/>
        </w:numPr>
        <w:tabs>
          <w:tab w:val="left" w:pos="4542"/>
          <w:tab w:val="left" w:pos="7422"/>
        </w:tabs>
        <w:spacing w:after="0"/>
        <w:rPr>
          <w:rFonts w:ascii="Trebuchet MS" w:eastAsia="Times New Roman" w:hAnsi="Trebuchet MS" w:cs="Arial"/>
          <w:szCs w:val="20"/>
        </w:rPr>
      </w:pPr>
      <w:r w:rsidRPr="004335E6">
        <w:rPr>
          <w:rFonts w:ascii="Trebuchet MS" w:eastAsia="Times New Roman" w:hAnsi="Trebuchet MS" w:cs="Arial"/>
          <w:szCs w:val="20"/>
        </w:rPr>
        <w:t xml:space="preserve">Individuals are allowed pay the tax on </w:t>
      </w:r>
      <w:r w:rsidR="008E3AD4" w:rsidRPr="004335E6">
        <w:rPr>
          <w:rFonts w:ascii="Trebuchet MS" w:eastAsia="Times New Roman" w:hAnsi="Trebuchet MS" w:cs="Arial"/>
          <w:szCs w:val="20"/>
        </w:rPr>
        <w:t>withdrawal</w:t>
      </w:r>
      <w:r w:rsidRPr="004335E6">
        <w:rPr>
          <w:rFonts w:ascii="Trebuchet MS" w:eastAsia="Times New Roman" w:hAnsi="Trebuchet MS" w:cs="Arial"/>
          <w:szCs w:val="20"/>
        </w:rPr>
        <w:t xml:space="preserve"> ratably over a three year period; and</w:t>
      </w:r>
    </w:p>
    <w:p w14:paraId="421ABCCD" w14:textId="77777777" w:rsidR="005F68A6" w:rsidRPr="004335E6" w:rsidRDefault="005F68A6" w:rsidP="008E3AD4">
      <w:pPr>
        <w:numPr>
          <w:ilvl w:val="1"/>
          <w:numId w:val="2"/>
        </w:numPr>
        <w:tabs>
          <w:tab w:val="left" w:pos="4542"/>
          <w:tab w:val="left" w:pos="7422"/>
        </w:tabs>
        <w:spacing w:after="0"/>
        <w:rPr>
          <w:rFonts w:ascii="Trebuchet MS" w:eastAsia="Times New Roman" w:hAnsi="Trebuchet MS" w:cs="Arial"/>
          <w:szCs w:val="20"/>
        </w:rPr>
      </w:pPr>
      <w:r w:rsidRPr="004335E6">
        <w:rPr>
          <w:rFonts w:ascii="Trebuchet MS" w:eastAsia="Times New Roman" w:hAnsi="Trebuchet MS" w:cs="Arial"/>
          <w:szCs w:val="20"/>
        </w:rPr>
        <w:t xml:space="preserve">Individuals are allowed to repay the </w:t>
      </w:r>
      <w:r w:rsidR="008E3AD4" w:rsidRPr="004335E6">
        <w:rPr>
          <w:rFonts w:ascii="Trebuchet MS" w:eastAsia="Times New Roman" w:hAnsi="Trebuchet MS" w:cs="Arial"/>
          <w:szCs w:val="20"/>
        </w:rPr>
        <w:t>withdrawal</w:t>
      </w:r>
      <w:r w:rsidRPr="004335E6">
        <w:rPr>
          <w:rFonts w:ascii="Trebuchet MS" w:eastAsia="Times New Roman" w:hAnsi="Trebuchet MS" w:cs="Arial"/>
          <w:szCs w:val="20"/>
        </w:rPr>
        <w:t xml:space="preserve"> back to the plan, tax-free, over the three years </w:t>
      </w:r>
      <w:r w:rsidR="008E3AD4" w:rsidRPr="004335E6">
        <w:rPr>
          <w:rFonts w:ascii="Trebuchet MS" w:eastAsia="Times New Roman" w:hAnsi="Trebuchet MS" w:cs="Arial"/>
          <w:szCs w:val="20"/>
        </w:rPr>
        <w:t>from the date of the withdrawal</w:t>
      </w:r>
      <w:r w:rsidR="00D05876" w:rsidRPr="004335E6">
        <w:rPr>
          <w:rFonts w:ascii="Trebuchet MS" w:eastAsia="Times New Roman" w:hAnsi="Trebuchet MS" w:cs="Arial"/>
          <w:szCs w:val="20"/>
        </w:rPr>
        <w:t xml:space="preserve"> (not limited by plan limits)</w:t>
      </w:r>
      <w:r w:rsidR="008E3AD4" w:rsidRPr="004335E6">
        <w:rPr>
          <w:rFonts w:ascii="Trebuchet MS" w:eastAsia="Times New Roman" w:hAnsi="Trebuchet MS" w:cs="Arial"/>
          <w:szCs w:val="20"/>
        </w:rPr>
        <w:t>. May be repaid back into the plan making allowing the withdrawal, another qualified plan or an IRA that accepts rollovers.</w:t>
      </w:r>
    </w:p>
    <w:p w14:paraId="16C9E608" w14:textId="77777777" w:rsidR="008E3AD4" w:rsidRPr="004335E6" w:rsidRDefault="008E3AD4" w:rsidP="008E3AD4">
      <w:pPr>
        <w:numPr>
          <w:ilvl w:val="1"/>
          <w:numId w:val="2"/>
        </w:numPr>
        <w:tabs>
          <w:tab w:val="left" w:pos="4542"/>
          <w:tab w:val="left" w:pos="7422"/>
        </w:tabs>
        <w:spacing w:after="0"/>
        <w:rPr>
          <w:rFonts w:ascii="Trebuchet MS" w:eastAsia="Times New Roman" w:hAnsi="Trebuchet MS" w:cs="Arial"/>
          <w:szCs w:val="20"/>
        </w:rPr>
      </w:pPr>
      <w:r w:rsidRPr="004335E6">
        <w:rPr>
          <w:rFonts w:ascii="Trebuchet MS" w:eastAsia="Times New Roman" w:hAnsi="Trebuchet MS" w:cs="Arial"/>
          <w:szCs w:val="20"/>
        </w:rPr>
        <w:t>Plan sponsor has discretion whether to offer this design in their qualified plan</w:t>
      </w:r>
    </w:p>
    <w:p w14:paraId="5A8A876A" w14:textId="77777777" w:rsidR="008E3AD4" w:rsidRPr="004335E6" w:rsidRDefault="005F68A6" w:rsidP="00C67F54">
      <w:pPr>
        <w:numPr>
          <w:ilvl w:val="0"/>
          <w:numId w:val="2"/>
        </w:numPr>
        <w:tabs>
          <w:tab w:val="left" w:pos="4542"/>
          <w:tab w:val="left" w:pos="7422"/>
        </w:tabs>
        <w:spacing w:after="0"/>
        <w:ind w:left="360" w:hanging="270"/>
        <w:rPr>
          <w:rFonts w:ascii="Trebuchet MS" w:eastAsia="Times New Roman" w:hAnsi="Trebuchet MS" w:cs="Arial"/>
          <w:b/>
          <w:szCs w:val="20"/>
        </w:rPr>
      </w:pPr>
      <w:r w:rsidRPr="004335E6">
        <w:rPr>
          <w:rFonts w:ascii="Trebuchet MS" w:eastAsia="Times New Roman" w:hAnsi="Trebuchet MS" w:cs="Arial"/>
          <w:b/>
          <w:szCs w:val="20"/>
        </w:rPr>
        <w:t>Plan loan</w:t>
      </w:r>
      <w:r w:rsidR="008E3AD4" w:rsidRPr="004335E6">
        <w:rPr>
          <w:rFonts w:ascii="Trebuchet MS" w:eastAsia="Times New Roman" w:hAnsi="Trebuchet MS" w:cs="Arial"/>
          <w:b/>
          <w:szCs w:val="20"/>
        </w:rPr>
        <w:t>s</w:t>
      </w:r>
    </w:p>
    <w:p w14:paraId="0F79C46E" w14:textId="77777777" w:rsidR="005F68A6" w:rsidRPr="004335E6" w:rsidRDefault="008E3AD4" w:rsidP="00F60FA5">
      <w:pPr>
        <w:numPr>
          <w:ilvl w:val="1"/>
          <w:numId w:val="2"/>
        </w:numPr>
        <w:tabs>
          <w:tab w:val="left" w:pos="4542"/>
          <w:tab w:val="left" w:pos="7422"/>
        </w:tabs>
        <w:spacing w:after="0"/>
        <w:rPr>
          <w:rFonts w:ascii="Trebuchet MS" w:eastAsia="Times New Roman" w:hAnsi="Trebuchet MS" w:cs="Arial"/>
          <w:szCs w:val="20"/>
        </w:rPr>
      </w:pPr>
      <w:r w:rsidRPr="004335E6">
        <w:rPr>
          <w:rFonts w:ascii="Trebuchet MS" w:eastAsia="Times New Roman" w:hAnsi="Trebuchet MS" w:cs="Arial"/>
          <w:szCs w:val="20"/>
        </w:rPr>
        <w:t>Plan loan limits are increased</w:t>
      </w:r>
      <w:r w:rsidR="005F68A6" w:rsidRPr="004335E6">
        <w:rPr>
          <w:rFonts w:ascii="Trebuchet MS" w:eastAsia="Times New Roman" w:hAnsi="Trebuchet MS" w:cs="Arial"/>
          <w:szCs w:val="20"/>
        </w:rPr>
        <w:t xml:space="preserve"> </w:t>
      </w:r>
      <w:r w:rsidR="00F60FA5" w:rsidRPr="004335E6">
        <w:rPr>
          <w:rFonts w:ascii="Trebuchet MS" w:eastAsia="Times New Roman" w:hAnsi="Trebuchet MS" w:cs="Arial"/>
          <w:szCs w:val="20"/>
        </w:rPr>
        <w:t xml:space="preserve"> for </w:t>
      </w:r>
      <w:r w:rsidR="00287593" w:rsidRPr="004335E6">
        <w:rPr>
          <w:rFonts w:ascii="Trebuchet MS" w:eastAsia="Times New Roman" w:hAnsi="Trebuchet MS" w:cs="Arial"/>
          <w:i/>
          <w:szCs w:val="20"/>
          <w:u w:val="single"/>
        </w:rPr>
        <w:t>qualified</w:t>
      </w:r>
      <w:r w:rsidR="00F60FA5" w:rsidRPr="004335E6">
        <w:rPr>
          <w:rFonts w:ascii="Trebuchet MS" w:eastAsia="Times New Roman" w:hAnsi="Trebuchet MS" w:cs="Arial"/>
          <w:i/>
          <w:szCs w:val="20"/>
          <w:u w:val="single"/>
        </w:rPr>
        <w:t xml:space="preserve"> individuals</w:t>
      </w:r>
      <w:r w:rsidR="00F60FA5" w:rsidRPr="004335E6">
        <w:rPr>
          <w:rFonts w:ascii="Trebuchet MS" w:eastAsia="Times New Roman" w:hAnsi="Trebuchet MS" w:cs="Arial"/>
          <w:szCs w:val="20"/>
        </w:rPr>
        <w:t xml:space="preserve"> (see “</w:t>
      </w:r>
      <w:r w:rsidR="00287593" w:rsidRPr="004335E6">
        <w:rPr>
          <w:rFonts w:ascii="Trebuchet MS" w:eastAsia="Times New Roman" w:hAnsi="Trebuchet MS" w:cs="Arial"/>
          <w:szCs w:val="20"/>
        </w:rPr>
        <w:t>qualified</w:t>
      </w:r>
      <w:r w:rsidR="00F60FA5" w:rsidRPr="004335E6">
        <w:rPr>
          <w:rFonts w:ascii="Trebuchet MS" w:eastAsia="Times New Roman" w:hAnsi="Trebuchet MS" w:cs="Arial"/>
          <w:szCs w:val="20"/>
        </w:rPr>
        <w:t xml:space="preserve"> individual” below) </w:t>
      </w:r>
      <w:r w:rsidR="005F68A6" w:rsidRPr="004335E6">
        <w:rPr>
          <w:rFonts w:ascii="Trebuchet MS" w:eastAsia="Times New Roman" w:hAnsi="Trebuchet MS" w:cs="Arial"/>
          <w:szCs w:val="20"/>
        </w:rPr>
        <w:t>to the lesser of:</w:t>
      </w:r>
    </w:p>
    <w:p w14:paraId="4D71580C" w14:textId="77777777" w:rsidR="005F68A6" w:rsidRPr="004335E6" w:rsidRDefault="005F68A6" w:rsidP="00F60FA5">
      <w:pPr>
        <w:numPr>
          <w:ilvl w:val="2"/>
          <w:numId w:val="2"/>
        </w:numPr>
        <w:tabs>
          <w:tab w:val="left" w:pos="4542"/>
          <w:tab w:val="left" w:pos="7422"/>
        </w:tabs>
        <w:spacing w:after="0"/>
        <w:rPr>
          <w:rFonts w:ascii="Trebuchet MS" w:eastAsia="Times New Roman" w:hAnsi="Trebuchet MS" w:cs="Arial"/>
          <w:szCs w:val="20"/>
        </w:rPr>
      </w:pPr>
      <w:r w:rsidRPr="004335E6">
        <w:rPr>
          <w:rFonts w:ascii="Trebuchet MS" w:eastAsia="Times New Roman" w:hAnsi="Trebuchet MS" w:cs="Arial"/>
          <w:szCs w:val="20"/>
        </w:rPr>
        <w:t>$100,000; or</w:t>
      </w:r>
    </w:p>
    <w:p w14:paraId="104BA505" w14:textId="77777777" w:rsidR="005F68A6" w:rsidRPr="004335E6" w:rsidRDefault="005F68A6" w:rsidP="00F60FA5">
      <w:pPr>
        <w:numPr>
          <w:ilvl w:val="2"/>
          <w:numId w:val="2"/>
        </w:numPr>
        <w:tabs>
          <w:tab w:val="left" w:pos="4542"/>
          <w:tab w:val="left" w:pos="7422"/>
        </w:tabs>
        <w:spacing w:after="0"/>
        <w:rPr>
          <w:rFonts w:ascii="Trebuchet MS" w:eastAsia="Times New Roman" w:hAnsi="Trebuchet MS" w:cs="Arial"/>
          <w:szCs w:val="20"/>
        </w:rPr>
      </w:pPr>
      <w:r w:rsidRPr="004335E6">
        <w:rPr>
          <w:rFonts w:ascii="Trebuchet MS" w:eastAsia="Times New Roman" w:hAnsi="Trebuchet MS" w:cs="Arial"/>
          <w:szCs w:val="20"/>
        </w:rPr>
        <w:t xml:space="preserve">100% of their vested account balance. </w:t>
      </w:r>
    </w:p>
    <w:p w14:paraId="4106706E" w14:textId="77777777" w:rsidR="00B7300A" w:rsidRPr="004335E6" w:rsidRDefault="00287593" w:rsidP="00F60FA5">
      <w:pPr>
        <w:numPr>
          <w:ilvl w:val="1"/>
          <w:numId w:val="2"/>
        </w:numPr>
        <w:tabs>
          <w:tab w:val="left" w:pos="4542"/>
          <w:tab w:val="left" w:pos="7422"/>
        </w:tabs>
        <w:spacing w:after="0"/>
        <w:rPr>
          <w:rFonts w:ascii="Trebuchet MS" w:eastAsia="Times New Roman" w:hAnsi="Trebuchet MS" w:cs="Arial"/>
          <w:szCs w:val="20"/>
        </w:rPr>
      </w:pPr>
      <w:r w:rsidRPr="004335E6">
        <w:rPr>
          <w:rFonts w:ascii="Trebuchet MS" w:eastAsia="Times New Roman" w:hAnsi="Trebuchet MS" w:cs="Arial"/>
          <w:i/>
          <w:szCs w:val="20"/>
          <w:u w:val="single"/>
        </w:rPr>
        <w:t xml:space="preserve">Qualified </w:t>
      </w:r>
      <w:proofErr w:type="gramStart"/>
      <w:r w:rsidRPr="004335E6">
        <w:rPr>
          <w:rFonts w:ascii="Trebuchet MS" w:eastAsia="Times New Roman" w:hAnsi="Trebuchet MS" w:cs="Arial"/>
          <w:i/>
          <w:szCs w:val="20"/>
          <w:u w:val="single"/>
        </w:rPr>
        <w:t>i</w:t>
      </w:r>
      <w:r w:rsidR="005F68A6" w:rsidRPr="004335E6">
        <w:rPr>
          <w:rFonts w:ascii="Trebuchet MS" w:eastAsia="Times New Roman" w:hAnsi="Trebuchet MS" w:cs="Arial"/>
          <w:i/>
          <w:szCs w:val="20"/>
          <w:u w:val="single"/>
        </w:rPr>
        <w:t>ndividuals</w:t>
      </w:r>
      <w:r w:rsidR="005F68A6" w:rsidRPr="004335E6">
        <w:rPr>
          <w:rFonts w:ascii="Trebuchet MS" w:eastAsia="Times New Roman" w:hAnsi="Trebuchet MS" w:cs="Arial"/>
          <w:szCs w:val="20"/>
        </w:rPr>
        <w:t xml:space="preserve"> </w:t>
      </w:r>
      <w:r w:rsidRPr="004335E6">
        <w:rPr>
          <w:rFonts w:ascii="Trebuchet MS" w:eastAsia="Times New Roman" w:hAnsi="Trebuchet MS" w:cs="Arial"/>
          <w:szCs w:val="20"/>
        </w:rPr>
        <w:t xml:space="preserve"> (</w:t>
      </w:r>
      <w:proofErr w:type="gramEnd"/>
      <w:r w:rsidRPr="004335E6">
        <w:rPr>
          <w:rFonts w:ascii="Trebuchet MS" w:eastAsia="Times New Roman" w:hAnsi="Trebuchet MS" w:cs="Arial"/>
          <w:szCs w:val="20"/>
        </w:rPr>
        <w:t xml:space="preserve">see “qualified individual” below) </w:t>
      </w:r>
      <w:r w:rsidR="005F68A6" w:rsidRPr="004335E6">
        <w:rPr>
          <w:rFonts w:ascii="Trebuchet MS" w:eastAsia="Times New Roman" w:hAnsi="Trebuchet MS" w:cs="Arial"/>
          <w:szCs w:val="20"/>
        </w:rPr>
        <w:t xml:space="preserve">with </w:t>
      </w:r>
      <w:r w:rsidR="009E2DCE" w:rsidRPr="004335E6">
        <w:rPr>
          <w:rFonts w:ascii="Trebuchet MS" w:eastAsia="Times New Roman" w:hAnsi="Trebuchet MS" w:cs="Arial"/>
          <w:i/>
          <w:szCs w:val="20"/>
          <w:u w:val="single"/>
        </w:rPr>
        <w:t xml:space="preserve">existing </w:t>
      </w:r>
      <w:r w:rsidR="005F68A6" w:rsidRPr="004335E6">
        <w:rPr>
          <w:rFonts w:ascii="Trebuchet MS" w:eastAsia="Times New Roman" w:hAnsi="Trebuchet MS" w:cs="Arial"/>
          <w:i/>
          <w:szCs w:val="20"/>
          <w:u w:val="single"/>
        </w:rPr>
        <w:t>outstanding loans</w:t>
      </w:r>
      <w:r w:rsidR="005F68A6" w:rsidRPr="004335E6">
        <w:rPr>
          <w:rFonts w:ascii="Trebuchet MS" w:eastAsia="Times New Roman" w:hAnsi="Trebuchet MS" w:cs="Arial"/>
          <w:szCs w:val="20"/>
        </w:rPr>
        <w:t xml:space="preserve"> with a repayment due from the date of enactment of </w:t>
      </w:r>
      <w:r w:rsidR="008C2320" w:rsidRPr="004335E6">
        <w:rPr>
          <w:rFonts w:ascii="Trebuchet MS" w:eastAsia="Times New Roman" w:hAnsi="Trebuchet MS" w:cs="Arial"/>
          <w:szCs w:val="20"/>
        </w:rPr>
        <w:t>the Act t</w:t>
      </w:r>
      <w:r w:rsidR="005F68A6" w:rsidRPr="004335E6">
        <w:rPr>
          <w:rFonts w:ascii="Trebuchet MS" w:eastAsia="Times New Roman" w:hAnsi="Trebuchet MS" w:cs="Arial"/>
          <w:szCs w:val="20"/>
        </w:rPr>
        <w:t>hrough December 31, 2020 may delay loan repayments for up to one year.</w:t>
      </w:r>
      <w:r w:rsidR="009E2DCE" w:rsidRPr="004335E6">
        <w:rPr>
          <w:rFonts w:ascii="Trebuchet MS" w:eastAsia="Times New Roman" w:hAnsi="Trebuchet MS" w:cs="Arial"/>
          <w:szCs w:val="20"/>
        </w:rPr>
        <w:t xml:space="preserve"> The plan can choose to extend the term of the loan for up to a year as well. Doing so would allow participants to avoid a financial hardship when they do resume repayment by keeping their repayment amount the same as prior to the suspension of the repayment. These loans will continue to accrue interest</w:t>
      </w:r>
      <w:r w:rsidR="00D05876" w:rsidRPr="004335E6">
        <w:rPr>
          <w:rFonts w:ascii="Trebuchet MS" w:eastAsia="Times New Roman" w:hAnsi="Trebuchet MS" w:cs="Arial"/>
          <w:szCs w:val="20"/>
        </w:rPr>
        <w:t xml:space="preserve"> during the period of the suspension of repayments</w:t>
      </w:r>
      <w:r w:rsidR="009E2DCE" w:rsidRPr="004335E6">
        <w:rPr>
          <w:rFonts w:ascii="Trebuchet MS" w:eastAsia="Times New Roman" w:hAnsi="Trebuchet MS" w:cs="Arial"/>
          <w:szCs w:val="20"/>
        </w:rPr>
        <w:t xml:space="preserve">. </w:t>
      </w:r>
    </w:p>
    <w:p w14:paraId="2F140DF8" w14:textId="77777777" w:rsidR="009E2DCE" w:rsidRPr="004335E6" w:rsidRDefault="009E2DCE" w:rsidP="009E2DCE">
      <w:pPr>
        <w:numPr>
          <w:ilvl w:val="1"/>
          <w:numId w:val="2"/>
        </w:numPr>
        <w:tabs>
          <w:tab w:val="left" w:pos="4542"/>
          <w:tab w:val="left" w:pos="7422"/>
        </w:tabs>
        <w:spacing w:after="0"/>
        <w:rPr>
          <w:rFonts w:ascii="Trebuchet MS" w:eastAsia="Times New Roman" w:hAnsi="Trebuchet MS" w:cs="Arial"/>
          <w:szCs w:val="20"/>
        </w:rPr>
      </w:pPr>
      <w:r w:rsidRPr="004335E6">
        <w:rPr>
          <w:rFonts w:ascii="Trebuchet MS" w:eastAsia="Times New Roman" w:hAnsi="Trebuchet MS" w:cs="Arial"/>
          <w:szCs w:val="20"/>
        </w:rPr>
        <w:t>Plan sponsor has discretion whether to offer these design elements in their qualified plan</w:t>
      </w:r>
    </w:p>
    <w:p w14:paraId="2F68AD0D" w14:textId="77777777" w:rsidR="006636D0" w:rsidRPr="004335E6" w:rsidRDefault="006636D0" w:rsidP="00C67F54">
      <w:pPr>
        <w:tabs>
          <w:tab w:val="left" w:pos="4542"/>
          <w:tab w:val="left" w:pos="7422"/>
        </w:tabs>
        <w:spacing w:after="0"/>
        <w:ind w:left="1440" w:hanging="270"/>
        <w:rPr>
          <w:rFonts w:ascii="Trebuchet MS" w:eastAsia="Times New Roman" w:hAnsi="Trebuchet MS" w:cs="Arial"/>
          <w:szCs w:val="20"/>
        </w:rPr>
      </w:pPr>
    </w:p>
    <w:p w14:paraId="5DC389E9" w14:textId="77777777" w:rsidR="006734FC" w:rsidRPr="004335E6" w:rsidRDefault="006734FC" w:rsidP="00C67F54">
      <w:pPr>
        <w:tabs>
          <w:tab w:val="left" w:pos="4542"/>
          <w:tab w:val="left" w:pos="7422"/>
        </w:tabs>
        <w:spacing w:after="0"/>
        <w:ind w:left="1440" w:hanging="270"/>
        <w:rPr>
          <w:rFonts w:ascii="Trebuchet MS" w:eastAsia="Times New Roman" w:hAnsi="Trebuchet MS" w:cs="Arial"/>
          <w:szCs w:val="20"/>
        </w:rPr>
      </w:pPr>
    </w:p>
    <w:p w14:paraId="318EA6B5" w14:textId="77777777" w:rsidR="006734FC" w:rsidRPr="004335E6" w:rsidRDefault="006734FC" w:rsidP="00C67F54">
      <w:pPr>
        <w:tabs>
          <w:tab w:val="left" w:pos="4542"/>
          <w:tab w:val="left" w:pos="7422"/>
        </w:tabs>
        <w:spacing w:after="0"/>
        <w:ind w:left="1440" w:hanging="270"/>
        <w:rPr>
          <w:rFonts w:ascii="Trebuchet MS" w:eastAsia="Times New Roman" w:hAnsi="Trebuchet MS" w:cs="Arial"/>
          <w:szCs w:val="20"/>
        </w:rPr>
      </w:pPr>
    </w:p>
    <w:p w14:paraId="489E3948" w14:textId="77777777" w:rsidR="006734FC" w:rsidRPr="004335E6" w:rsidRDefault="006734FC" w:rsidP="006734FC">
      <w:pPr>
        <w:tabs>
          <w:tab w:val="left" w:pos="4542"/>
          <w:tab w:val="left" w:pos="7422"/>
        </w:tabs>
        <w:spacing w:after="0"/>
        <w:ind w:left="360"/>
        <w:rPr>
          <w:rFonts w:ascii="Trebuchet MS" w:eastAsia="Times New Roman" w:hAnsi="Trebuchet MS" w:cs="Arial"/>
          <w:b/>
          <w:szCs w:val="20"/>
        </w:rPr>
      </w:pPr>
    </w:p>
    <w:p w14:paraId="79085C97" w14:textId="77777777" w:rsidR="00F60FA5" w:rsidRPr="004335E6" w:rsidRDefault="00287593" w:rsidP="00F60FA5">
      <w:pPr>
        <w:numPr>
          <w:ilvl w:val="0"/>
          <w:numId w:val="2"/>
        </w:numPr>
        <w:tabs>
          <w:tab w:val="left" w:pos="4542"/>
          <w:tab w:val="left" w:pos="7422"/>
        </w:tabs>
        <w:spacing w:after="0"/>
        <w:ind w:left="360" w:hanging="270"/>
        <w:rPr>
          <w:rFonts w:ascii="Trebuchet MS" w:eastAsia="Times New Roman" w:hAnsi="Trebuchet MS" w:cs="Arial"/>
          <w:b/>
          <w:szCs w:val="20"/>
        </w:rPr>
      </w:pPr>
      <w:r w:rsidRPr="004335E6">
        <w:rPr>
          <w:rFonts w:ascii="Trebuchet MS" w:eastAsia="Times New Roman" w:hAnsi="Trebuchet MS" w:cs="Arial"/>
          <w:b/>
          <w:szCs w:val="20"/>
        </w:rPr>
        <w:t>Qualified</w:t>
      </w:r>
      <w:r w:rsidR="00F60FA5" w:rsidRPr="004335E6">
        <w:rPr>
          <w:rFonts w:ascii="Trebuchet MS" w:eastAsia="Times New Roman" w:hAnsi="Trebuchet MS" w:cs="Arial"/>
          <w:b/>
          <w:szCs w:val="20"/>
        </w:rPr>
        <w:t xml:space="preserve"> individual</w:t>
      </w:r>
    </w:p>
    <w:p w14:paraId="50D4FA1A" w14:textId="77777777" w:rsidR="00F60FA5" w:rsidRPr="004335E6" w:rsidRDefault="00F60FA5" w:rsidP="00F60FA5">
      <w:pPr>
        <w:numPr>
          <w:ilvl w:val="1"/>
          <w:numId w:val="2"/>
        </w:numPr>
        <w:tabs>
          <w:tab w:val="left" w:pos="4542"/>
          <w:tab w:val="left" w:pos="7422"/>
        </w:tabs>
        <w:spacing w:after="0"/>
        <w:rPr>
          <w:rFonts w:ascii="Trebuchet MS" w:eastAsia="Times New Roman" w:hAnsi="Trebuchet MS" w:cs="Arial"/>
          <w:szCs w:val="20"/>
        </w:rPr>
      </w:pPr>
      <w:r w:rsidRPr="004335E6">
        <w:rPr>
          <w:rFonts w:ascii="Trebuchet MS" w:eastAsia="Times New Roman" w:hAnsi="Trebuchet MS" w:cs="Arial"/>
          <w:szCs w:val="20"/>
        </w:rPr>
        <w:t xml:space="preserve">Eligibility for the penalty-free $100,000 withdrawal and the adjustment to the loan limits is conditioned upon an individual meeting one of the following criteria: </w:t>
      </w:r>
    </w:p>
    <w:p w14:paraId="158B8AFE" w14:textId="77777777" w:rsidR="00F60FA5" w:rsidRPr="004335E6" w:rsidRDefault="00F60FA5" w:rsidP="00F60FA5">
      <w:pPr>
        <w:pStyle w:val="ListParagraph"/>
        <w:numPr>
          <w:ilvl w:val="2"/>
          <w:numId w:val="2"/>
        </w:numPr>
        <w:tabs>
          <w:tab w:val="left" w:pos="4542"/>
          <w:tab w:val="left" w:pos="7422"/>
        </w:tabs>
        <w:spacing w:after="0"/>
        <w:rPr>
          <w:rFonts w:ascii="Trebuchet MS" w:eastAsia="Times New Roman" w:hAnsi="Trebuchet MS" w:cs="Arial"/>
          <w:szCs w:val="20"/>
        </w:rPr>
      </w:pPr>
      <w:r w:rsidRPr="004335E6">
        <w:rPr>
          <w:rFonts w:ascii="Trebuchet MS" w:eastAsia="Times New Roman" w:hAnsi="Trebuchet MS" w:cs="Arial"/>
          <w:szCs w:val="20"/>
        </w:rPr>
        <w:t>Is diagnosed with COVID-19;</w:t>
      </w:r>
    </w:p>
    <w:p w14:paraId="255FFA0F" w14:textId="77777777" w:rsidR="00F60FA5" w:rsidRPr="004335E6" w:rsidRDefault="00F60FA5" w:rsidP="00F60FA5">
      <w:pPr>
        <w:pStyle w:val="ListParagraph"/>
        <w:numPr>
          <w:ilvl w:val="2"/>
          <w:numId w:val="2"/>
        </w:numPr>
        <w:tabs>
          <w:tab w:val="left" w:pos="4542"/>
          <w:tab w:val="left" w:pos="7422"/>
        </w:tabs>
        <w:spacing w:after="0"/>
        <w:rPr>
          <w:rFonts w:ascii="Trebuchet MS" w:eastAsia="Times New Roman" w:hAnsi="Trebuchet MS" w:cs="Arial"/>
          <w:szCs w:val="20"/>
        </w:rPr>
      </w:pPr>
      <w:r w:rsidRPr="004335E6">
        <w:rPr>
          <w:rFonts w:ascii="Trebuchet MS" w:eastAsia="Times New Roman" w:hAnsi="Trebuchet MS" w:cs="Arial"/>
          <w:szCs w:val="20"/>
        </w:rPr>
        <w:t>Whose spouse is diagnosed with COVID-19;</w:t>
      </w:r>
    </w:p>
    <w:p w14:paraId="6E08C55F" w14:textId="77777777" w:rsidR="00F60FA5" w:rsidRPr="004335E6" w:rsidRDefault="00F60FA5" w:rsidP="00F60FA5">
      <w:pPr>
        <w:numPr>
          <w:ilvl w:val="2"/>
          <w:numId w:val="2"/>
        </w:numPr>
        <w:tabs>
          <w:tab w:val="left" w:pos="4542"/>
          <w:tab w:val="left" w:pos="7422"/>
        </w:tabs>
        <w:spacing w:after="0"/>
        <w:rPr>
          <w:rFonts w:ascii="Trebuchet MS" w:eastAsia="Times New Roman" w:hAnsi="Trebuchet MS" w:cs="Arial"/>
          <w:szCs w:val="20"/>
        </w:rPr>
      </w:pPr>
      <w:r w:rsidRPr="004335E6">
        <w:rPr>
          <w:rFonts w:ascii="Trebuchet MS" w:eastAsia="Times New Roman" w:hAnsi="Trebuchet MS" w:cs="Arial"/>
          <w:szCs w:val="20"/>
        </w:rPr>
        <w:t>Who experiences adverse financial consequences due to furlough, quarantine, layoff, reduction in hours, inability to work due to lack of child care due to COVID-19, or closing of business/reduction of hours by individual due to COVID-19; or</w:t>
      </w:r>
    </w:p>
    <w:p w14:paraId="6188C8FE" w14:textId="77777777" w:rsidR="00F60FA5" w:rsidRPr="004335E6" w:rsidRDefault="00F60FA5" w:rsidP="00F60FA5">
      <w:pPr>
        <w:numPr>
          <w:ilvl w:val="2"/>
          <w:numId w:val="2"/>
        </w:numPr>
        <w:tabs>
          <w:tab w:val="left" w:pos="4542"/>
          <w:tab w:val="left" w:pos="7422"/>
        </w:tabs>
        <w:spacing w:after="0"/>
        <w:rPr>
          <w:rFonts w:ascii="Trebuchet MS" w:eastAsia="Times New Roman" w:hAnsi="Trebuchet MS" w:cs="Arial"/>
          <w:szCs w:val="20"/>
        </w:rPr>
      </w:pPr>
      <w:r w:rsidRPr="004335E6">
        <w:rPr>
          <w:rFonts w:ascii="Trebuchet MS" w:eastAsia="Times New Roman" w:hAnsi="Trebuchet MS" w:cs="Arial"/>
          <w:szCs w:val="20"/>
        </w:rPr>
        <w:t>Factors determined by the Secretary of the Treasury</w:t>
      </w:r>
    </w:p>
    <w:p w14:paraId="57939F4C" w14:textId="77777777" w:rsidR="00F60FA5" w:rsidRPr="004335E6" w:rsidRDefault="00BE05F6" w:rsidP="00F60FA5">
      <w:pPr>
        <w:numPr>
          <w:ilvl w:val="1"/>
          <w:numId w:val="2"/>
        </w:numPr>
        <w:tabs>
          <w:tab w:val="left" w:pos="4542"/>
          <w:tab w:val="left" w:pos="7422"/>
        </w:tabs>
        <w:spacing w:after="0"/>
        <w:rPr>
          <w:rFonts w:ascii="Trebuchet MS" w:eastAsia="Times New Roman" w:hAnsi="Trebuchet MS" w:cs="Arial"/>
          <w:szCs w:val="20"/>
        </w:rPr>
      </w:pPr>
      <w:r w:rsidRPr="004335E6">
        <w:rPr>
          <w:rFonts w:ascii="Trebuchet MS" w:eastAsia="Times New Roman" w:hAnsi="Trebuchet MS" w:cs="Arial"/>
          <w:szCs w:val="20"/>
        </w:rPr>
        <w:t xml:space="preserve">Importantly, the Act does not require the plan sponsor to verify whether an individual qualifies for the COVID-19 adjusted loan limits or the $100,000 withdrawal.  The plan sponsor may rely upon a </w:t>
      </w:r>
      <w:r w:rsidRPr="004335E6">
        <w:rPr>
          <w:rFonts w:ascii="Trebuchet MS" w:eastAsia="Times New Roman" w:hAnsi="Trebuchet MS" w:cs="Arial"/>
          <w:i/>
          <w:szCs w:val="20"/>
          <w:u w:val="single"/>
        </w:rPr>
        <w:t>participant’s certification</w:t>
      </w:r>
      <w:r w:rsidRPr="004335E6">
        <w:rPr>
          <w:rFonts w:ascii="Trebuchet MS" w:eastAsia="Times New Roman" w:hAnsi="Trebuchet MS" w:cs="Arial"/>
          <w:szCs w:val="20"/>
        </w:rPr>
        <w:t xml:space="preserve"> for eligibility.</w:t>
      </w:r>
    </w:p>
    <w:p w14:paraId="55531D72" w14:textId="77777777" w:rsidR="00BE05F6" w:rsidRPr="004335E6" w:rsidRDefault="00BE05F6" w:rsidP="00BE05F6">
      <w:pPr>
        <w:tabs>
          <w:tab w:val="left" w:pos="4542"/>
          <w:tab w:val="left" w:pos="7422"/>
        </w:tabs>
        <w:spacing w:after="0"/>
        <w:ind w:left="360"/>
        <w:rPr>
          <w:rFonts w:ascii="Trebuchet MS" w:eastAsia="Times New Roman" w:hAnsi="Trebuchet MS" w:cs="Arial"/>
          <w:b/>
          <w:szCs w:val="20"/>
        </w:rPr>
      </w:pPr>
    </w:p>
    <w:p w14:paraId="709D7B66" w14:textId="77777777" w:rsidR="006734FC" w:rsidRPr="004335E6" w:rsidRDefault="006734FC" w:rsidP="00BE05F6">
      <w:pPr>
        <w:tabs>
          <w:tab w:val="left" w:pos="4542"/>
          <w:tab w:val="left" w:pos="7422"/>
        </w:tabs>
        <w:spacing w:after="0"/>
        <w:ind w:left="360"/>
        <w:rPr>
          <w:rFonts w:ascii="Trebuchet MS" w:eastAsia="Times New Roman" w:hAnsi="Trebuchet MS" w:cs="Arial"/>
          <w:b/>
          <w:szCs w:val="20"/>
        </w:rPr>
      </w:pPr>
    </w:p>
    <w:p w14:paraId="6493E1DA" w14:textId="77777777" w:rsidR="00BE05F6" w:rsidRPr="004335E6" w:rsidRDefault="001256EB" w:rsidP="00BE05F6">
      <w:pPr>
        <w:numPr>
          <w:ilvl w:val="0"/>
          <w:numId w:val="2"/>
        </w:numPr>
        <w:tabs>
          <w:tab w:val="left" w:pos="4542"/>
          <w:tab w:val="left" w:pos="7422"/>
        </w:tabs>
        <w:spacing w:after="0"/>
        <w:ind w:left="360" w:hanging="270"/>
        <w:rPr>
          <w:rFonts w:ascii="Trebuchet MS" w:eastAsia="Times New Roman" w:hAnsi="Trebuchet MS" w:cs="Arial"/>
          <w:b/>
          <w:szCs w:val="20"/>
        </w:rPr>
      </w:pPr>
      <w:r w:rsidRPr="004335E6">
        <w:rPr>
          <w:rFonts w:ascii="Trebuchet MS" w:eastAsia="Times New Roman" w:hAnsi="Trebuchet MS" w:cs="Arial"/>
          <w:b/>
          <w:szCs w:val="20"/>
        </w:rPr>
        <w:t>Required minimum distributions</w:t>
      </w:r>
    </w:p>
    <w:p w14:paraId="184C5452" w14:textId="77777777" w:rsidR="00F60FA5" w:rsidRPr="004335E6" w:rsidRDefault="001256EB" w:rsidP="00BE05F6">
      <w:pPr>
        <w:pStyle w:val="ListParagraph"/>
        <w:numPr>
          <w:ilvl w:val="1"/>
          <w:numId w:val="2"/>
        </w:numPr>
        <w:tabs>
          <w:tab w:val="left" w:pos="4542"/>
          <w:tab w:val="left" w:pos="7422"/>
        </w:tabs>
        <w:rPr>
          <w:rFonts w:ascii="Trebuchet MS" w:eastAsia="Times New Roman" w:hAnsi="Trebuchet MS" w:cs="Arial"/>
          <w:szCs w:val="20"/>
        </w:rPr>
      </w:pPr>
      <w:r w:rsidRPr="004335E6">
        <w:rPr>
          <w:rFonts w:ascii="Trebuchet MS" w:eastAsia="Times New Roman" w:hAnsi="Trebuchet MS" w:cs="Arial"/>
          <w:szCs w:val="20"/>
        </w:rPr>
        <w:t>The Act waives RMD payments for 2020.</w:t>
      </w:r>
    </w:p>
    <w:p w14:paraId="434B8563" w14:textId="77777777" w:rsidR="001256EB" w:rsidRPr="004335E6" w:rsidRDefault="001256EB" w:rsidP="001256EB">
      <w:pPr>
        <w:pStyle w:val="ListParagraph"/>
        <w:numPr>
          <w:ilvl w:val="2"/>
          <w:numId w:val="2"/>
        </w:numPr>
        <w:tabs>
          <w:tab w:val="left" w:pos="4542"/>
          <w:tab w:val="left" w:pos="7422"/>
        </w:tabs>
        <w:rPr>
          <w:rFonts w:ascii="Trebuchet MS" w:eastAsia="Times New Roman" w:hAnsi="Trebuchet MS" w:cs="Arial"/>
          <w:szCs w:val="20"/>
        </w:rPr>
      </w:pPr>
      <w:r w:rsidRPr="004335E6">
        <w:rPr>
          <w:rFonts w:ascii="Trebuchet MS" w:eastAsia="Times New Roman" w:hAnsi="Trebuchet MS" w:cs="Arial"/>
          <w:szCs w:val="20"/>
        </w:rPr>
        <w:t>Includes RMD attributable to 2019 which was not paid by January 1, 2020;</w:t>
      </w:r>
    </w:p>
    <w:p w14:paraId="4348F843" w14:textId="77777777" w:rsidR="001256EB" w:rsidRPr="004335E6" w:rsidRDefault="001256EB" w:rsidP="001256EB">
      <w:pPr>
        <w:pStyle w:val="ListParagraph"/>
        <w:numPr>
          <w:ilvl w:val="2"/>
          <w:numId w:val="2"/>
        </w:numPr>
        <w:tabs>
          <w:tab w:val="left" w:pos="4542"/>
          <w:tab w:val="left" w:pos="7422"/>
        </w:tabs>
        <w:rPr>
          <w:rFonts w:ascii="Trebuchet MS" w:eastAsia="Times New Roman" w:hAnsi="Trebuchet MS" w:cs="Arial"/>
          <w:szCs w:val="20"/>
        </w:rPr>
      </w:pPr>
      <w:r w:rsidRPr="004335E6">
        <w:rPr>
          <w:rFonts w:ascii="Trebuchet MS" w:eastAsia="Times New Roman" w:hAnsi="Trebuchet MS" w:cs="Arial"/>
          <w:szCs w:val="20"/>
        </w:rPr>
        <w:t>Includes RMD if already made in 2020; but</w:t>
      </w:r>
    </w:p>
    <w:p w14:paraId="6168FF40" w14:textId="77777777" w:rsidR="001256EB" w:rsidRPr="004335E6" w:rsidRDefault="001256EB" w:rsidP="001256EB">
      <w:pPr>
        <w:pStyle w:val="ListParagraph"/>
        <w:numPr>
          <w:ilvl w:val="2"/>
          <w:numId w:val="2"/>
        </w:numPr>
        <w:tabs>
          <w:tab w:val="left" w:pos="4542"/>
          <w:tab w:val="left" w:pos="7422"/>
        </w:tabs>
        <w:rPr>
          <w:rFonts w:ascii="Trebuchet MS" w:eastAsia="Times New Roman" w:hAnsi="Trebuchet MS" w:cs="Arial"/>
          <w:szCs w:val="20"/>
        </w:rPr>
      </w:pPr>
      <w:r w:rsidRPr="004335E6">
        <w:rPr>
          <w:rFonts w:ascii="Trebuchet MS" w:eastAsia="Times New Roman" w:hAnsi="Trebuchet MS" w:cs="Arial"/>
          <w:szCs w:val="20"/>
        </w:rPr>
        <w:t xml:space="preserve">Does </w:t>
      </w:r>
      <w:r w:rsidRPr="004335E6">
        <w:rPr>
          <w:rFonts w:ascii="Trebuchet MS" w:eastAsia="Times New Roman" w:hAnsi="Trebuchet MS" w:cs="Arial"/>
          <w:i/>
          <w:szCs w:val="20"/>
        </w:rPr>
        <w:t>not</w:t>
      </w:r>
      <w:r w:rsidRPr="004335E6">
        <w:rPr>
          <w:rFonts w:ascii="Trebuchet MS" w:eastAsia="Times New Roman" w:hAnsi="Trebuchet MS" w:cs="Arial"/>
          <w:szCs w:val="20"/>
        </w:rPr>
        <w:t xml:space="preserve"> include RMD distributions that were made in 2019.</w:t>
      </w:r>
    </w:p>
    <w:p w14:paraId="14151D15" w14:textId="77777777" w:rsidR="001256EB" w:rsidRPr="004335E6" w:rsidRDefault="001256EB" w:rsidP="001256EB">
      <w:pPr>
        <w:pStyle w:val="ListParagraph"/>
        <w:numPr>
          <w:ilvl w:val="1"/>
          <w:numId w:val="2"/>
        </w:numPr>
        <w:tabs>
          <w:tab w:val="left" w:pos="4542"/>
          <w:tab w:val="left" w:pos="7422"/>
        </w:tabs>
        <w:rPr>
          <w:rFonts w:ascii="Trebuchet MS" w:eastAsia="Times New Roman" w:hAnsi="Trebuchet MS" w:cs="Arial"/>
          <w:szCs w:val="20"/>
        </w:rPr>
      </w:pPr>
      <w:r w:rsidRPr="004335E6">
        <w:rPr>
          <w:rFonts w:ascii="Trebuchet MS" w:eastAsia="Times New Roman" w:hAnsi="Trebuchet MS" w:cs="Arial"/>
          <w:szCs w:val="20"/>
        </w:rPr>
        <w:t xml:space="preserve">For RMDs that were already made in 2020 the participant may defer taxes and roll it back to the plan from which it was made or roll it to another qualified plan or IRA which accepts rollovers. Additional guidance regarding any potential impact to the </w:t>
      </w:r>
      <w:proofErr w:type="gramStart"/>
      <w:r w:rsidRPr="004335E6">
        <w:rPr>
          <w:rFonts w:ascii="Trebuchet MS" w:eastAsia="Times New Roman" w:hAnsi="Trebuchet MS" w:cs="Arial"/>
          <w:szCs w:val="20"/>
        </w:rPr>
        <w:t>60 day</w:t>
      </w:r>
      <w:proofErr w:type="gramEnd"/>
      <w:r w:rsidRPr="004335E6">
        <w:rPr>
          <w:rFonts w:ascii="Trebuchet MS" w:eastAsia="Times New Roman" w:hAnsi="Trebuchet MS" w:cs="Arial"/>
          <w:szCs w:val="20"/>
        </w:rPr>
        <w:t xml:space="preserve"> rollover period is expected from the IRS.</w:t>
      </w:r>
    </w:p>
    <w:p w14:paraId="09097883" w14:textId="77777777" w:rsidR="006734FC" w:rsidRPr="004335E6" w:rsidRDefault="006734FC" w:rsidP="006734FC">
      <w:pPr>
        <w:pStyle w:val="ListParagraph"/>
        <w:tabs>
          <w:tab w:val="left" w:pos="4542"/>
          <w:tab w:val="left" w:pos="7422"/>
        </w:tabs>
        <w:ind w:left="1440"/>
        <w:rPr>
          <w:rFonts w:ascii="Trebuchet MS" w:eastAsia="Times New Roman" w:hAnsi="Trebuchet MS" w:cs="Arial"/>
          <w:szCs w:val="20"/>
        </w:rPr>
      </w:pPr>
    </w:p>
    <w:p w14:paraId="4B60F0D0" w14:textId="77777777" w:rsidR="001256EB" w:rsidRPr="004335E6" w:rsidRDefault="001256EB" w:rsidP="001256EB">
      <w:pPr>
        <w:numPr>
          <w:ilvl w:val="0"/>
          <w:numId w:val="2"/>
        </w:numPr>
        <w:tabs>
          <w:tab w:val="left" w:pos="4542"/>
          <w:tab w:val="left" w:pos="7422"/>
        </w:tabs>
        <w:spacing w:after="0"/>
        <w:ind w:left="360" w:hanging="270"/>
        <w:rPr>
          <w:rFonts w:ascii="Trebuchet MS" w:eastAsia="Times New Roman" w:hAnsi="Trebuchet MS" w:cs="Arial"/>
          <w:b/>
          <w:szCs w:val="20"/>
        </w:rPr>
      </w:pPr>
      <w:r w:rsidRPr="004335E6">
        <w:rPr>
          <w:rFonts w:ascii="Trebuchet MS" w:eastAsia="Times New Roman" w:hAnsi="Trebuchet MS" w:cs="Arial"/>
          <w:b/>
          <w:szCs w:val="20"/>
        </w:rPr>
        <w:t>Defined benefit and money purchase pension plans</w:t>
      </w:r>
    </w:p>
    <w:p w14:paraId="61033061" w14:textId="77777777" w:rsidR="001256EB" w:rsidRPr="004335E6" w:rsidRDefault="001256EB" w:rsidP="001256EB">
      <w:pPr>
        <w:pStyle w:val="ListParagraph"/>
        <w:numPr>
          <w:ilvl w:val="1"/>
          <w:numId w:val="2"/>
        </w:numPr>
        <w:tabs>
          <w:tab w:val="left" w:pos="4542"/>
          <w:tab w:val="left" w:pos="7422"/>
        </w:tabs>
        <w:rPr>
          <w:rFonts w:ascii="Trebuchet MS" w:eastAsia="Times New Roman" w:hAnsi="Trebuchet MS" w:cs="Arial"/>
          <w:szCs w:val="20"/>
        </w:rPr>
      </w:pPr>
      <w:r w:rsidRPr="004335E6">
        <w:rPr>
          <w:rFonts w:ascii="Trebuchet MS" w:eastAsia="Times New Roman" w:hAnsi="Trebuchet MS" w:cs="Arial"/>
          <w:szCs w:val="20"/>
        </w:rPr>
        <w:t>The Act allows these plans to delay any contributions due in calendar year 2020 (including all quarterly contributions) until January 1, 2021.  The new January 1, 2021 due date applies for all quarterly contributions (they would no longer be separately due).</w:t>
      </w:r>
    </w:p>
    <w:p w14:paraId="5263EAC1" w14:textId="77777777" w:rsidR="001256EB" w:rsidRPr="004335E6" w:rsidRDefault="001256EB" w:rsidP="00D05876">
      <w:pPr>
        <w:pStyle w:val="ListParagraph"/>
        <w:numPr>
          <w:ilvl w:val="1"/>
          <w:numId w:val="2"/>
        </w:numPr>
        <w:tabs>
          <w:tab w:val="left" w:pos="4542"/>
          <w:tab w:val="left" w:pos="7422"/>
        </w:tabs>
        <w:rPr>
          <w:rFonts w:ascii="Trebuchet MS" w:eastAsia="Times New Roman" w:hAnsi="Trebuchet MS" w:cs="Arial"/>
          <w:szCs w:val="20"/>
        </w:rPr>
      </w:pPr>
      <w:r w:rsidRPr="004335E6">
        <w:rPr>
          <w:rFonts w:ascii="Trebuchet MS" w:eastAsia="Times New Roman" w:hAnsi="Trebuchet MS" w:cs="Arial"/>
          <w:szCs w:val="20"/>
        </w:rPr>
        <w:t>Leveraging the delayed due date would subject the employer to interest on the delayed contributions from the original due date(s) at the effective rate for the plan year that includes the date of payment.</w:t>
      </w:r>
    </w:p>
    <w:p w14:paraId="5E31CF12" w14:textId="77777777" w:rsidR="00D05876" w:rsidRPr="004335E6" w:rsidRDefault="00D05876" w:rsidP="00D05876">
      <w:pPr>
        <w:pStyle w:val="ListParagraph"/>
        <w:numPr>
          <w:ilvl w:val="1"/>
          <w:numId w:val="2"/>
        </w:numPr>
        <w:tabs>
          <w:tab w:val="left" w:pos="4542"/>
          <w:tab w:val="left" w:pos="7422"/>
        </w:tabs>
        <w:rPr>
          <w:rFonts w:ascii="Trebuchet MS" w:eastAsia="Times New Roman" w:hAnsi="Trebuchet MS" w:cs="Arial"/>
          <w:szCs w:val="20"/>
        </w:rPr>
      </w:pPr>
      <w:r w:rsidRPr="004335E6">
        <w:rPr>
          <w:rFonts w:ascii="Trebuchet MS" w:eastAsia="Times New Roman" w:hAnsi="Trebuchet MS" w:cs="Arial"/>
          <w:szCs w:val="20"/>
        </w:rPr>
        <w:t>Plan sponsors should expect leveraging delay should lead to higher contributions in 2021.</w:t>
      </w:r>
    </w:p>
    <w:p w14:paraId="37E1C107" w14:textId="77777777" w:rsidR="004335E6" w:rsidRDefault="004335E6">
      <w:pPr>
        <w:rPr>
          <w:rFonts w:ascii="Trebuchet MS" w:eastAsia="Times New Roman" w:hAnsi="Trebuchet MS" w:cs="Arial"/>
          <w:b/>
          <w:szCs w:val="20"/>
        </w:rPr>
      </w:pPr>
      <w:r>
        <w:rPr>
          <w:rFonts w:ascii="Trebuchet MS" w:eastAsia="Times New Roman" w:hAnsi="Trebuchet MS" w:cs="Arial"/>
          <w:b/>
          <w:szCs w:val="20"/>
        </w:rPr>
        <w:br w:type="page"/>
      </w:r>
    </w:p>
    <w:p w14:paraId="6AB6FB10" w14:textId="77777777" w:rsidR="006734FC" w:rsidRPr="004335E6" w:rsidRDefault="006734FC" w:rsidP="006734FC">
      <w:pPr>
        <w:tabs>
          <w:tab w:val="left" w:pos="4542"/>
          <w:tab w:val="left" w:pos="7422"/>
        </w:tabs>
        <w:spacing w:after="0"/>
        <w:ind w:left="360"/>
        <w:rPr>
          <w:rFonts w:ascii="Trebuchet MS" w:eastAsia="Times New Roman" w:hAnsi="Trebuchet MS" w:cs="Arial"/>
          <w:b/>
          <w:szCs w:val="20"/>
        </w:rPr>
      </w:pPr>
    </w:p>
    <w:p w14:paraId="08CA86A2" w14:textId="77777777" w:rsidR="00D05876" w:rsidRPr="004335E6" w:rsidRDefault="00D05876" w:rsidP="00D05876">
      <w:pPr>
        <w:numPr>
          <w:ilvl w:val="0"/>
          <w:numId w:val="2"/>
        </w:numPr>
        <w:tabs>
          <w:tab w:val="left" w:pos="4542"/>
          <w:tab w:val="left" w:pos="7422"/>
        </w:tabs>
        <w:spacing w:after="0"/>
        <w:ind w:left="360" w:hanging="270"/>
        <w:rPr>
          <w:rFonts w:ascii="Trebuchet MS" w:eastAsia="Times New Roman" w:hAnsi="Trebuchet MS" w:cs="Arial"/>
          <w:b/>
          <w:szCs w:val="20"/>
        </w:rPr>
      </w:pPr>
      <w:r w:rsidRPr="004335E6">
        <w:rPr>
          <w:rFonts w:ascii="Trebuchet MS" w:eastAsia="Times New Roman" w:hAnsi="Trebuchet MS" w:cs="Arial"/>
          <w:b/>
          <w:szCs w:val="20"/>
        </w:rPr>
        <w:t>Reporting and notices</w:t>
      </w:r>
    </w:p>
    <w:p w14:paraId="5C9BA4F4" w14:textId="77777777" w:rsidR="00F60FA5" w:rsidRPr="004335E6" w:rsidRDefault="00D05876" w:rsidP="00D05876">
      <w:pPr>
        <w:pStyle w:val="ListParagraph"/>
        <w:numPr>
          <w:ilvl w:val="1"/>
          <w:numId w:val="2"/>
        </w:numPr>
        <w:tabs>
          <w:tab w:val="left" w:pos="4542"/>
          <w:tab w:val="left" w:pos="7422"/>
        </w:tabs>
        <w:rPr>
          <w:rFonts w:ascii="Trebuchet MS" w:eastAsia="Times New Roman" w:hAnsi="Trebuchet MS" w:cs="Arial"/>
          <w:szCs w:val="20"/>
        </w:rPr>
      </w:pPr>
      <w:r w:rsidRPr="004335E6">
        <w:rPr>
          <w:rFonts w:ascii="Trebuchet MS" w:eastAsia="Times New Roman" w:hAnsi="Trebuchet MS" w:cs="Arial"/>
          <w:szCs w:val="20"/>
        </w:rPr>
        <w:t>The Act empowers the Department of Labor to extend certain deadlines for notices – more information expected in the coming weeks.</w:t>
      </w:r>
    </w:p>
    <w:p w14:paraId="5A141602" w14:textId="77777777" w:rsidR="00916252" w:rsidRPr="004335E6" w:rsidRDefault="00C67F54" w:rsidP="00C67F54">
      <w:pPr>
        <w:tabs>
          <w:tab w:val="left" w:pos="4542"/>
          <w:tab w:val="left" w:pos="7422"/>
        </w:tabs>
        <w:rPr>
          <w:rFonts w:ascii="Trebuchet MS" w:eastAsia="Times New Roman" w:hAnsi="Trebuchet MS" w:cs="Arial"/>
          <w:szCs w:val="20"/>
        </w:rPr>
      </w:pPr>
      <w:r w:rsidRPr="004335E6">
        <w:rPr>
          <w:rFonts w:ascii="Trebuchet MS" w:eastAsia="Times New Roman" w:hAnsi="Trebuchet MS" w:cs="Arial"/>
          <w:b/>
          <w:szCs w:val="20"/>
          <w:u w:val="single"/>
        </w:rPr>
        <w:t>P</w:t>
      </w:r>
      <w:r w:rsidR="005F68A6" w:rsidRPr="004335E6">
        <w:rPr>
          <w:rFonts w:ascii="Trebuchet MS" w:eastAsia="Times New Roman" w:hAnsi="Trebuchet MS" w:cs="Arial"/>
          <w:b/>
          <w:szCs w:val="20"/>
          <w:u w:val="single"/>
        </w:rPr>
        <w:t>lans can ado</w:t>
      </w:r>
      <w:r w:rsidR="006636D0" w:rsidRPr="004335E6">
        <w:rPr>
          <w:rFonts w:ascii="Trebuchet MS" w:eastAsia="Times New Roman" w:hAnsi="Trebuchet MS" w:cs="Arial"/>
          <w:b/>
          <w:szCs w:val="20"/>
          <w:u w:val="single"/>
        </w:rPr>
        <w:t>pt the new rules immediately</w:t>
      </w:r>
      <w:r w:rsidR="006636D0" w:rsidRPr="004335E6">
        <w:rPr>
          <w:rFonts w:ascii="Trebuchet MS" w:eastAsia="Times New Roman" w:hAnsi="Trebuchet MS" w:cs="Arial"/>
          <w:szCs w:val="20"/>
        </w:rPr>
        <w:t>. T</w:t>
      </w:r>
      <w:r w:rsidR="005F68A6" w:rsidRPr="004335E6">
        <w:rPr>
          <w:rFonts w:ascii="Trebuchet MS" w:eastAsia="Times New Roman" w:hAnsi="Trebuchet MS" w:cs="Arial"/>
          <w:szCs w:val="20"/>
        </w:rPr>
        <w:t>he plan will eventually need to be amended on or before the last day of the first plan year begin</w:t>
      </w:r>
      <w:r w:rsidR="00D05876" w:rsidRPr="004335E6">
        <w:rPr>
          <w:rFonts w:ascii="Trebuchet MS" w:eastAsia="Times New Roman" w:hAnsi="Trebuchet MS" w:cs="Arial"/>
          <w:szCs w:val="20"/>
        </w:rPr>
        <w:t>ning on or after January 1, 2022</w:t>
      </w:r>
      <w:r w:rsidR="005F68A6" w:rsidRPr="004335E6">
        <w:rPr>
          <w:rFonts w:ascii="Trebuchet MS" w:eastAsia="Times New Roman" w:hAnsi="Trebuchet MS" w:cs="Arial"/>
          <w:szCs w:val="20"/>
        </w:rPr>
        <w:t>, or later if prescribed by the Secretary of the Treasury.</w:t>
      </w:r>
      <w:r w:rsidR="000D5713" w:rsidRPr="004335E6">
        <w:rPr>
          <w:rFonts w:ascii="Trebuchet MS" w:eastAsia="Times New Roman" w:hAnsi="Trebuchet MS" w:cs="Arial"/>
          <w:szCs w:val="20"/>
        </w:rPr>
        <w:t xml:space="preserve"> </w:t>
      </w:r>
    </w:p>
    <w:p w14:paraId="4F9D1DBF" w14:textId="77777777" w:rsidR="00947117" w:rsidRPr="004335E6" w:rsidRDefault="00947117" w:rsidP="00C67F54">
      <w:pPr>
        <w:tabs>
          <w:tab w:val="left" w:pos="4542"/>
          <w:tab w:val="left" w:pos="7422"/>
        </w:tabs>
        <w:rPr>
          <w:rFonts w:ascii="Trebuchet MS" w:eastAsia="Times New Roman" w:hAnsi="Trebuchet MS" w:cs="Arial"/>
          <w:b/>
          <w:szCs w:val="20"/>
        </w:rPr>
      </w:pPr>
      <w:r w:rsidRPr="004335E6">
        <w:rPr>
          <w:rFonts w:ascii="Trebuchet MS" w:eastAsia="Times New Roman" w:hAnsi="Trebuchet MS" w:cs="Arial"/>
          <w:b/>
          <w:szCs w:val="20"/>
        </w:rPr>
        <w:t>For any questions related to the CARES Act, your plan, or how it impacts your employees and participants, please do not hesitate to contact your Plan Advisor.</w:t>
      </w:r>
    </w:p>
    <w:p w14:paraId="598B0C1D" w14:textId="77777777" w:rsidR="00916252" w:rsidRDefault="00F52BD7" w:rsidP="00C67F54">
      <w:pPr>
        <w:tabs>
          <w:tab w:val="left" w:pos="4542"/>
          <w:tab w:val="left" w:pos="7422"/>
        </w:tabs>
        <w:rPr>
          <w:rFonts w:ascii="Trebuchet MS" w:hAnsi="Trebuchet MS" w:cs="Arial"/>
          <w:sz w:val="20"/>
        </w:rPr>
      </w:pPr>
      <w:r w:rsidRPr="00F52BD7">
        <w:rPr>
          <w:rFonts w:ascii="Trebuchet MS" w:hAnsi="Trebuchet MS" w:cs="Arial"/>
          <w:sz w:val="20"/>
        </w:rPr>
        <w:t>Source: https://www.napa-net.org/sites/napa-net.org/files/CAREs%20Act%20revised_032220.pdf</w:t>
      </w:r>
    </w:p>
    <w:p w14:paraId="465CABAC" w14:textId="266BC906" w:rsidR="006636D0" w:rsidRPr="0013431D" w:rsidRDefault="006636D0" w:rsidP="0013431D">
      <w:pPr>
        <w:pStyle w:val="NormalWeb"/>
        <w:shd w:val="clear" w:color="auto" w:fill="222222"/>
        <w:spacing w:after="225"/>
        <w:rPr>
          <w:rFonts w:ascii="Trebuchet MS" w:hAnsi="Trebuchet MS" w:cs="Arial"/>
          <w:sz w:val="21"/>
          <w:szCs w:val="21"/>
        </w:rPr>
      </w:pPr>
      <w:r w:rsidRPr="0013431D">
        <w:rPr>
          <w:rFonts w:ascii="Trebuchet MS" w:hAnsi="Trebuchet MS" w:cs="Arial"/>
          <w:sz w:val="20"/>
        </w:rPr>
        <w:t>[</w:t>
      </w:r>
      <w:r w:rsidR="0013431D" w:rsidRPr="0013431D">
        <w:rPr>
          <w:rFonts w:ascii="Trebuchet MS" w:hAnsi="Trebuchet MS" w:cs="Arial"/>
          <w:sz w:val="21"/>
          <w:szCs w:val="21"/>
        </w:rPr>
        <w:t>Securities offered through Triad Advisors Member </w:t>
      </w:r>
      <w:hyperlink r:id="rId10" w:tgtFrame="_blank" w:history="1">
        <w:r w:rsidR="0013431D" w:rsidRPr="0013431D">
          <w:rPr>
            <w:rFonts w:ascii="Trebuchet MS" w:hAnsi="Trebuchet MS" w:cs="Arial"/>
            <w:sz w:val="21"/>
            <w:szCs w:val="21"/>
            <w:u w:val="single"/>
          </w:rPr>
          <w:t>FINRA</w:t>
        </w:r>
      </w:hyperlink>
      <w:r w:rsidR="0013431D" w:rsidRPr="0013431D">
        <w:rPr>
          <w:rFonts w:ascii="Trebuchet MS" w:hAnsi="Trebuchet MS" w:cs="Arial"/>
          <w:sz w:val="21"/>
          <w:szCs w:val="21"/>
        </w:rPr>
        <w:t>/</w:t>
      </w:r>
      <w:hyperlink r:id="rId11" w:tgtFrame="_blank" w:history="1">
        <w:r w:rsidR="0013431D" w:rsidRPr="0013431D">
          <w:rPr>
            <w:rFonts w:ascii="Trebuchet MS" w:hAnsi="Trebuchet MS" w:cs="Arial"/>
            <w:sz w:val="21"/>
            <w:szCs w:val="21"/>
            <w:u w:val="single"/>
          </w:rPr>
          <w:t>SIPC</w:t>
        </w:r>
      </w:hyperlink>
      <w:r w:rsidR="0013431D" w:rsidRPr="0013431D">
        <w:rPr>
          <w:rFonts w:ascii="Trebuchet MS" w:hAnsi="Trebuchet MS" w:cs="Arial"/>
          <w:sz w:val="21"/>
          <w:szCs w:val="21"/>
        </w:rPr>
        <w:t>; Advisory Services offered through Hobbs Group Advisors, LLC. Hobbs Group Advisors, LLC is not affiliated with Triad Advisors</w:t>
      </w:r>
      <w:r w:rsidRPr="0013431D">
        <w:rPr>
          <w:rFonts w:ascii="Trebuchet MS" w:hAnsi="Trebuchet MS" w:cs="Arial"/>
          <w:sz w:val="20"/>
        </w:rPr>
        <w:t>]</w:t>
      </w:r>
      <w:r w:rsidR="00C67F54" w:rsidRPr="0013431D">
        <w:rPr>
          <w:rFonts w:ascii="Trebuchet MS" w:hAnsi="Trebuchet MS" w:cs="Arial"/>
          <w:sz w:val="20"/>
        </w:rPr>
        <w:t xml:space="preserve"> </w:t>
      </w:r>
      <w:r w:rsidR="00575CE1" w:rsidRPr="0013431D">
        <w:rPr>
          <w:rFonts w:ascii="Trebuchet MS" w:hAnsi="Trebuchet MS" w:cs="Arial"/>
          <w:sz w:val="20"/>
        </w:rPr>
        <w:t>ACR# 345605 4/20</w:t>
      </w:r>
      <w:r w:rsidR="00C67F54" w:rsidRPr="0013431D">
        <w:rPr>
          <w:rFonts w:ascii="Trebuchet MS" w:hAnsi="Trebuchet MS" w:cs="Arial"/>
          <w:sz w:val="20"/>
        </w:rPr>
        <w:tab/>
      </w:r>
    </w:p>
    <w:sectPr w:rsidR="006636D0" w:rsidRPr="0013431D" w:rsidSect="00C67F54">
      <w:headerReference w:type="even" r:id="rId12"/>
      <w:headerReference w:type="default" r:id="rId13"/>
      <w:footerReference w:type="even" r:id="rId14"/>
      <w:footerReference w:type="default" r:id="rId15"/>
      <w:headerReference w:type="first" r:id="rId16"/>
      <w:footerReference w:type="first" r:id="rId17"/>
      <w:pgSz w:w="12240" w:h="15840"/>
      <w:pgMar w:top="1296" w:right="720" w:bottom="2079" w:left="720" w:header="459"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6947E" w14:textId="77777777" w:rsidR="005D4519" w:rsidRDefault="005D4519" w:rsidP="00B64615">
      <w:pPr>
        <w:spacing w:after="0" w:line="240" w:lineRule="auto"/>
      </w:pPr>
      <w:r>
        <w:separator/>
      </w:r>
    </w:p>
  </w:endnote>
  <w:endnote w:type="continuationSeparator" w:id="0">
    <w:p w14:paraId="55CF9066" w14:textId="77777777" w:rsidR="005D4519" w:rsidRDefault="005D4519" w:rsidP="00B64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1AF38" w14:textId="77777777" w:rsidR="0013431D" w:rsidRDefault="00134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BAD04" w14:textId="77777777" w:rsidR="00B64615" w:rsidRPr="004A1B2F" w:rsidRDefault="000E6C96" w:rsidP="004A1B2F">
    <w:pPr>
      <w:spacing w:line="240" w:lineRule="auto"/>
      <w:rPr>
        <w:rFonts w:ascii="Arial" w:hAnsi="Arial" w:cs="Arial"/>
        <w:noProof/>
        <w:sz w:val="16"/>
        <w:szCs w:val="16"/>
      </w:rPr>
    </w:pPr>
    <w:r>
      <w:rPr>
        <w:noProof/>
        <w:sz w:val="24"/>
        <w:szCs w:val="24"/>
      </w:rPr>
      <w:drawing>
        <wp:anchor distT="0" distB="0" distL="114300" distR="114300" simplePos="0" relativeHeight="251681792" behindDoc="0" locked="0" layoutInCell="1" allowOverlap="1" wp14:anchorId="2F0FC27C" wp14:editId="0AA4E704">
          <wp:simplePos x="0" y="0"/>
          <wp:positionH relativeFrom="margin">
            <wp:posOffset>0</wp:posOffset>
          </wp:positionH>
          <wp:positionV relativeFrom="paragraph">
            <wp:posOffset>-549275</wp:posOffset>
          </wp:positionV>
          <wp:extent cx="701040" cy="699135"/>
          <wp:effectExtent l="0" t="0" r="10160" b="1206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PAG_primary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040" cy="6991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mc:AlternateContent>
        <mc:Choice Requires="wps">
          <w:drawing>
            <wp:anchor distT="0" distB="0" distL="114300" distR="114300" simplePos="0" relativeHeight="251679744" behindDoc="0" locked="0" layoutInCell="1" allowOverlap="1" wp14:anchorId="733F415E" wp14:editId="5CBBA6D6">
              <wp:simplePos x="0" y="0"/>
              <wp:positionH relativeFrom="margin">
                <wp:posOffset>991870</wp:posOffset>
              </wp:positionH>
              <wp:positionV relativeFrom="paragraph">
                <wp:posOffset>-548123</wp:posOffset>
              </wp:positionV>
              <wp:extent cx="5864860" cy="695325"/>
              <wp:effectExtent l="0" t="0" r="2540" b="0"/>
              <wp:wrapNone/>
              <wp:docPr id="3" name="Rounded Rectangle 3"/>
              <wp:cNvGraphicFramePr/>
              <a:graphic xmlns:a="http://schemas.openxmlformats.org/drawingml/2006/main">
                <a:graphicData uri="http://schemas.microsoft.com/office/word/2010/wordprocessingShape">
                  <wps:wsp>
                    <wps:cNvSpPr/>
                    <wps:spPr>
                      <a:xfrm>
                        <a:off x="0" y="0"/>
                        <a:ext cx="5864860" cy="695325"/>
                      </a:xfrm>
                      <a:prstGeom prst="roundRect">
                        <a:avLst/>
                      </a:prstGeom>
                      <a:solidFill>
                        <a:srgbClr val="0D223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3DF43B" w14:textId="0D29CC06" w:rsidR="00C114A6" w:rsidRPr="0013431D" w:rsidRDefault="00BC661F" w:rsidP="0013431D">
                          <w:pPr>
                            <w:jc w:val="center"/>
                            <w:rPr>
                              <w:color w:val="FF0000"/>
                              <w:lang w:val="es-ES"/>
                            </w:rPr>
                          </w:pPr>
                          <w:r>
                            <w:rPr>
                              <w:lang w:val="es-ES"/>
                            </w:rPr>
                            <w:t>[</w:t>
                          </w:r>
                          <w:r w:rsidR="0013431D">
                            <w:rPr>
                              <w:color w:val="FF0000"/>
                              <w:lang w:val="es-ES"/>
                            </w:rPr>
                            <w:t>1704 Laurel St. Columbia, SC 29201</w:t>
                          </w:r>
                          <w:r>
                            <w:rPr>
                              <w:lang w:val="es-ES"/>
                            </w:rPr>
                            <w:t>]</w:t>
                          </w:r>
                          <w:r w:rsidR="000B50A4" w:rsidRPr="009400EB">
                            <w:rPr>
                              <w:lang w:val="es-ES"/>
                            </w:rPr>
                            <w:t xml:space="preserve"> | </w:t>
                          </w:r>
                          <w:r>
                            <w:rPr>
                              <w:lang w:val="es-ES"/>
                            </w:rPr>
                            <w:t>[</w:t>
                          </w:r>
                          <w:r w:rsidR="0013431D">
                            <w:rPr>
                              <w:color w:val="FF0000"/>
                              <w:lang w:val="es-ES"/>
                            </w:rPr>
                            <w:t>803-540-3034</w:t>
                          </w:r>
                          <w:r>
                            <w:rPr>
                              <w:lang w:val="es-ES"/>
                            </w:rPr>
                            <w:t>]</w:t>
                          </w:r>
                          <w:r w:rsidR="000B50A4" w:rsidRPr="009400EB">
                            <w:rPr>
                              <w:lang w:val="es-ES"/>
                            </w:rPr>
                            <w:t xml:space="preserve"> | </w:t>
                          </w:r>
                          <w:r>
                            <w:rPr>
                              <w:lang w:val="es-ES"/>
                            </w:rPr>
                            <w:t>[</w:t>
                          </w:r>
                          <w:r w:rsidR="0013431D">
                            <w:rPr>
                              <w:color w:val="FF0000"/>
                              <w:lang w:val="es-ES"/>
                            </w:rPr>
                            <w:t>www.hobbsgroupadvisors.com</w:t>
                          </w:r>
                          <w:r>
                            <w:rPr>
                              <w:lang w:val="es-E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3F415E" id="Rounded Rectangle 3" o:spid="_x0000_s1026" style="position:absolute;margin-left:78.1pt;margin-top:-43.15pt;width:461.8pt;height:54.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" fillcolor="#0d223f" stroked="f" strokeweight="2pt">
              <v:textbox>
                <w:txbxContent>
                  <w:p w14:paraId="463DF43B" w14:textId="0D29CC06" w:rsidR="00C114A6" w:rsidRPr="0013431D" w:rsidRDefault="00BC661F" w:rsidP="0013431D">
                    <w:pPr>
                      <w:jc w:val="center"/>
                      <w:rPr>
                        <w:color w:val="FF0000"/>
                        <w:lang w:val="es-ES"/>
                      </w:rPr>
                    </w:pPr>
                    <w:r>
                      <w:rPr>
                        <w:lang w:val="es-ES"/>
                      </w:rPr>
                      <w:t>[</w:t>
                    </w:r>
                    <w:r w:rsidR="0013431D">
                      <w:rPr>
                        <w:color w:val="FF0000"/>
                        <w:lang w:val="es-ES"/>
                      </w:rPr>
                      <w:t>1704 Laurel St. Columbia, SC 29201</w:t>
                    </w:r>
                    <w:r>
                      <w:rPr>
                        <w:lang w:val="es-ES"/>
                      </w:rPr>
                      <w:t>]</w:t>
                    </w:r>
                    <w:r w:rsidR="000B50A4" w:rsidRPr="009400EB">
                      <w:rPr>
                        <w:lang w:val="es-ES"/>
                      </w:rPr>
                      <w:t xml:space="preserve"> | </w:t>
                    </w:r>
                    <w:r>
                      <w:rPr>
                        <w:lang w:val="es-ES"/>
                      </w:rPr>
                      <w:t>[</w:t>
                    </w:r>
                    <w:r w:rsidR="0013431D">
                      <w:rPr>
                        <w:color w:val="FF0000"/>
                        <w:lang w:val="es-ES"/>
                      </w:rPr>
                      <w:t>803-540-3034</w:t>
                    </w:r>
                    <w:r>
                      <w:rPr>
                        <w:lang w:val="es-ES"/>
                      </w:rPr>
                      <w:t>]</w:t>
                    </w:r>
                    <w:r w:rsidR="000B50A4" w:rsidRPr="009400EB">
                      <w:rPr>
                        <w:lang w:val="es-ES"/>
                      </w:rPr>
                      <w:t xml:space="preserve"> | </w:t>
                    </w:r>
                    <w:r>
                      <w:rPr>
                        <w:lang w:val="es-ES"/>
                      </w:rPr>
                      <w:t>[</w:t>
                    </w:r>
                    <w:r w:rsidR="0013431D">
                      <w:rPr>
                        <w:color w:val="FF0000"/>
                        <w:lang w:val="es-ES"/>
                      </w:rPr>
                      <w:t>www.hobbsgroupadvisors.com</w:t>
                    </w:r>
                    <w:r>
                      <w:rPr>
                        <w:lang w:val="es-ES"/>
                      </w:rPr>
                      <w:t>]</w:t>
                    </w:r>
                  </w:p>
                </w:txbxContent>
              </v:textbox>
              <w10:wrap anchorx="margin"/>
            </v:round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BFB21" w14:textId="77777777" w:rsidR="000E6C96" w:rsidRDefault="000E6C96">
    <w:pPr>
      <w:pStyle w:val="Footer"/>
    </w:pPr>
    <w:r>
      <w:rPr>
        <w:noProof/>
        <w:sz w:val="24"/>
        <w:szCs w:val="24"/>
      </w:rPr>
      <w:drawing>
        <wp:anchor distT="0" distB="0" distL="114300" distR="114300" simplePos="0" relativeHeight="251686912" behindDoc="0" locked="0" layoutInCell="1" allowOverlap="1" wp14:anchorId="154D71F4" wp14:editId="5719523D">
          <wp:simplePos x="0" y="0"/>
          <wp:positionH relativeFrom="margin">
            <wp:posOffset>-5715</wp:posOffset>
          </wp:positionH>
          <wp:positionV relativeFrom="paragraph">
            <wp:posOffset>-608965</wp:posOffset>
          </wp:positionV>
          <wp:extent cx="701040" cy="699135"/>
          <wp:effectExtent l="0" t="0" r="381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PAG_primary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040" cy="6991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mc:AlternateContent>
        <mc:Choice Requires="wps">
          <w:drawing>
            <wp:anchor distT="0" distB="0" distL="114300" distR="114300" simplePos="0" relativeHeight="251685888" behindDoc="0" locked="0" layoutInCell="1" allowOverlap="1" wp14:anchorId="0174DBA2" wp14:editId="7B1A97C9">
              <wp:simplePos x="0" y="0"/>
              <wp:positionH relativeFrom="margin">
                <wp:posOffset>986155</wp:posOffset>
              </wp:positionH>
              <wp:positionV relativeFrom="paragraph">
                <wp:posOffset>-608832</wp:posOffset>
              </wp:positionV>
              <wp:extent cx="5865428" cy="695426"/>
              <wp:effectExtent l="0" t="0" r="2540" b="9525"/>
              <wp:wrapNone/>
              <wp:docPr id="6" name="Rounded Rectangle 6"/>
              <wp:cNvGraphicFramePr/>
              <a:graphic xmlns:a="http://schemas.openxmlformats.org/drawingml/2006/main">
                <a:graphicData uri="http://schemas.microsoft.com/office/word/2010/wordprocessingShape">
                  <wps:wsp>
                    <wps:cNvSpPr/>
                    <wps:spPr>
                      <a:xfrm>
                        <a:off x="0" y="0"/>
                        <a:ext cx="5865428" cy="695426"/>
                      </a:xfrm>
                      <a:prstGeom prst="roundRect">
                        <a:avLst/>
                      </a:prstGeom>
                      <a:solidFill>
                        <a:srgbClr val="0D223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2BC825" w14:textId="7FDF2365" w:rsidR="000E6C96" w:rsidRPr="009400EB" w:rsidRDefault="0013431D" w:rsidP="000E6C96">
                          <w:pPr>
                            <w:jc w:val="center"/>
                            <w:rPr>
                              <w:lang w:val="es-ES"/>
                            </w:rPr>
                          </w:pPr>
                          <w:r>
                            <w:rPr>
                              <w:lang w:val="es-ES"/>
                            </w:rPr>
                            <w:t>[</w:t>
                          </w:r>
                          <w:r>
                            <w:rPr>
                              <w:color w:val="FF0000"/>
                              <w:lang w:val="es-ES"/>
                            </w:rPr>
                            <w:t>1704 Laurel St. Columbia, SC 29201</w:t>
                          </w:r>
                          <w:r>
                            <w:rPr>
                              <w:lang w:val="es-ES"/>
                            </w:rPr>
                            <w:t>]</w:t>
                          </w:r>
                          <w:r w:rsidRPr="009400EB">
                            <w:rPr>
                              <w:lang w:val="es-ES"/>
                            </w:rPr>
                            <w:t xml:space="preserve"> | </w:t>
                          </w:r>
                          <w:r>
                            <w:rPr>
                              <w:lang w:val="es-ES"/>
                            </w:rPr>
                            <w:t>[</w:t>
                          </w:r>
                          <w:r>
                            <w:rPr>
                              <w:color w:val="FF0000"/>
                              <w:lang w:val="es-ES"/>
                            </w:rPr>
                            <w:t>803-540-3034</w:t>
                          </w:r>
                          <w:r>
                            <w:rPr>
                              <w:lang w:val="es-ES"/>
                            </w:rPr>
                            <w:t>]</w:t>
                          </w:r>
                          <w:r w:rsidRPr="009400EB">
                            <w:rPr>
                              <w:lang w:val="es-ES"/>
                            </w:rPr>
                            <w:t xml:space="preserve"> | </w:t>
                          </w:r>
                          <w:r>
                            <w:rPr>
                              <w:lang w:val="es-ES"/>
                            </w:rPr>
                            <w:t>[</w:t>
                          </w:r>
                          <w:r>
                            <w:rPr>
                              <w:color w:val="FF0000"/>
                              <w:lang w:val="es-ES"/>
                            </w:rPr>
                            <w:t>www.hobbsgroupadvisors.com</w:t>
                          </w:r>
                          <w:r>
                            <w:rPr>
                              <w:lang w:val="es-E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4DBA2" id="Rounded Rectangle 6" o:spid="_x0000_s1028" style="position:absolute;margin-left:77.65pt;margin-top:-47.95pt;width:461.85pt;height:54.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" fillcolor="#0d223f" stroked="f" strokeweight="2pt">
              <v:textbox>
                <w:txbxContent>
                  <w:p w14:paraId="112BC825" w14:textId="7FDF2365" w:rsidR="000E6C96" w:rsidRPr="009400EB" w:rsidRDefault="0013431D" w:rsidP="000E6C96">
                    <w:pPr>
                      <w:jc w:val="center"/>
                      <w:rPr>
                        <w:lang w:val="es-ES"/>
                      </w:rPr>
                    </w:pPr>
                    <w:r>
                      <w:rPr>
                        <w:lang w:val="es-ES"/>
                      </w:rPr>
                      <w:t>[</w:t>
                    </w:r>
                    <w:r>
                      <w:rPr>
                        <w:color w:val="FF0000"/>
                        <w:lang w:val="es-ES"/>
                      </w:rPr>
                      <w:t>1704 Laurel St. Columbia, SC 29201</w:t>
                    </w:r>
                    <w:r>
                      <w:rPr>
                        <w:lang w:val="es-ES"/>
                      </w:rPr>
                      <w:t>]</w:t>
                    </w:r>
                    <w:r w:rsidRPr="009400EB">
                      <w:rPr>
                        <w:lang w:val="es-ES"/>
                      </w:rPr>
                      <w:t xml:space="preserve"> | </w:t>
                    </w:r>
                    <w:r>
                      <w:rPr>
                        <w:lang w:val="es-ES"/>
                      </w:rPr>
                      <w:t>[</w:t>
                    </w:r>
                    <w:r>
                      <w:rPr>
                        <w:color w:val="FF0000"/>
                        <w:lang w:val="es-ES"/>
                      </w:rPr>
                      <w:t>803-540-3034</w:t>
                    </w:r>
                    <w:r>
                      <w:rPr>
                        <w:lang w:val="es-ES"/>
                      </w:rPr>
                      <w:t>]</w:t>
                    </w:r>
                    <w:r w:rsidRPr="009400EB">
                      <w:rPr>
                        <w:lang w:val="es-ES"/>
                      </w:rPr>
                      <w:t xml:space="preserve"> | </w:t>
                    </w:r>
                    <w:r>
                      <w:rPr>
                        <w:lang w:val="es-ES"/>
                      </w:rPr>
                      <w:t>[</w:t>
                    </w:r>
                    <w:r>
                      <w:rPr>
                        <w:color w:val="FF0000"/>
                        <w:lang w:val="es-ES"/>
                      </w:rPr>
                      <w:t>www.hobbsgroupadvisors.com</w:t>
                    </w:r>
                    <w:r>
                      <w:rPr>
                        <w:lang w:val="es-ES"/>
                      </w:rPr>
                      <w:t>]</w:t>
                    </w:r>
                  </w:p>
                </w:txbxContent>
              </v:textbox>
              <w10:wrap anchorx="margin"/>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6C323" w14:textId="77777777" w:rsidR="005D4519" w:rsidRDefault="005D4519" w:rsidP="00B64615">
      <w:pPr>
        <w:spacing w:after="0" w:line="240" w:lineRule="auto"/>
      </w:pPr>
      <w:r>
        <w:separator/>
      </w:r>
    </w:p>
  </w:footnote>
  <w:footnote w:type="continuationSeparator" w:id="0">
    <w:p w14:paraId="0322D995" w14:textId="77777777" w:rsidR="005D4519" w:rsidRDefault="005D4519" w:rsidP="00B64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1DB5E" w14:textId="77777777" w:rsidR="0013431D" w:rsidRDefault="00134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D0ABF" w14:textId="77777777" w:rsidR="00B64615" w:rsidRPr="000E6C96" w:rsidRDefault="00F765BB" w:rsidP="000E6C96">
    <w:pPr>
      <w:pStyle w:val="NormalWeb"/>
      <w:spacing w:line="324" w:lineRule="auto"/>
      <w:ind w:firstLine="360"/>
      <w:jc w:val="right"/>
      <w:rPr>
        <w:rFonts w:ascii="Trebuchet MS" w:hAnsi="Trebuchet MS" w:cs="Arial"/>
        <w:b/>
        <w:color w:val="000000" w:themeColor="text1"/>
        <w:sz w:val="24"/>
        <w:szCs w:val="20"/>
        <w:lang w:val="en"/>
      </w:rPr>
    </w:pPr>
    <w:r w:rsidRPr="000E6C96">
      <w:rPr>
        <w:rFonts w:ascii="Trebuchet MS" w:hAnsi="Trebuchet MS" w:cs="Arial"/>
        <w:b/>
        <w:color w:val="000000" w:themeColor="text1"/>
        <w:sz w:val="24"/>
        <w:szCs w:val="20"/>
        <w:lang w:val="en"/>
      </w:rPr>
      <w:t xml:space="preserve">COVID-19 RETIREMENT PLAN CHALLENGES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40D53" w14:textId="77777777" w:rsidR="009D3D2B" w:rsidRDefault="00F765BB">
    <w:pPr>
      <w:pStyle w:val="Header"/>
    </w:pPr>
    <w:r>
      <w:rPr>
        <w:noProof/>
        <w:sz w:val="24"/>
        <w:szCs w:val="24"/>
      </w:rPr>
      <mc:AlternateContent>
        <mc:Choice Requires="wps">
          <w:drawing>
            <wp:anchor distT="45720" distB="45720" distL="114300" distR="114300" simplePos="0" relativeHeight="251683840" behindDoc="0" locked="0" layoutInCell="1" allowOverlap="1" wp14:anchorId="25FC4AF7" wp14:editId="5AD4BCCC">
              <wp:simplePos x="0" y="0"/>
              <wp:positionH relativeFrom="margin">
                <wp:posOffset>3556635</wp:posOffset>
              </wp:positionH>
              <wp:positionV relativeFrom="paragraph">
                <wp:posOffset>738741</wp:posOffset>
              </wp:positionV>
              <wp:extent cx="3249930" cy="427355"/>
              <wp:effectExtent l="0" t="0" r="0" b="679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427355"/>
                      </a:xfrm>
                      <a:prstGeom prst="rect">
                        <a:avLst/>
                      </a:prstGeom>
                      <a:noFill/>
                      <a:ln w="9525">
                        <a:noFill/>
                        <a:miter lim="800000"/>
                        <a:headEnd/>
                        <a:tailEnd/>
                      </a:ln>
                      <a:effectLst>
                        <a:outerShdw blurRad="50800" dist="38100" dir="5400000" algn="t" rotWithShape="0">
                          <a:prstClr val="black">
                            <a:alpha val="40000"/>
                          </a:prstClr>
                        </a:outerShdw>
                      </a:effectLst>
                    </wps:spPr>
                    <wps:txbx>
                      <w:txbxContent>
                        <w:p w14:paraId="177D8D55" w14:textId="77777777" w:rsidR="00F765BB" w:rsidRPr="00FF14FD" w:rsidRDefault="00F765BB" w:rsidP="00F765BB">
                          <w:pPr>
                            <w:jc w:val="right"/>
                            <w:rPr>
                              <w:rFonts w:ascii="Trebuchet MS" w:hAnsi="Trebuchet MS" w:cs="Arial"/>
                              <w:color w:val="FFFFFF" w:themeColor="background1"/>
                              <w:sz w:val="44"/>
                              <w:szCs w:val="56"/>
                            </w:rPr>
                          </w:pPr>
                          <w:r>
                            <w:rPr>
                              <w:rFonts w:ascii="Trebuchet MS" w:hAnsi="Trebuchet MS" w:cs="Arial"/>
                              <w:color w:val="FFFFFF" w:themeColor="background1"/>
                              <w:sz w:val="44"/>
                              <w:szCs w:val="56"/>
                            </w:rPr>
                            <w:t>COVID-19 Latest Insights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FC4AF7" id="_x0000_t202" coordsize="21600,21600" o:spt="202" path="m,l,21600r21600,l21600,xe">
              <v:stroke joinstyle="miter"/>
              <v:path gradientshapeok="t" o:connecttype="rect"/>
            </v:shapetype>
            <v:shape id="Text Box 2" o:spid="_x0000_s1027" type="#_x0000_t202" style="position:absolute;margin-left:280.05pt;margin-top:58.15pt;width:255.9pt;height:33.6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" filled="f" stroked="f">
              <v:shadow on="t" color="black" opacity="26214f" origin=",-.5" offset="0,3pt"/>
              <v:textbox>
                <w:txbxContent>
                  <w:p w14:paraId="177D8D55" w14:textId="77777777" w:rsidR="00F765BB" w:rsidRPr="00FF14FD" w:rsidRDefault="00F765BB" w:rsidP="00F765BB">
                    <w:pPr>
                      <w:jc w:val="right"/>
                      <w:rPr>
                        <w:rFonts w:ascii="Trebuchet MS" w:hAnsi="Trebuchet MS" w:cs="Arial"/>
                        <w:color w:val="FFFFFF" w:themeColor="background1"/>
                        <w:sz w:val="44"/>
                        <w:szCs w:val="56"/>
                      </w:rPr>
                    </w:pPr>
                    <w:r>
                      <w:rPr>
                        <w:rFonts w:ascii="Trebuchet MS" w:hAnsi="Trebuchet MS" w:cs="Arial"/>
                        <w:color w:val="FFFFFF" w:themeColor="background1"/>
                        <w:sz w:val="44"/>
                        <w:szCs w:val="56"/>
                      </w:rPr>
                      <w:t>COVID-19 Latest Insights</w:t>
                    </w:r>
                  </w:p>
                </w:txbxContent>
              </v:textbox>
              <w10:wrap anchorx="margin"/>
            </v:shape>
          </w:pict>
        </mc:Fallback>
      </mc:AlternateContent>
    </w:r>
    <w:r>
      <w:rPr>
        <w:noProof/>
        <w:sz w:val="24"/>
        <w:szCs w:val="24"/>
      </w:rPr>
      <w:drawing>
        <wp:inline distT="0" distB="0" distL="0" distR="0" wp14:anchorId="2E5BBA7F" wp14:editId="100E728E">
          <wp:extent cx="6858000" cy="1913890"/>
          <wp:effectExtent l="0" t="0" r="0" b="0"/>
          <wp:docPr id="1" name="Picture 1" descr="RPAG COVID19 Mast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PAG COVID19 Masthea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913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C6A5E"/>
    <w:multiLevelType w:val="hybridMultilevel"/>
    <w:tmpl w:val="3FE23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17A09"/>
    <w:multiLevelType w:val="hybridMultilevel"/>
    <w:tmpl w:val="E4CA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7124AB"/>
    <w:multiLevelType w:val="hybridMultilevel"/>
    <w:tmpl w:val="CE46F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615"/>
    <w:rsid w:val="000140D9"/>
    <w:rsid w:val="0004628F"/>
    <w:rsid w:val="00090812"/>
    <w:rsid w:val="000B0B2E"/>
    <w:rsid w:val="000B50A4"/>
    <w:rsid w:val="000D5713"/>
    <w:rsid w:val="000E6C96"/>
    <w:rsid w:val="001256EB"/>
    <w:rsid w:val="0013431D"/>
    <w:rsid w:val="00151C2F"/>
    <w:rsid w:val="0017674B"/>
    <w:rsid w:val="001854CE"/>
    <w:rsid w:val="001A3975"/>
    <w:rsid w:val="001B3EFB"/>
    <w:rsid w:val="001B50C3"/>
    <w:rsid w:val="001C5DF4"/>
    <w:rsid w:val="001E5FF0"/>
    <w:rsid w:val="001F39DB"/>
    <w:rsid w:val="002204C6"/>
    <w:rsid w:val="0022382B"/>
    <w:rsid w:val="00234175"/>
    <w:rsid w:val="00287593"/>
    <w:rsid w:val="002A62F4"/>
    <w:rsid w:val="002B4C66"/>
    <w:rsid w:val="00316401"/>
    <w:rsid w:val="00320F84"/>
    <w:rsid w:val="00341A6E"/>
    <w:rsid w:val="00367424"/>
    <w:rsid w:val="0038371A"/>
    <w:rsid w:val="003837B7"/>
    <w:rsid w:val="003A5B0D"/>
    <w:rsid w:val="003C2779"/>
    <w:rsid w:val="003C7CDE"/>
    <w:rsid w:val="004335E6"/>
    <w:rsid w:val="00453F34"/>
    <w:rsid w:val="00473948"/>
    <w:rsid w:val="004913F0"/>
    <w:rsid w:val="00494E7E"/>
    <w:rsid w:val="004A1B2F"/>
    <w:rsid w:val="004C51CC"/>
    <w:rsid w:val="004D3A73"/>
    <w:rsid w:val="004F409A"/>
    <w:rsid w:val="005058C8"/>
    <w:rsid w:val="00517E7C"/>
    <w:rsid w:val="0054274D"/>
    <w:rsid w:val="00575CE1"/>
    <w:rsid w:val="00576C87"/>
    <w:rsid w:val="0058407B"/>
    <w:rsid w:val="005C178D"/>
    <w:rsid w:val="005D4519"/>
    <w:rsid w:val="005E6E58"/>
    <w:rsid w:val="005F2447"/>
    <w:rsid w:val="005F68A6"/>
    <w:rsid w:val="006472AD"/>
    <w:rsid w:val="00653F49"/>
    <w:rsid w:val="0066344B"/>
    <w:rsid w:val="006636D0"/>
    <w:rsid w:val="006734FC"/>
    <w:rsid w:val="006A2321"/>
    <w:rsid w:val="00782310"/>
    <w:rsid w:val="007A649E"/>
    <w:rsid w:val="00812CC0"/>
    <w:rsid w:val="0081704F"/>
    <w:rsid w:val="00844324"/>
    <w:rsid w:val="008512E6"/>
    <w:rsid w:val="00887471"/>
    <w:rsid w:val="008A10DD"/>
    <w:rsid w:val="008A69E0"/>
    <w:rsid w:val="008C2320"/>
    <w:rsid w:val="008D4378"/>
    <w:rsid w:val="008D782A"/>
    <w:rsid w:val="008E3AD4"/>
    <w:rsid w:val="00911325"/>
    <w:rsid w:val="00916252"/>
    <w:rsid w:val="009400EB"/>
    <w:rsid w:val="00947117"/>
    <w:rsid w:val="009C07BF"/>
    <w:rsid w:val="009D3D2B"/>
    <w:rsid w:val="009E2DCE"/>
    <w:rsid w:val="009E5316"/>
    <w:rsid w:val="009F07FF"/>
    <w:rsid w:val="00A944D0"/>
    <w:rsid w:val="00AD0F1F"/>
    <w:rsid w:val="00AE3191"/>
    <w:rsid w:val="00AF69AB"/>
    <w:rsid w:val="00B0468F"/>
    <w:rsid w:val="00B64615"/>
    <w:rsid w:val="00B7300A"/>
    <w:rsid w:val="00B813DC"/>
    <w:rsid w:val="00B83723"/>
    <w:rsid w:val="00BC661F"/>
    <w:rsid w:val="00BE05F6"/>
    <w:rsid w:val="00BF6CAB"/>
    <w:rsid w:val="00C114A6"/>
    <w:rsid w:val="00C37015"/>
    <w:rsid w:val="00C46003"/>
    <w:rsid w:val="00C67F54"/>
    <w:rsid w:val="00C94001"/>
    <w:rsid w:val="00D05876"/>
    <w:rsid w:val="00D23E95"/>
    <w:rsid w:val="00D559C1"/>
    <w:rsid w:val="00DA3D45"/>
    <w:rsid w:val="00DB3C0B"/>
    <w:rsid w:val="00DF4C46"/>
    <w:rsid w:val="00E01D98"/>
    <w:rsid w:val="00E32397"/>
    <w:rsid w:val="00E636BC"/>
    <w:rsid w:val="00E93E9E"/>
    <w:rsid w:val="00EB52BE"/>
    <w:rsid w:val="00ED77BF"/>
    <w:rsid w:val="00EE7EB7"/>
    <w:rsid w:val="00F11253"/>
    <w:rsid w:val="00F14819"/>
    <w:rsid w:val="00F25616"/>
    <w:rsid w:val="00F52BD7"/>
    <w:rsid w:val="00F60FA5"/>
    <w:rsid w:val="00F765BB"/>
    <w:rsid w:val="00F81D2B"/>
    <w:rsid w:val="00FE1B70"/>
    <w:rsid w:val="00FF1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C1D87"/>
  <w15:docId w15:val="{AC90C267-8B10-4BFD-9BAB-5A42D46D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74B"/>
  </w:style>
  <w:style w:type="paragraph" w:styleId="Heading1">
    <w:name w:val="heading 1"/>
    <w:basedOn w:val="Normal"/>
    <w:next w:val="Normal"/>
    <w:link w:val="Heading1Char"/>
    <w:uiPriority w:val="9"/>
    <w:qFormat/>
    <w:rsid w:val="003C2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27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27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27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C277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615"/>
  </w:style>
  <w:style w:type="paragraph" w:styleId="Footer">
    <w:name w:val="footer"/>
    <w:basedOn w:val="Normal"/>
    <w:link w:val="FooterChar"/>
    <w:uiPriority w:val="99"/>
    <w:unhideWhenUsed/>
    <w:rsid w:val="00B64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615"/>
  </w:style>
  <w:style w:type="paragraph" w:styleId="BalloonText">
    <w:name w:val="Balloon Text"/>
    <w:basedOn w:val="Normal"/>
    <w:link w:val="BalloonTextChar"/>
    <w:uiPriority w:val="99"/>
    <w:semiHidden/>
    <w:unhideWhenUsed/>
    <w:rsid w:val="00851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2E6"/>
    <w:rPr>
      <w:rFonts w:ascii="Tahoma" w:hAnsi="Tahoma" w:cs="Tahoma"/>
      <w:sz w:val="16"/>
      <w:szCs w:val="16"/>
    </w:rPr>
  </w:style>
  <w:style w:type="paragraph" w:styleId="NormalWeb">
    <w:name w:val="Normal (Web)"/>
    <w:basedOn w:val="Normal"/>
    <w:uiPriority w:val="99"/>
    <w:unhideWhenUsed/>
    <w:rsid w:val="008512E6"/>
    <w:pPr>
      <w:spacing w:after="210" w:line="210" w:lineRule="atLeast"/>
      <w:jc w:val="both"/>
    </w:pPr>
    <w:rPr>
      <w:rFonts w:ascii="Times New Roman" w:eastAsia="Times New Roman" w:hAnsi="Times New Roman" w:cs="Times New Roman"/>
      <w:sz w:val="17"/>
      <w:szCs w:val="17"/>
    </w:rPr>
  </w:style>
  <w:style w:type="character" w:styleId="PlaceholderText">
    <w:name w:val="Placeholder Text"/>
    <w:basedOn w:val="DefaultParagraphFont"/>
    <w:uiPriority w:val="99"/>
    <w:semiHidden/>
    <w:rsid w:val="003C2779"/>
    <w:rPr>
      <w:color w:val="808080"/>
    </w:rPr>
  </w:style>
  <w:style w:type="table" w:styleId="TableGrid">
    <w:name w:val="Table Grid"/>
    <w:basedOn w:val="TableNormal"/>
    <w:uiPriority w:val="59"/>
    <w:rsid w:val="003C2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uirementLevel1">
    <w:name w:val="Requirement Level 1"/>
    <w:basedOn w:val="Normal"/>
    <w:link w:val="RequirementLevel1Char"/>
    <w:qFormat/>
    <w:rsid w:val="003C2779"/>
    <w:pPr>
      <w:spacing w:after="0" w:line="240" w:lineRule="auto"/>
    </w:pPr>
    <w:rPr>
      <w:rFonts w:ascii="Segoe UI" w:hAnsi="Segoe UI" w:cs="Segoe UI"/>
      <w:b/>
      <w:color w:val="948A54" w:themeColor="background2" w:themeShade="80"/>
      <w:sz w:val="28"/>
      <w:szCs w:val="20"/>
      <w:lang w:val="en-GB"/>
    </w:rPr>
  </w:style>
  <w:style w:type="character" w:customStyle="1" w:styleId="RequirementLevel1Char">
    <w:name w:val="Requirement Level 1 Char"/>
    <w:basedOn w:val="DefaultParagraphFont"/>
    <w:link w:val="RequirementLevel1"/>
    <w:rsid w:val="003C2779"/>
    <w:rPr>
      <w:rFonts w:ascii="Segoe UI" w:hAnsi="Segoe UI" w:cs="Segoe UI"/>
      <w:b/>
      <w:color w:val="948A54" w:themeColor="background2" w:themeShade="80"/>
      <w:sz w:val="28"/>
      <w:szCs w:val="20"/>
      <w:lang w:val="en-GB"/>
    </w:rPr>
  </w:style>
  <w:style w:type="paragraph" w:customStyle="1" w:styleId="RequirementLevel2">
    <w:name w:val="Requirement Level 2"/>
    <w:basedOn w:val="Normal"/>
    <w:link w:val="RequirementLevel2Char"/>
    <w:qFormat/>
    <w:rsid w:val="003C2779"/>
    <w:pPr>
      <w:spacing w:after="0" w:line="240" w:lineRule="auto"/>
    </w:pPr>
    <w:rPr>
      <w:rFonts w:ascii="Segoe UI" w:hAnsi="Segoe UI" w:cs="Segoe UI"/>
      <w:b/>
      <w:color w:val="365F91" w:themeColor="accent1" w:themeShade="BF"/>
      <w:sz w:val="28"/>
      <w:szCs w:val="20"/>
      <w:lang w:val="en-GB"/>
    </w:rPr>
  </w:style>
  <w:style w:type="character" w:customStyle="1" w:styleId="RequirementLevel2Char">
    <w:name w:val="Requirement Level 2 Char"/>
    <w:basedOn w:val="DefaultParagraphFont"/>
    <w:link w:val="RequirementLevel2"/>
    <w:rsid w:val="003C2779"/>
    <w:rPr>
      <w:rFonts w:ascii="Segoe UI" w:hAnsi="Segoe UI" w:cs="Segoe UI"/>
      <w:b/>
      <w:color w:val="365F91" w:themeColor="accent1" w:themeShade="BF"/>
      <w:sz w:val="28"/>
      <w:szCs w:val="20"/>
      <w:lang w:val="en-GB"/>
    </w:rPr>
  </w:style>
  <w:style w:type="character" w:customStyle="1" w:styleId="Heading1Char">
    <w:name w:val="Heading 1 Char"/>
    <w:basedOn w:val="DefaultParagraphFont"/>
    <w:link w:val="Heading1"/>
    <w:uiPriority w:val="9"/>
    <w:rsid w:val="003C27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27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27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C277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C2779"/>
    <w:rPr>
      <w:rFonts w:asciiTheme="majorHAnsi" w:eastAsiaTheme="majorEastAsia" w:hAnsiTheme="majorHAnsi" w:cstheme="majorBidi"/>
      <w:color w:val="243F60" w:themeColor="accent1" w:themeShade="7F"/>
    </w:rPr>
  </w:style>
  <w:style w:type="paragraph" w:customStyle="1" w:styleId="BasicParagraph">
    <w:name w:val="[Basic Paragraph]"/>
    <w:basedOn w:val="Normal"/>
    <w:uiPriority w:val="99"/>
    <w:rsid w:val="0088747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8E3AD4"/>
    <w:pPr>
      <w:ind w:left="720"/>
      <w:contextualSpacing/>
    </w:pPr>
  </w:style>
  <w:style w:type="character" w:styleId="Hyperlink">
    <w:name w:val="Hyperlink"/>
    <w:basedOn w:val="DefaultParagraphFont"/>
    <w:uiPriority w:val="99"/>
    <w:semiHidden/>
    <w:unhideWhenUsed/>
    <w:rsid w:val="001343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909258">
      <w:bodyDiv w:val="1"/>
      <w:marLeft w:val="0"/>
      <w:marRight w:val="0"/>
      <w:marTop w:val="0"/>
      <w:marBottom w:val="0"/>
      <w:divBdr>
        <w:top w:val="none" w:sz="0" w:space="0" w:color="auto"/>
        <w:left w:val="none" w:sz="0" w:space="0" w:color="auto"/>
        <w:bottom w:val="none" w:sz="0" w:space="0" w:color="auto"/>
        <w:right w:val="none" w:sz="0" w:space="0" w:color="auto"/>
      </w:divBdr>
    </w:div>
    <w:div w:id="590820338">
      <w:bodyDiv w:val="1"/>
      <w:marLeft w:val="0"/>
      <w:marRight w:val="0"/>
      <w:marTop w:val="0"/>
      <w:marBottom w:val="0"/>
      <w:divBdr>
        <w:top w:val="none" w:sz="0" w:space="0" w:color="auto"/>
        <w:left w:val="none" w:sz="0" w:space="0" w:color="auto"/>
        <w:bottom w:val="none" w:sz="0" w:space="0" w:color="auto"/>
        <w:right w:val="none" w:sz="0" w:space="0" w:color="auto"/>
      </w:divBdr>
    </w:div>
    <w:div w:id="609317903">
      <w:bodyDiv w:val="1"/>
      <w:marLeft w:val="0"/>
      <w:marRight w:val="0"/>
      <w:marTop w:val="0"/>
      <w:marBottom w:val="0"/>
      <w:divBdr>
        <w:top w:val="none" w:sz="0" w:space="0" w:color="auto"/>
        <w:left w:val="none" w:sz="0" w:space="0" w:color="auto"/>
        <w:bottom w:val="none" w:sz="0" w:space="0" w:color="auto"/>
        <w:right w:val="none" w:sz="0" w:space="0" w:color="auto"/>
      </w:divBdr>
      <w:divsChild>
        <w:div w:id="645207910">
          <w:marLeft w:val="-300"/>
          <w:marRight w:val="-300"/>
          <w:marTop w:val="0"/>
          <w:marBottom w:val="0"/>
          <w:divBdr>
            <w:top w:val="none" w:sz="0" w:space="0" w:color="auto"/>
            <w:left w:val="none" w:sz="0" w:space="0" w:color="auto"/>
            <w:bottom w:val="none" w:sz="0" w:space="0" w:color="auto"/>
            <w:right w:val="none" w:sz="0" w:space="0" w:color="auto"/>
          </w:divBdr>
          <w:divsChild>
            <w:div w:id="15908282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pc.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finra.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EDBAD2289734D9F01E5FE1BE8F70D" ma:contentTypeVersion="7" ma:contentTypeDescription="Create a new document." ma:contentTypeScope="" ma:versionID="c44f6bbcaac2f382951e7e0aa5ce02e7">
  <xsd:schema xmlns:xsd="http://www.w3.org/2001/XMLSchema" xmlns:xs="http://www.w3.org/2001/XMLSchema" xmlns:p="http://schemas.microsoft.com/office/2006/metadata/properties" xmlns:ns2="1452bea1-3407-457e-9ca9-70ac4393898f" targetNamespace="http://schemas.microsoft.com/office/2006/metadata/properties" ma:root="true" ma:fieldsID="7055dde19b37f8dea42a05d6f5b2552d" ns2:_="">
    <xsd:import namespace="1452bea1-3407-457e-9ca9-70ac439389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2bea1-3407-457e-9ca9-70ac43938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0EBB3A-A28E-4854-9256-2E43E3574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2bea1-3407-457e-9ca9-70ac43938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2AF27B-1FDF-4E1F-A365-44E4C8E05ECE}">
  <ds:schemaRefs>
    <ds:schemaRef ds:uri="http://schemas.microsoft.com/sharepoint/v3/contenttype/forms"/>
  </ds:schemaRefs>
</ds:datastoreItem>
</file>

<file path=customXml/itemProps3.xml><?xml version="1.0" encoding="utf-8"?>
<ds:datastoreItem xmlns:ds="http://schemas.openxmlformats.org/officeDocument/2006/customXml" ds:itemID="{F8F67620-D2AC-4DA8-8816-DFFFB95365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National Financial Partners</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Fournier, Lindsey</dc:creator>
  <cp:lastModifiedBy>Charles Cavanagh</cp:lastModifiedBy>
  <cp:revision>2</cp:revision>
  <cp:lastPrinted>2020-01-13T23:33:00Z</cp:lastPrinted>
  <dcterms:created xsi:type="dcterms:W3CDTF">2020-04-03T19:45:00Z</dcterms:created>
  <dcterms:modified xsi:type="dcterms:W3CDTF">2020-04-03T19:45:00Z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0x010100EF0EDBAD2289734D9F01E5FE1BE8F70D</vt:lpwstr>
  </property>
</Properties>
</file>