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016BD166" w:rsidR="00140FB6" w:rsidRDefault="005C485D" w:rsidP="00640294">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CE0166">
        <w:rPr>
          <w:rFonts w:ascii="Arial" w:hAnsi="Arial" w:cs="Arial"/>
          <w:b/>
          <w:color w:val="0D304A"/>
          <w:sz w:val="72"/>
          <w:szCs w:val="72"/>
        </w:rPr>
        <w:t xml:space="preserve">June </w:t>
      </w:r>
      <w:r w:rsidR="00D03ACA">
        <w:rPr>
          <w:rFonts w:ascii="Arial" w:hAnsi="Arial" w:cs="Arial"/>
          <w:b/>
          <w:color w:val="0D304A"/>
          <w:sz w:val="72"/>
          <w:szCs w:val="72"/>
        </w:rPr>
        <w:t>13</w:t>
      </w:r>
      <w:r w:rsidR="00E56A40">
        <w:rPr>
          <w:rFonts w:ascii="Arial" w:hAnsi="Arial" w:cs="Arial"/>
          <w:b/>
          <w:color w:val="0D304A"/>
          <w:sz w:val="72"/>
          <w:szCs w:val="72"/>
        </w:rPr>
        <w:t>, 2022</w:t>
      </w:r>
    </w:p>
    <w:p w14:paraId="5430A771" w14:textId="77777777" w:rsidR="00140FB6" w:rsidRDefault="00140FB6" w:rsidP="00640294">
      <w:pPr>
        <w:contextualSpacing/>
        <w:rPr>
          <w:rFonts w:ascii="Arial" w:eastAsia="Times New Roman" w:hAnsi="Arial" w:cs="Arial"/>
          <w:i/>
          <w:iCs/>
          <w:color w:val="35DB86"/>
        </w:rPr>
      </w:pPr>
    </w:p>
    <w:p w14:paraId="7FDE1B9C" w14:textId="7D440DAD" w:rsidR="00140FB6" w:rsidRDefault="00140FB6" w:rsidP="00640294">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167191FD" w:rsidR="00A350B4" w:rsidRPr="00A350B4" w:rsidRDefault="002235F7" w:rsidP="00640294">
      <w:pPr>
        <w:contextualSpacing/>
        <w:rPr>
          <w:rFonts w:ascii="Arial" w:hAnsi="Arial" w:cs="Arial"/>
          <w:b/>
          <w:bCs/>
          <w:sz w:val="28"/>
          <w:szCs w:val="28"/>
        </w:rPr>
      </w:pPr>
      <w:r w:rsidRPr="00F14B79">
        <w:br/>
      </w:r>
      <w:r w:rsidR="00CE0166">
        <w:rPr>
          <w:rFonts w:ascii="Arial" w:hAnsi="Arial" w:cs="Arial"/>
          <w:b/>
          <w:bCs/>
          <w:color w:val="44546A" w:themeColor="text2"/>
          <w:sz w:val="28"/>
          <w:szCs w:val="28"/>
        </w:rPr>
        <w:t>06.</w:t>
      </w:r>
      <w:r w:rsidR="00D03ACA">
        <w:rPr>
          <w:rFonts w:ascii="Arial" w:hAnsi="Arial" w:cs="Arial"/>
          <w:b/>
          <w:bCs/>
          <w:color w:val="44546A" w:themeColor="text2"/>
          <w:sz w:val="28"/>
          <w:szCs w:val="28"/>
        </w:rPr>
        <w:t>13</w:t>
      </w:r>
      <w:r w:rsidR="00E56A40">
        <w:rPr>
          <w:rFonts w:ascii="Arial" w:hAnsi="Arial" w:cs="Arial"/>
          <w:b/>
          <w:bCs/>
          <w:color w:val="44546A" w:themeColor="text2"/>
          <w:sz w:val="28"/>
          <w:szCs w:val="28"/>
        </w:rPr>
        <w:t xml:space="preserve">.2022 </w:t>
      </w:r>
    </w:p>
    <w:p w14:paraId="6D64991B" w14:textId="77777777" w:rsidR="00212442" w:rsidRPr="00212442" w:rsidRDefault="00212442" w:rsidP="00640294">
      <w:pPr>
        <w:tabs>
          <w:tab w:val="left" w:pos="8550"/>
        </w:tabs>
        <w:contextualSpacing/>
        <w:jc w:val="center"/>
        <w:rPr>
          <w:rFonts w:ascii="Arial" w:eastAsia="Times New Roman" w:hAnsi="Arial" w:cs="Arial"/>
          <w:b/>
          <w:bCs/>
          <w:color w:val="639D3F"/>
          <w:sz w:val="32"/>
          <w:szCs w:val="32"/>
        </w:rPr>
      </w:pPr>
    </w:p>
    <w:p w14:paraId="1CE0AE0C" w14:textId="77777777" w:rsidR="00640294" w:rsidRPr="00640294" w:rsidRDefault="00640294" w:rsidP="00640294">
      <w:pPr>
        <w:tabs>
          <w:tab w:val="left" w:pos="8550"/>
        </w:tabs>
        <w:contextualSpacing/>
        <w:rPr>
          <w:rFonts w:ascii="Arial" w:eastAsia="Times New Roman" w:hAnsi="Arial" w:cs="Arial"/>
          <w:bCs/>
          <w:color w:val="35DB3F"/>
          <w:sz w:val="24"/>
          <w:szCs w:val="24"/>
        </w:rPr>
      </w:pPr>
      <w:r w:rsidRPr="00640294">
        <w:rPr>
          <w:rFonts w:ascii="Arial" w:eastAsia="Times New Roman" w:hAnsi="Arial" w:cs="Arial"/>
          <w:b/>
          <w:bCs/>
          <w:color w:val="0D304A"/>
          <w:sz w:val="28"/>
          <w:szCs w:val="28"/>
        </w:rPr>
        <w:t>The Markets</w:t>
      </w:r>
      <w:r w:rsidRPr="00640294">
        <w:rPr>
          <w:rFonts w:ascii="Arial" w:eastAsia="Times New Roman" w:hAnsi="Arial" w:cs="Arial"/>
          <w:bCs/>
          <w:color w:val="35DB3F"/>
          <w:sz w:val="24"/>
          <w:szCs w:val="24"/>
        </w:rPr>
        <w:t xml:space="preserve"> </w:t>
      </w:r>
    </w:p>
    <w:p w14:paraId="7281B648" w14:textId="77777777" w:rsidR="00640294" w:rsidRPr="00640294" w:rsidRDefault="00640294" w:rsidP="00640294">
      <w:pPr>
        <w:contextualSpacing/>
        <w:rPr>
          <w:rFonts w:ascii="Arial" w:eastAsia="Times New Roman" w:hAnsi="Arial" w:cs="Arial"/>
          <w:bCs/>
          <w:color w:val="000000"/>
        </w:rPr>
      </w:pPr>
    </w:p>
    <w:p w14:paraId="753AE3A3" w14:textId="6EBB9AFE" w:rsidR="00640294" w:rsidRPr="00640294" w:rsidRDefault="006C0ED9" w:rsidP="00640294">
      <w:pPr>
        <w:contextualSpacing/>
        <w:rPr>
          <w:rFonts w:ascii="Arial" w:eastAsia="Times New Roman" w:hAnsi="Arial" w:cs="Arial"/>
          <w:bCs/>
          <w:color w:val="000000"/>
        </w:rPr>
      </w:pPr>
      <w:r>
        <w:rPr>
          <w:rFonts w:ascii="Arial" w:eastAsia="Times New Roman" w:hAnsi="Arial" w:cs="Arial"/>
          <w:bCs/>
          <w:color w:val="000000"/>
        </w:rPr>
        <w:t>Not surprisingly, i</w:t>
      </w:r>
      <w:r w:rsidR="00640294" w:rsidRPr="00640294">
        <w:rPr>
          <w:rFonts w:ascii="Arial" w:eastAsia="Times New Roman" w:hAnsi="Arial" w:cs="Arial"/>
          <w:bCs/>
          <w:color w:val="000000"/>
        </w:rPr>
        <w:t xml:space="preserve">nflation is proving to be far more tenacious than markets had hoped. </w:t>
      </w:r>
    </w:p>
    <w:p w14:paraId="6F3BCB3D" w14:textId="77777777" w:rsidR="00640294" w:rsidRPr="00640294" w:rsidRDefault="00640294" w:rsidP="00640294">
      <w:pPr>
        <w:contextualSpacing/>
        <w:rPr>
          <w:rFonts w:ascii="Arial" w:eastAsia="Times New Roman" w:hAnsi="Arial" w:cs="Arial"/>
          <w:bCs/>
          <w:color w:val="000000"/>
        </w:rPr>
      </w:pPr>
    </w:p>
    <w:p w14:paraId="63F0DA12" w14:textId="77777777" w:rsidR="00640294" w:rsidRPr="00640294" w:rsidRDefault="00640294" w:rsidP="00640294">
      <w:pPr>
        <w:contextualSpacing/>
        <w:rPr>
          <w:rFonts w:ascii="Arial" w:eastAsia="Times New Roman" w:hAnsi="Arial" w:cs="Arial"/>
          <w:bCs/>
          <w:color w:val="000000"/>
        </w:rPr>
      </w:pPr>
      <w:r w:rsidRPr="00640294">
        <w:rPr>
          <w:rFonts w:ascii="Arial" w:eastAsia="Times New Roman" w:hAnsi="Arial" w:cs="Arial"/>
          <w:bCs/>
          <w:color w:val="000000"/>
        </w:rPr>
        <w:t>The idea that inflation peaked in March was put to rest last week when the Consumer Price Index (CPI) showed that inflation accelerated in May. Overall, prices were up 8.6 percent last month, an increase from April’s 8.3 percent. It was the highest inflation reading we’ve seen since December 1981.</w:t>
      </w:r>
    </w:p>
    <w:p w14:paraId="65A52D12" w14:textId="77777777" w:rsidR="00640294" w:rsidRPr="00640294" w:rsidRDefault="00640294" w:rsidP="00640294">
      <w:pPr>
        <w:contextualSpacing/>
        <w:rPr>
          <w:rFonts w:ascii="Arial" w:eastAsia="Times New Roman" w:hAnsi="Arial" w:cs="Arial"/>
          <w:bCs/>
          <w:color w:val="000000"/>
        </w:rPr>
      </w:pPr>
    </w:p>
    <w:p w14:paraId="0CBEFC16" w14:textId="77777777" w:rsidR="00640294" w:rsidRPr="00640294" w:rsidRDefault="00640294" w:rsidP="00640294">
      <w:pPr>
        <w:contextualSpacing/>
        <w:rPr>
          <w:rFonts w:ascii="Arial" w:eastAsia="Times New Roman" w:hAnsi="Arial" w:cs="Arial"/>
          <w:bCs/>
          <w:color w:val="000000"/>
        </w:rPr>
      </w:pPr>
      <w:r w:rsidRPr="00640294">
        <w:rPr>
          <w:rFonts w:ascii="Arial" w:eastAsia="Times New Roman" w:hAnsi="Arial" w:cs="Arial"/>
          <w:bCs/>
          <w:color w:val="000000"/>
        </w:rPr>
        <w:t xml:space="preserve">With inflation rising, the Federal Reserve will continue to aggressively raise the federal funds rate. There is a 50-50 chance the Fed will raise rates by 0.75 percent in July (rather than 0.50 percent), and some economists say there could be a 0.75% hike this week when the Fed meets, reported Scott </w:t>
      </w:r>
      <w:proofErr w:type="spellStart"/>
      <w:r w:rsidRPr="00640294">
        <w:rPr>
          <w:rFonts w:ascii="Arial" w:eastAsia="Times New Roman" w:hAnsi="Arial" w:cs="Arial"/>
          <w:bCs/>
          <w:color w:val="000000"/>
        </w:rPr>
        <w:t>Lanman</w:t>
      </w:r>
      <w:proofErr w:type="spellEnd"/>
      <w:r w:rsidRPr="00640294">
        <w:rPr>
          <w:rFonts w:ascii="Arial" w:eastAsia="Times New Roman" w:hAnsi="Arial" w:cs="Arial"/>
          <w:bCs/>
          <w:color w:val="000000"/>
        </w:rPr>
        <w:t xml:space="preserve"> and Kristin Aquino of </w:t>
      </w:r>
      <w:r w:rsidRPr="00640294">
        <w:rPr>
          <w:rFonts w:ascii="Arial" w:eastAsia="Times New Roman" w:hAnsi="Arial" w:cs="Arial"/>
          <w:bCs/>
          <w:i/>
          <w:iCs/>
          <w:color w:val="000000"/>
        </w:rPr>
        <w:t>Bloomberg</w:t>
      </w:r>
      <w:r w:rsidRPr="00640294">
        <w:rPr>
          <w:rFonts w:ascii="Arial" w:eastAsia="Times New Roman" w:hAnsi="Arial" w:cs="Arial"/>
          <w:bCs/>
          <w:color w:val="000000"/>
        </w:rPr>
        <w:t>.</w:t>
      </w:r>
    </w:p>
    <w:p w14:paraId="15D984BA" w14:textId="77777777" w:rsidR="00640294" w:rsidRPr="00640294" w:rsidRDefault="00640294" w:rsidP="00640294">
      <w:pPr>
        <w:contextualSpacing/>
        <w:rPr>
          <w:rFonts w:ascii="Arial" w:eastAsia="Times New Roman" w:hAnsi="Arial" w:cs="Arial"/>
          <w:bCs/>
          <w:color w:val="000000"/>
        </w:rPr>
      </w:pPr>
    </w:p>
    <w:p w14:paraId="54C597E7" w14:textId="77777777" w:rsidR="00640294" w:rsidRPr="00640294" w:rsidRDefault="00640294" w:rsidP="00640294">
      <w:pPr>
        <w:contextualSpacing/>
        <w:rPr>
          <w:rFonts w:ascii="Arial" w:eastAsia="Times New Roman" w:hAnsi="Arial" w:cs="Arial"/>
          <w:bCs/>
          <w:color w:val="000000"/>
          <w:vertAlign w:val="superscript"/>
        </w:rPr>
      </w:pPr>
      <w:r w:rsidRPr="00640294">
        <w:rPr>
          <w:rFonts w:ascii="Arial" w:eastAsia="Times New Roman" w:hAnsi="Arial" w:cs="Arial"/>
          <w:bCs/>
          <w:color w:val="000000"/>
        </w:rPr>
        <w:t xml:space="preserve">The inflation news unsettled already volatile stock and bond markets. Major U.S. stock indices declined last week as investors reassessed the potential impact of higher interest rates and inflation on company earnings and share prices, reported Randall W. Forsyth of </w:t>
      </w:r>
      <w:r w:rsidRPr="00640294">
        <w:rPr>
          <w:rFonts w:ascii="Arial" w:eastAsia="Times New Roman" w:hAnsi="Arial" w:cs="Arial"/>
          <w:bCs/>
          <w:i/>
          <w:iCs/>
          <w:color w:val="000000"/>
        </w:rPr>
        <w:t>Barron’s</w:t>
      </w:r>
      <w:r w:rsidRPr="00640294">
        <w:rPr>
          <w:rFonts w:ascii="Arial" w:eastAsia="Times New Roman" w:hAnsi="Arial" w:cs="Arial"/>
          <w:bCs/>
          <w:color w:val="000000"/>
        </w:rPr>
        <w:t xml:space="preserve">. The Treasury yield curve flattened a bit as the yield on two-year Treasuries rose to a multi-year high, reported Jacob </w:t>
      </w:r>
      <w:proofErr w:type="spellStart"/>
      <w:r w:rsidRPr="00640294">
        <w:rPr>
          <w:rFonts w:ascii="Arial" w:eastAsia="Times New Roman" w:hAnsi="Arial" w:cs="Arial"/>
          <w:bCs/>
          <w:color w:val="000000"/>
        </w:rPr>
        <w:t>Sonenshine</w:t>
      </w:r>
      <w:proofErr w:type="spellEnd"/>
      <w:r w:rsidRPr="00640294">
        <w:rPr>
          <w:rFonts w:ascii="Arial" w:eastAsia="Times New Roman" w:hAnsi="Arial" w:cs="Arial"/>
          <w:bCs/>
          <w:color w:val="000000"/>
        </w:rPr>
        <w:t xml:space="preserve"> and Jack Denton of </w:t>
      </w:r>
      <w:r w:rsidRPr="00640294">
        <w:rPr>
          <w:rFonts w:ascii="Arial" w:eastAsia="Times New Roman" w:hAnsi="Arial" w:cs="Arial"/>
          <w:bCs/>
          <w:i/>
          <w:iCs/>
          <w:color w:val="000000"/>
        </w:rPr>
        <w:t>Barron’s</w:t>
      </w:r>
      <w:r w:rsidRPr="00640294">
        <w:rPr>
          <w:rFonts w:ascii="Arial" w:eastAsia="Times New Roman" w:hAnsi="Arial" w:cs="Arial"/>
          <w:bCs/>
          <w:color w:val="000000"/>
        </w:rPr>
        <w:t>. The benchmark 10-year Treasury Note finished the week yielding more than 3 percent.</w:t>
      </w:r>
    </w:p>
    <w:p w14:paraId="3B616BEF" w14:textId="77777777" w:rsidR="00640294" w:rsidRPr="00640294" w:rsidRDefault="00640294" w:rsidP="00640294">
      <w:pPr>
        <w:contextualSpacing/>
        <w:rPr>
          <w:rFonts w:ascii="Arial" w:eastAsia="Times New Roman" w:hAnsi="Arial" w:cs="Arial"/>
          <w:bCs/>
          <w:color w:val="000000"/>
        </w:rPr>
      </w:pPr>
    </w:p>
    <w:p w14:paraId="237682B2" w14:textId="77777777" w:rsidR="00640294" w:rsidRPr="00640294" w:rsidRDefault="00640294" w:rsidP="00640294">
      <w:pPr>
        <w:contextualSpacing/>
        <w:rPr>
          <w:rFonts w:ascii="Arial" w:eastAsia="Times New Roman" w:hAnsi="Arial" w:cs="Arial"/>
          <w:bCs/>
          <w:color w:val="000000"/>
          <w:vertAlign w:val="superscript"/>
        </w:rPr>
      </w:pPr>
      <w:r w:rsidRPr="00640294">
        <w:rPr>
          <w:rFonts w:ascii="Arial" w:eastAsia="Times New Roman" w:hAnsi="Arial" w:cs="Arial"/>
          <w:bCs/>
          <w:color w:val="000000"/>
        </w:rPr>
        <w:t>There was a hint of good news in the report. The core CPI, which excludes food and energy prices because they are volatile and can distort pricing trends, is trending lower. It dropped from 6.5 percent in March to 6.2 percent in April and 6.0 percent in May.</w:t>
      </w:r>
    </w:p>
    <w:p w14:paraId="1480BC76" w14:textId="77777777" w:rsidR="00640294" w:rsidRPr="00640294" w:rsidRDefault="00640294" w:rsidP="00640294">
      <w:pPr>
        <w:contextualSpacing/>
        <w:rPr>
          <w:rFonts w:ascii="Arial" w:eastAsia="Times New Roman" w:hAnsi="Arial" w:cs="Arial"/>
          <w:bCs/>
          <w:color w:val="000000"/>
        </w:rPr>
      </w:pPr>
    </w:p>
    <w:p w14:paraId="29CAAD85" w14:textId="77777777" w:rsidR="00640294" w:rsidRPr="00640294" w:rsidRDefault="00640294" w:rsidP="00640294">
      <w:pPr>
        <w:contextualSpacing/>
        <w:rPr>
          <w:rFonts w:ascii="Arial" w:eastAsia="Times New Roman" w:hAnsi="Arial" w:cs="Arial"/>
          <w:bCs/>
          <w:color w:val="000000"/>
        </w:rPr>
      </w:pPr>
      <w:r w:rsidRPr="00640294">
        <w:rPr>
          <w:rFonts w:ascii="Arial" w:eastAsia="Times New Roman" w:hAnsi="Arial" w:cs="Arial"/>
          <w:bCs/>
          <w:color w:val="000000"/>
        </w:rPr>
        <w:t>The Federal Reserve’s favored inflation gauge is the Personal Consumption Price (PCE) Index, which will be released on June 30.</w:t>
      </w:r>
    </w:p>
    <w:p w14:paraId="5F6F9910" w14:textId="77777777" w:rsidR="00640294" w:rsidRPr="00640294" w:rsidRDefault="00640294" w:rsidP="00640294">
      <w:pPr>
        <w:contextualSpacing/>
        <w:rPr>
          <w:rFonts w:ascii="Arial" w:eastAsia="Times New Roman" w:hAnsi="Arial" w:cs="Arial"/>
          <w:bCs/>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640294" w:rsidRPr="00640294" w14:paraId="3AEFEC6A" w14:textId="77777777" w:rsidTr="0003770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FDB2B" w14:textId="77777777" w:rsidR="00640294" w:rsidRPr="00640294" w:rsidRDefault="00640294" w:rsidP="00640294">
            <w:pPr>
              <w:tabs>
                <w:tab w:val="left" w:pos="8550"/>
              </w:tabs>
              <w:contextualSpacing/>
              <w:jc w:val="center"/>
              <w:rPr>
                <w:rFonts w:ascii="Arial" w:eastAsia="Times New Roman" w:hAnsi="Arial" w:cs="Arial"/>
                <w:b/>
                <w:bCs/>
                <w:color w:val="000000"/>
              </w:rPr>
            </w:pPr>
            <w:r w:rsidRPr="00640294">
              <w:rPr>
                <w:rFonts w:ascii="Arial" w:eastAsia="Times New Roman" w:hAnsi="Arial" w:cs="Arial"/>
                <w:color w:val="000000"/>
              </w:rPr>
              <w:br w:type="page"/>
            </w:r>
            <w:r w:rsidRPr="00640294">
              <w:rPr>
                <w:rFonts w:ascii="Arial" w:eastAsia="Times New Roman" w:hAnsi="Arial" w:cs="Arial"/>
                <w:b/>
                <w:bCs/>
                <w:color w:val="000000"/>
              </w:rPr>
              <w:t>Data as of 6/10/22</w:t>
            </w:r>
          </w:p>
        </w:tc>
        <w:tc>
          <w:tcPr>
            <w:tcW w:w="990" w:type="dxa"/>
            <w:tcBorders>
              <w:top w:val="single" w:sz="4" w:space="0" w:color="auto"/>
              <w:left w:val="nil"/>
              <w:bottom w:val="single" w:sz="4" w:space="0" w:color="auto"/>
              <w:right w:val="single" w:sz="4" w:space="0" w:color="auto"/>
            </w:tcBorders>
            <w:vAlign w:val="center"/>
          </w:tcPr>
          <w:p w14:paraId="2D97F117" w14:textId="77777777" w:rsidR="00640294" w:rsidRPr="00640294" w:rsidRDefault="00640294" w:rsidP="00640294">
            <w:pPr>
              <w:tabs>
                <w:tab w:val="left" w:pos="8550"/>
              </w:tabs>
              <w:contextualSpacing/>
              <w:jc w:val="center"/>
              <w:rPr>
                <w:rFonts w:ascii="Arial" w:eastAsia="Times New Roman" w:hAnsi="Arial" w:cs="Arial"/>
                <w:b/>
                <w:bCs/>
                <w:color w:val="000000"/>
              </w:rPr>
            </w:pPr>
            <w:r w:rsidRPr="00640294">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8CB7C" w14:textId="77777777" w:rsidR="00640294" w:rsidRPr="00640294" w:rsidRDefault="00640294" w:rsidP="00640294">
            <w:pPr>
              <w:tabs>
                <w:tab w:val="left" w:pos="8550"/>
              </w:tabs>
              <w:contextualSpacing/>
              <w:jc w:val="center"/>
              <w:rPr>
                <w:rFonts w:ascii="Arial" w:eastAsia="Times New Roman" w:hAnsi="Arial" w:cs="Arial"/>
                <w:b/>
                <w:bCs/>
                <w:color w:val="000000"/>
              </w:rPr>
            </w:pPr>
            <w:r w:rsidRPr="00640294">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731C81" w14:textId="77777777" w:rsidR="00640294" w:rsidRPr="00640294" w:rsidRDefault="00640294" w:rsidP="00640294">
            <w:pPr>
              <w:tabs>
                <w:tab w:val="left" w:pos="8550"/>
              </w:tabs>
              <w:contextualSpacing/>
              <w:jc w:val="center"/>
              <w:rPr>
                <w:rFonts w:ascii="Arial" w:eastAsia="Times New Roman" w:hAnsi="Arial" w:cs="Arial"/>
                <w:b/>
                <w:bCs/>
                <w:color w:val="000000"/>
              </w:rPr>
            </w:pPr>
            <w:r w:rsidRPr="00640294">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58194D24" w14:textId="77777777" w:rsidR="00640294" w:rsidRPr="00640294" w:rsidRDefault="00640294" w:rsidP="00640294">
            <w:pPr>
              <w:tabs>
                <w:tab w:val="left" w:pos="8550"/>
              </w:tabs>
              <w:contextualSpacing/>
              <w:jc w:val="center"/>
              <w:rPr>
                <w:rFonts w:ascii="Arial" w:eastAsia="Times New Roman" w:hAnsi="Arial" w:cs="Arial"/>
                <w:b/>
                <w:bCs/>
                <w:color w:val="000000"/>
              </w:rPr>
            </w:pPr>
            <w:r w:rsidRPr="00640294">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DB13478" w14:textId="77777777" w:rsidR="00640294" w:rsidRPr="00640294" w:rsidRDefault="00640294" w:rsidP="00640294">
            <w:pPr>
              <w:tabs>
                <w:tab w:val="left" w:pos="8550"/>
              </w:tabs>
              <w:contextualSpacing/>
              <w:jc w:val="center"/>
              <w:rPr>
                <w:rFonts w:ascii="Arial" w:eastAsia="Times New Roman" w:hAnsi="Arial" w:cs="Arial"/>
                <w:b/>
                <w:bCs/>
                <w:color w:val="000000"/>
              </w:rPr>
            </w:pPr>
            <w:r w:rsidRPr="00640294">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36C9FD" w14:textId="77777777" w:rsidR="00640294" w:rsidRPr="00640294" w:rsidRDefault="00640294" w:rsidP="00640294">
            <w:pPr>
              <w:tabs>
                <w:tab w:val="left" w:pos="8550"/>
              </w:tabs>
              <w:contextualSpacing/>
              <w:jc w:val="center"/>
              <w:rPr>
                <w:rFonts w:ascii="Arial" w:eastAsia="Times New Roman" w:hAnsi="Arial" w:cs="Arial"/>
                <w:b/>
                <w:bCs/>
                <w:color w:val="000000"/>
              </w:rPr>
            </w:pPr>
            <w:r w:rsidRPr="00640294">
              <w:rPr>
                <w:rFonts w:ascii="Arial" w:eastAsia="Times New Roman" w:hAnsi="Arial" w:cs="Arial"/>
                <w:b/>
                <w:bCs/>
                <w:color w:val="000000"/>
              </w:rPr>
              <w:t>10-Year</w:t>
            </w:r>
          </w:p>
        </w:tc>
      </w:tr>
      <w:tr w:rsidR="00640294" w:rsidRPr="00640294" w14:paraId="72C4F9DC" w14:textId="77777777" w:rsidTr="00037704">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14D81F1" w14:textId="77777777" w:rsidR="00640294" w:rsidRPr="00640294" w:rsidRDefault="00640294" w:rsidP="00640294">
            <w:pPr>
              <w:tabs>
                <w:tab w:val="left" w:pos="8550"/>
              </w:tabs>
              <w:contextualSpacing/>
              <w:rPr>
                <w:rFonts w:ascii="Arial" w:eastAsia="Times New Roman" w:hAnsi="Arial" w:cs="Arial"/>
              </w:rPr>
            </w:pPr>
            <w:r w:rsidRPr="00640294">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357EAF73"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-5.1%</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581DB1C2"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-18.2%</w:t>
            </w:r>
          </w:p>
        </w:tc>
        <w:tc>
          <w:tcPr>
            <w:tcW w:w="990" w:type="dxa"/>
            <w:tcBorders>
              <w:top w:val="nil"/>
              <w:left w:val="nil"/>
              <w:bottom w:val="single" w:sz="4" w:space="0" w:color="auto"/>
              <w:right w:val="single" w:sz="4" w:space="0" w:color="auto"/>
            </w:tcBorders>
            <w:shd w:val="clear" w:color="auto" w:fill="auto"/>
            <w:noWrap/>
            <w:vAlign w:val="center"/>
          </w:tcPr>
          <w:p w14:paraId="0639374C"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-8.0%</w:t>
            </w:r>
          </w:p>
        </w:tc>
        <w:tc>
          <w:tcPr>
            <w:tcW w:w="900" w:type="dxa"/>
            <w:tcBorders>
              <w:top w:val="single" w:sz="4" w:space="0" w:color="auto"/>
              <w:left w:val="nil"/>
              <w:bottom w:val="single" w:sz="4" w:space="0" w:color="auto"/>
              <w:right w:val="single" w:sz="4" w:space="0" w:color="auto"/>
            </w:tcBorders>
            <w:shd w:val="clear" w:color="auto" w:fill="auto"/>
            <w:vAlign w:val="center"/>
          </w:tcPr>
          <w:p w14:paraId="5C0B0D97"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10.6%</w:t>
            </w:r>
          </w:p>
        </w:tc>
        <w:tc>
          <w:tcPr>
            <w:tcW w:w="900" w:type="dxa"/>
            <w:tcBorders>
              <w:top w:val="nil"/>
              <w:left w:val="single" w:sz="4" w:space="0" w:color="auto"/>
              <w:bottom w:val="single" w:sz="4" w:space="0" w:color="auto"/>
              <w:right w:val="single" w:sz="4" w:space="0" w:color="auto"/>
            </w:tcBorders>
            <w:shd w:val="clear" w:color="auto" w:fill="auto"/>
            <w:vAlign w:val="center"/>
          </w:tcPr>
          <w:p w14:paraId="2F152F6D"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9.9%</w:t>
            </w:r>
          </w:p>
        </w:tc>
        <w:tc>
          <w:tcPr>
            <w:tcW w:w="1080" w:type="dxa"/>
            <w:tcBorders>
              <w:top w:val="nil"/>
              <w:left w:val="single" w:sz="4" w:space="0" w:color="auto"/>
              <w:bottom w:val="single" w:sz="4" w:space="0" w:color="auto"/>
              <w:right w:val="single" w:sz="4" w:space="0" w:color="auto"/>
            </w:tcBorders>
            <w:shd w:val="clear" w:color="auto" w:fill="auto"/>
            <w:vAlign w:val="center"/>
          </w:tcPr>
          <w:p w14:paraId="5AC92CB5"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11.5%</w:t>
            </w:r>
          </w:p>
        </w:tc>
      </w:tr>
      <w:tr w:rsidR="00640294" w:rsidRPr="00640294" w14:paraId="7CBD63A5" w14:textId="77777777" w:rsidTr="0003770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27286" w14:textId="77777777" w:rsidR="00640294" w:rsidRPr="00640294" w:rsidRDefault="00640294" w:rsidP="00640294">
            <w:pPr>
              <w:tabs>
                <w:tab w:val="left" w:pos="8550"/>
              </w:tabs>
              <w:contextualSpacing/>
              <w:rPr>
                <w:rFonts w:ascii="Arial" w:eastAsia="Times New Roman" w:hAnsi="Arial" w:cs="Arial"/>
              </w:rPr>
            </w:pPr>
            <w:r w:rsidRPr="00640294">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1DE02D10"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-3.5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D82FF" w14:textId="77777777" w:rsidR="00640294" w:rsidRPr="00640294" w:rsidRDefault="00640294" w:rsidP="00640294">
            <w:pPr>
              <w:tabs>
                <w:tab w:val="left" w:pos="263"/>
                <w:tab w:val="center" w:pos="372"/>
                <w:tab w:val="left" w:pos="8550"/>
              </w:tabs>
              <w:contextualSpacing/>
              <w:jc w:val="center"/>
              <w:rPr>
                <w:rFonts w:ascii="Arial" w:eastAsia="Times New Roman" w:hAnsi="Arial" w:cs="Arial"/>
              </w:rPr>
            </w:pPr>
            <w:r w:rsidRPr="00640294">
              <w:rPr>
                <w:rFonts w:ascii="Arial" w:eastAsia="Times New Roman" w:hAnsi="Arial" w:cs="Arial"/>
              </w:rPr>
              <w:t>-16.1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90755B7"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-19.3</w:t>
            </w:r>
          </w:p>
        </w:tc>
        <w:tc>
          <w:tcPr>
            <w:tcW w:w="900" w:type="dxa"/>
            <w:tcBorders>
              <w:top w:val="single" w:sz="4" w:space="0" w:color="auto"/>
              <w:left w:val="nil"/>
              <w:bottom w:val="single" w:sz="4" w:space="0" w:color="auto"/>
              <w:right w:val="single" w:sz="4" w:space="0" w:color="auto"/>
            </w:tcBorders>
            <w:shd w:val="clear" w:color="auto" w:fill="auto"/>
            <w:vAlign w:val="center"/>
          </w:tcPr>
          <w:p w14:paraId="69702897"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1.8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ED22444"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C5FE66"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3.6</w:t>
            </w:r>
          </w:p>
        </w:tc>
      </w:tr>
      <w:tr w:rsidR="00640294" w:rsidRPr="00640294" w14:paraId="3AE11E99" w14:textId="77777777" w:rsidTr="0003770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4B3EB" w14:textId="77777777" w:rsidR="00640294" w:rsidRPr="00640294" w:rsidRDefault="00640294" w:rsidP="00640294">
            <w:pPr>
              <w:tabs>
                <w:tab w:val="left" w:pos="8550"/>
              </w:tabs>
              <w:contextualSpacing/>
              <w:rPr>
                <w:rFonts w:ascii="Arial" w:eastAsia="Times New Roman" w:hAnsi="Arial" w:cs="Arial"/>
              </w:rPr>
            </w:pPr>
            <w:r w:rsidRPr="00640294">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31970554"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3.2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441E2" w14:textId="77777777" w:rsidR="00640294" w:rsidRPr="00640294" w:rsidRDefault="00640294" w:rsidP="00640294">
            <w:pPr>
              <w:tabs>
                <w:tab w:val="left" w:pos="263"/>
                <w:tab w:val="center" w:pos="372"/>
                <w:tab w:val="left" w:pos="8550"/>
              </w:tabs>
              <w:contextualSpacing/>
              <w:jc w:val="center"/>
              <w:rPr>
                <w:rFonts w:ascii="Arial" w:eastAsia="Times New Roman" w:hAnsi="Arial" w:cs="Arial"/>
              </w:rPr>
            </w:pPr>
            <w:r w:rsidRPr="00640294">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35030D3"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1.5</w:t>
            </w:r>
          </w:p>
        </w:tc>
        <w:tc>
          <w:tcPr>
            <w:tcW w:w="900" w:type="dxa"/>
            <w:tcBorders>
              <w:top w:val="single" w:sz="4" w:space="0" w:color="auto"/>
              <w:left w:val="nil"/>
              <w:bottom w:val="single" w:sz="4" w:space="0" w:color="auto"/>
              <w:right w:val="single" w:sz="4" w:space="0" w:color="auto"/>
            </w:tcBorders>
            <w:shd w:val="clear" w:color="auto" w:fill="auto"/>
            <w:vAlign w:val="center"/>
          </w:tcPr>
          <w:p w14:paraId="166DF190"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2D8CBCD"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0F2A93"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1.6</w:t>
            </w:r>
          </w:p>
        </w:tc>
      </w:tr>
      <w:tr w:rsidR="00640294" w:rsidRPr="00640294" w14:paraId="4ADF0F3F" w14:textId="77777777" w:rsidTr="0003770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F9B36" w14:textId="77777777" w:rsidR="00640294" w:rsidRPr="00640294" w:rsidRDefault="00640294" w:rsidP="00640294">
            <w:pPr>
              <w:tabs>
                <w:tab w:val="left" w:pos="8550"/>
              </w:tabs>
              <w:contextualSpacing/>
              <w:rPr>
                <w:rFonts w:ascii="Arial" w:eastAsia="Times New Roman" w:hAnsi="Arial" w:cs="Arial"/>
              </w:rPr>
            </w:pPr>
            <w:r w:rsidRPr="00640294">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13D25956"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-0.8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9EF3E"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0.5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31BDD71"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-3.1</w:t>
            </w:r>
          </w:p>
        </w:tc>
        <w:tc>
          <w:tcPr>
            <w:tcW w:w="900" w:type="dxa"/>
            <w:tcBorders>
              <w:top w:val="single" w:sz="4" w:space="0" w:color="auto"/>
              <w:left w:val="nil"/>
              <w:bottom w:val="single" w:sz="4" w:space="0" w:color="auto"/>
              <w:right w:val="single" w:sz="4" w:space="0" w:color="auto"/>
            </w:tcBorders>
            <w:shd w:val="clear" w:color="auto" w:fill="auto"/>
            <w:vAlign w:val="center"/>
          </w:tcPr>
          <w:p w14:paraId="5F0AE934"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11.3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0A14FBA"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7C6944"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1.5</w:t>
            </w:r>
          </w:p>
        </w:tc>
      </w:tr>
      <w:tr w:rsidR="00640294" w:rsidRPr="00640294" w14:paraId="3311E780" w14:textId="77777777" w:rsidTr="0003770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8D0E8" w14:textId="77777777" w:rsidR="00640294" w:rsidRPr="00640294" w:rsidRDefault="00640294" w:rsidP="00640294">
            <w:pPr>
              <w:tabs>
                <w:tab w:val="left" w:pos="8550"/>
              </w:tabs>
              <w:contextualSpacing/>
              <w:rPr>
                <w:rFonts w:ascii="Arial" w:eastAsia="Times New Roman" w:hAnsi="Arial" w:cs="Arial"/>
              </w:rPr>
            </w:pPr>
            <w:r w:rsidRPr="00640294">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6C533922"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1.2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3B9EC"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36.6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2C07438"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42.5</w:t>
            </w:r>
          </w:p>
        </w:tc>
        <w:tc>
          <w:tcPr>
            <w:tcW w:w="900" w:type="dxa"/>
            <w:tcBorders>
              <w:top w:val="single" w:sz="4" w:space="0" w:color="auto"/>
              <w:left w:val="nil"/>
              <w:bottom w:val="single" w:sz="4" w:space="0" w:color="auto"/>
              <w:right w:val="single" w:sz="4" w:space="0" w:color="auto"/>
            </w:tcBorders>
            <w:shd w:val="clear" w:color="auto" w:fill="auto"/>
            <w:vAlign w:val="center"/>
          </w:tcPr>
          <w:p w14:paraId="4C3747E2"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20.7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FCD8423"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10.7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532728" w14:textId="77777777" w:rsidR="00640294" w:rsidRPr="00640294" w:rsidRDefault="00640294" w:rsidP="00640294">
            <w:pPr>
              <w:tabs>
                <w:tab w:val="left" w:pos="8550"/>
              </w:tabs>
              <w:contextualSpacing/>
              <w:jc w:val="center"/>
              <w:rPr>
                <w:rFonts w:ascii="Arial" w:eastAsia="Times New Roman" w:hAnsi="Arial" w:cs="Arial"/>
              </w:rPr>
            </w:pPr>
            <w:r w:rsidRPr="00640294">
              <w:rPr>
                <w:rFonts w:ascii="Arial" w:eastAsia="Times New Roman" w:hAnsi="Arial" w:cs="Arial"/>
              </w:rPr>
              <w:t>0.5</w:t>
            </w:r>
          </w:p>
        </w:tc>
      </w:tr>
    </w:tbl>
    <w:p w14:paraId="50EAD54B" w14:textId="77777777" w:rsidR="00640294" w:rsidRPr="00640294" w:rsidRDefault="00640294" w:rsidP="00640294">
      <w:pPr>
        <w:contextualSpacing/>
        <w:rPr>
          <w:rFonts w:ascii="Arial" w:eastAsia="Times New Roman" w:hAnsi="Arial" w:cs="Arial"/>
          <w:sz w:val="18"/>
          <w:szCs w:val="18"/>
        </w:rPr>
      </w:pPr>
      <w:r w:rsidRPr="00640294">
        <w:rPr>
          <w:rFonts w:ascii="Arial" w:eastAsia="Times New Roman" w:hAnsi="Arial" w:cs="Arial"/>
          <w:sz w:val="18"/>
          <w:szCs w:val="18"/>
        </w:rPr>
        <w:lastRenderedPageBreak/>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C057623" w14:textId="77777777" w:rsidR="00640294" w:rsidRPr="00640294" w:rsidRDefault="00640294" w:rsidP="00640294">
      <w:pPr>
        <w:contextualSpacing/>
        <w:rPr>
          <w:rFonts w:ascii="Arial" w:eastAsia="Times New Roman" w:hAnsi="Arial" w:cs="Arial"/>
          <w:sz w:val="18"/>
          <w:szCs w:val="18"/>
        </w:rPr>
      </w:pPr>
      <w:r w:rsidRPr="00640294">
        <w:rPr>
          <w:rFonts w:ascii="Arial" w:eastAsia="Times New Roman" w:hAnsi="Arial" w:cs="Arial"/>
          <w:sz w:val="18"/>
          <w:szCs w:val="18"/>
        </w:rPr>
        <w:t>Sources: Yahoo! Finance; MarketWatch; djindexes.com; U.S. Treasury; London Bullion Market Association.</w:t>
      </w:r>
    </w:p>
    <w:p w14:paraId="5891F906" w14:textId="77777777" w:rsidR="00640294" w:rsidRPr="00640294" w:rsidRDefault="00640294" w:rsidP="00640294">
      <w:pPr>
        <w:contextualSpacing/>
        <w:rPr>
          <w:rFonts w:ascii="Arial" w:eastAsia="Times New Roman" w:hAnsi="Arial" w:cs="Arial"/>
          <w:sz w:val="18"/>
          <w:szCs w:val="18"/>
        </w:rPr>
      </w:pPr>
      <w:r w:rsidRPr="00640294">
        <w:rPr>
          <w:rFonts w:ascii="Arial" w:eastAsia="Times New Roman" w:hAnsi="Arial" w:cs="Arial"/>
          <w:sz w:val="18"/>
          <w:szCs w:val="18"/>
        </w:rPr>
        <w:t>Past performance is no guarantee of future results. Indices are unmanaged and cannot be invested into directly. N/A means not applicable.</w:t>
      </w:r>
    </w:p>
    <w:p w14:paraId="730B52FD" w14:textId="77777777" w:rsidR="00640294" w:rsidRPr="00640294" w:rsidRDefault="00640294" w:rsidP="00640294">
      <w:pPr>
        <w:contextualSpacing/>
        <w:rPr>
          <w:rFonts w:ascii="Arial" w:eastAsia="Times New Roman" w:hAnsi="Arial" w:cs="Arial"/>
        </w:rPr>
      </w:pPr>
    </w:p>
    <w:p w14:paraId="147B9EC3" w14:textId="36F3B3B4" w:rsidR="00640294" w:rsidRPr="00F71D40" w:rsidRDefault="00640294" w:rsidP="00CF5DBD">
      <w:pPr>
        <w:contextualSpacing/>
        <w:rPr>
          <w:rFonts w:ascii="Arial" w:eastAsia="Times New Roman" w:hAnsi="Arial" w:cs="Arial"/>
          <w:b/>
          <w:bCs/>
          <w:color w:val="000000"/>
        </w:rPr>
      </w:pPr>
      <w:r w:rsidRPr="00640294">
        <w:rPr>
          <w:rFonts w:ascii="Arial" w:eastAsia="Times New Roman" w:hAnsi="Arial" w:cs="Arial"/>
          <w:b/>
          <w:bCs/>
          <w:color w:val="0D304A"/>
        </w:rPr>
        <w:t xml:space="preserve">COPING WITH A BEAR MARKET IS NOT EASY. </w:t>
      </w:r>
      <w:r w:rsidRPr="00640294">
        <w:rPr>
          <w:rFonts w:ascii="Arial" w:eastAsia="Times New Roman" w:hAnsi="Arial" w:cs="Arial"/>
          <w:color w:val="000000"/>
        </w:rPr>
        <w:t>A bear market occurs when stocks have declined in value by 20 percent or more.</w:t>
      </w:r>
      <w:r w:rsidR="000176D4">
        <w:rPr>
          <w:rFonts w:ascii="Arial" w:eastAsia="Times New Roman" w:hAnsi="Arial" w:cs="Arial"/>
          <w:color w:val="000000"/>
        </w:rPr>
        <w:t xml:space="preserve"> </w:t>
      </w:r>
      <w:r w:rsidR="00CF5DBD">
        <w:rPr>
          <w:rFonts w:ascii="Arial" w:eastAsia="Times New Roman" w:hAnsi="Arial" w:cs="Arial"/>
          <w:color w:val="000000"/>
        </w:rPr>
        <w:t xml:space="preserve">While it’s easy to see the potential damage caused by bear markets, it is also true that they have historically been followed by growth opportunities for those who were prepared to take advantage of them.     </w:t>
      </w:r>
    </w:p>
    <w:p w14:paraId="65865336" w14:textId="77777777" w:rsidR="00640294" w:rsidRPr="00640294" w:rsidRDefault="00640294" w:rsidP="00640294">
      <w:pPr>
        <w:contextualSpacing/>
        <w:rPr>
          <w:rFonts w:ascii="Arial" w:eastAsia="Times New Roman" w:hAnsi="Arial" w:cs="Arial"/>
          <w:color w:val="000000"/>
        </w:rPr>
      </w:pPr>
    </w:p>
    <w:p w14:paraId="0E72E1B2" w14:textId="12285968" w:rsidR="00640294" w:rsidRPr="00640294" w:rsidRDefault="00EE6028" w:rsidP="00F71D40">
      <w:pPr>
        <w:contextualSpacing/>
        <w:rPr>
          <w:rFonts w:ascii="Arial" w:eastAsia="Times New Roman" w:hAnsi="Arial" w:cs="Arial"/>
          <w:b/>
          <w:bCs/>
          <w:color w:val="000000"/>
        </w:rPr>
      </w:pPr>
      <w:r>
        <w:rPr>
          <w:rFonts w:ascii="Arial" w:eastAsia="Times New Roman" w:hAnsi="Arial" w:cs="Arial"/>
          <w:color w:val="000000"/>
        </w:rPr>
        <w:t>D</w:t>
      </w:r>
      <w:r w:rsidR="00640294" w:rsidRPr="00F71D40">
        <w:rPr>
          <w:rFonts w:ascii="Arial" w:eastAsia="Times New Roman" w:hAnsi="Arial" w:cs="Arial"/>
          <w:color w:val="000000"/>
        </w:rPr>
        <w:t>ownturns don’t last forever.</w:t>
      </w:r>
      <w:r w:rsidR="00640294" w:rsidRPr="00640294">
        <w:rPr>
          <w:rFonts w:ascii="Arial" w:eastAsia="Times New Roman" w:hAnsi="Arial" w:cs="Arial"/>
          <w:b/>
          <w:bCs/>
          <w:color w:val="000000"/>
        </w:rPr>
        <w:t xml:space="preserve"> </w:t>
      </w:r>
      <w:r w:rsidR="00640294" w:rsidRPr="00640294">
        <w:rPr>
          <w:rFonts w:ascii="Arial" w:eastAsia="Times New Roman" w:hAnsi="Arial" w:cs="Arial"/>
        </w:rPr>
        <w:t xml:space="preserve">The Standard &amp; poor’s 500 Index has experienced 7 bear markets over the last 50 years and recovered from all of them, reported Thomas Franck of </w:t>
      </w:r>
      <w:r w:rsidR="00640294" w:rsidRPr="00640294">
        <w:rPr>
          <w:rFonts w:ascii="Arial" w:eastAsia="Times New Roman" w:hAnsi="Arial" w:cs="Arial"/>
          <w:i/>
          <w:iCs/>
        </w:rPr>
        <w:t>CNBC</w:t>
      </w:r>
      <w:r w:rsidR="00640294" w:rsidRPr="00640294">
        <w:rPr>
          <w:rFonts w:ascii="Arial" w:eastAsia="Times New Roman" w:hAnsi="Arial" w:cs="Arial"/>
          <w:color w:val="111111"/>
          <w:spacing w:val="1"/>
        </w:rPr>
        <w:t>. Here’s a rundown of the duration and returns of bear and bull markets since 1973.</w:t>
      </w:r>
    </w:p>
    <w:p w14:paraId="68491220" w14:textId="77777777" w:rsidR="00640294" w:rsidRPr="00640294" w:rsidRDefault="00640294" w:rsidP="00640294">
      <w:pPr>
        <w:contextualSpacing/>
        <w:rPr>
          <w:rFonts w:ascii="Arial" w:eastAsia="Times New Roman" w:hAnsi="Arial" w:cs="Arial"/>
          <w:color w:val="111111"/>
          <w:spacing w:val="1"/>
        </w:rPr>
      </w:pPr>
    </w:p>
    <w:p w14:paraId="564932C3" w14:textId="77777777" w:rsidR="00640294" w:rsidRPr="00640294" w:rsidRDefault="00640294" w:rsidP="00640294">
      <w:pPr>
        <w:tabs>
          <w:tab w:val="left" w:pos="1440"/>
          <w:tab w:val="left" w:pos="3240"/>
          <w:tab w:val="left" w:pos="5400"/>
          <w:tab w:val="left" w:pos="7200"/>
        </w:tabs>
        <w:ind w:left="360"/>
        <w:contextualSpacing/>
        <w:rPr>
          <w:rFonts w:ascii="Arial" w:eastAsia="Times New Roman" w:hAnsi="Arial" w:cs="Arial"/>
          <w:b/>
          <w:bCs/>
          <w:color w:val="111111"/>
          <w:spacing w:val="1"/>
        </w:rPr>
      </w:pPr>
      <w:r w:rsidRPr="00640294">
        <w:rPr>
          <w:rFonts w:ascii="Arial" w:eastAsia="Times New Roman" w:hAnsi="Arial" w:cs="Arial"/>
          <w:b/>
          <w:bCs/>
          <w:color w:val="111111"/>
          <w:spacing w:val="1"/>
        </w:rPr>
        <w:t>Year</w:t>
      </w:r>
      <w:r w:rsidRPr="00640294">
        <w:rPr>
          <w:rFonts w:ascii="Arial" w:eastAsia="Times New Roman" w:hAnsi="Arial" w:cs="Arial"/>
          <w:b/>
          <w:bCs/>
          <w:color w:val="111111"/>
          <w:spacing w:val="1"/>
        </w:rPr>
        <w:tab/>
        <w:t xml:space="preserve">Bear market </w:t>
      </w:r>
      <w:r w:rsidRPr="00640294">
        <w:rPr>
          <w:rFonts w:ascii="Arial" w:eastAsia="Times New Roman" w:hAnsi="Arial" w:cs="Arial"/>
          <w:b/>
          <w:bCs/>
          <w:color w:val="111111"/>
          <w:spacing w:val="1"/>
        </w:rPr>
        <w:tab/>
        <w:t>Total return</w:t>
      </w:r>
      <w:r w:rsidRPr="00640294">
        <w:rPr>
          <w:rFonts w:ascii="Arial" w:eastAsia="Times New Roman" w:hAnsi="Arial" w:cs="Arial"/>
          <w:b/>
          <w:bCs/>
          <w:color w:val="111111"/>
          <w:spacing w:val="1"/>
        </w:rPr>
        <w:tab/>
        <w:t xml:space="preserve">Bull </w:t>
      </w:r>
      <w:proofErr w:type="gramStart"/>
      <w:r w:rsidRPr="00640294">
        <w:rPr>
          <w:rFonts w:ascii="Arial" w:eastAsia="Times New Roman" w:hAnsi="Arial" w:cs="Arial"/>
          <w:b/>
          <w:bCs/>
          <w:color w:val="111111"/>
          <w:spacing w:val="1"/>
        </w:rPr>
        <w:t xml:space="preserve">market  </w:t>
      </w:r>
      <w:r w:rsidRPr="00640294">
        <w:rPr>
          <w:rFonts w:ascii="Arial" w:eastAsia="Times New Roman" w:hAnsi="Arial" w:cs="Arial"/>
          <w:b/>
          <w:bCs/>
          <w:color w:val="111111"/>
          <w:spacing w:val="1"/>
        </w:rPr>
        <w:tab/>
      </w:r>
      <w:proofErr w:type="gramEnd"/>
      <w:r w:rsidRPr="00640294">
        <w:rPr>
          <w:rFonts w:ascii="Arial" w:eastAsia="Times New Roman" w:hAnsi="Arial" w:cs="Arial"/>
          <w:b/>
          <w:bCs/>
          <w:color w:val="111111"/>
          <w:spacing w:val="1"/>
        </w:rPr>
        <w:t>Total return</w:t>
      </w:r>
      <w:r w:rsidRPr="00640294">
        <w:rPr>
          <w:rFonts w:ascii="Arial" w:eastAsia="Times New Roman" w:hAnsi="Arial" w:cs="Arial"/>
          <w:b/>
          <w:bCs/>
          <w:color w:val="111111"/>
          <w:spacing w:val="1"/>
        </w:rPr>
        <w:tab/>
      </w:r>
    </w:p>
    <w:p w14:paraId="512D3436" w14:textId="77777777" w:rsidR="00640294" w:rsidRPr="00640294" w:rsidRDefault="00640294" w:rsidP="00640294">
      <w:pPr>
        <w:tabs>
          <w:tab w:val="left" w:pos="0"/>
          <w:tab w:val="left" w:pos="1440"/>
          <w:tab w:val="left" w:pos="3240"/>
          <w:tab w:val="left" w:pos="3600"/>
          <w:tab w:val="left" w:pos="5400"/>
          <w:tab w:val="left" w:pos="7200"/>
        </w:tabs>
        <w:ind w:left="360"/>
        <w:contextualSpacing/>
        <w:rPr>
          <w:rFonts w:ascii="Arial" w:eastAsia="Times New Roman" w:hAnsi="Arial" w:cs="Arial"/>
          <w:color w:val="111111"/>
          <w:spacing w:val="1"/>
        </w:rPr>
      </w:pPr>
      <w:r w:rsidRPr="00640294">
        <w:rPr>
          <w:rFonts w:ascii="Arial" w:eastAsia="Times New Roman" w:hAnsi="Arial" w:cs="Arial"/>
          <w:color w:val="111111"/>
          <w:spacing w:val="1"/>
        </w:rPr>
        <w:t>1973</w:t>
      </w:r>
      <w:r w:rsidRPr="00640294">
        <w:rPr>
          <w:rFonts w:ascii="Arial" w:eastAsia="Times New Roman" w:hAnsi="Arial" w:cs="Arial"/>
          <w:color w:val="111111"/>
          <w:spacing w:val="1"/>
        </w:rPr>
        <w:tab/>
        <w:t>21 months</w:t>
      </w:r>
      <w:r w:rsidRPr="00640294">
        <w:rPr>
          <w:rFonts w:ascii="Arial" w:eastAsia="Times New Roman" w:hAnsi="Arial" w:cs="Arial"/>
          <w:color w:val="111111"/>
          <w:spacing w:val="1"/>
        </w:rPr>
        <w:tab/>
        <w:t>-48 percent</w:t>
      </w:r>
      <w:r w:rsidRPr="00640294">
        <w:rPr>
          <w:rFonts w:ascii="Arial" w:eastAsia="Times New Roman" w:hAnsi="Arial" w:cs="Arial"/>
          <w:color w:val="111111"/>
          <w:spacing w:val="1"/>
        </w:rPr>
        <w:tab/>
        <w:t>74   months</w:t>
      </w:r>
      <w:r w:rsidRPr="00640294">
        <w:rPr>
          <w:rFonts w:ascii="Arial" w:eastAsia="Times New Roman" w:hAnsi="Arial" w:cs="Arial"/>
          <w:color w:val="111111"/>
          <w:spacing w:val="1"/>
        </w:rPr>
        <w:tab/>
        <w:t>+126 percent</w:t>
      </w:r>
    </w:p>
    <w:p w14:paraId="4E38DF7F" w14:textId="77777777" w:rsidR="00640294" w:rsidRPr="00640294" w:rsidRDefault="00640294" w:rsidP="00640294">
      <w:pPr>
        <w:tabs>
          <w:tab w:val="left" w:pos="1440"/>
          <w:tab w:val="left" w:pos="3240"/>
          <w:tab w:val="left" w:pos="3600"/>
          <w:tab w:val="left" w:pos="5400"/>
          <w:tab w:val="left" w:pos="7200"/>
        </w:tabs>
        <w:ind w:left="360"/>
        <w:contextualSpacing/>
        <w:rPr>
          <w:rFonts w:ascii="Arial" w:eastAsia="Times New Roman" w:hAnsi="Arial" w:cs="Arial"/>
          <w:color w:val="111111"/>
          <w:spacing w:val="1"/>
        </w:rPr>
      </w:pPr>
      <w:r w:rsidRPr="00640294">
        <w:rPr>
          <w:rFonts w:ascii="Arial" w:eastAsia="Times New Roman" w:hAnsi="Arial" w:cs="Arial"/>
          <w:color w:val="111111"/>
          <w:spacing w:val="1"/>
        </w:rPr>
        <w:t>1980</w:t>
      </w:r>
      <w:r w:rsidRPr="00640294">
        <w:rPr>
          <w:rFonts w:ascii="Arial" w:eastAsia="Times New Roman" w:hAnsi="Arial" w:cs="Arial"/>
          <w:color w:val="111111"/>
          <w:spacing w:val="1"/>
        </w:rPr>
        <w:tab/>
        <w:t>20 months</w:t>
      </w:r>
      <w:r w:rsidRPr="00640294">
        <w:rPr>
          <w:rFonts w:ascii="Arial" w:eastAsia="Times New Roman" w:hAnsi="Arial" w:cs="Arial"/>
          <w:color w:val="111111"/>
          <w:spacing w:val="1"/>
        </w:rPr>
        <w:tab/>
        <w:t>-27 percent</w:t>
      </w:r>
      <w:r w:rsidRPr="00640294">
        <w:rPr>
          <w:rFonts w:ascii="Arial" w:eastAsia="Times New Roman" w:hAnsi="Arial" w:cs="Arial"/>
          <w:color w:val="111111"/>
          <w:spacing w:val="1"/>
        </w:rPr>
        <w:tab/>
        <w:t>60   months</w:t>
      </w:r>
      <w:r w:rsidRPr="00640294">
        <w:rPr>
          <w:rFonts w:ascii="Arial" w:eastAsia="Times New Roman" w:hAnsi="Arial" w:cs="Arial"/>
          <w:color w:val="111111"/>
          <w:spacing w:val="1"/>
        </w:rPr>
        <w:tab/>
        <w:t>+229 percent</w:t>
      </w:r>
    </w:p>
    <w:p w14:paraId="76E2E9D8" w14:textId="77777777" w:rsidR="00640294" w:rsidRPr="00640294" w:rsidRDefault="00640294" w:rsidP="00640294">
      <w:pPr>
        <w:tabs>
          <w:tab w:val="left" w:pos="1440"/>
          <w:tab w:val="left" w:pos="3240"/>
          <w:tab w:val="left" w:pos="3600"/>
          <w:tab w:val="left" w:pos="5400"/>
          <w:tab w:val="left" w:pos="7200"/>
        </w:tabs>
        <w:ind w:left="360"/>
        <w:contextualSpacing/>
        <w:rPr>
          <w:rFonts w:ascii="Arial" w:eastAsia="Times New Roman" w:hAnsi="Arial" w:cs="Arial"/>
          <w:color w:val="111111"/>
          <w:spacing w:val="1"/>
        </w:rPr>
      </w:pPr>
      <w:r w:rsidRPr="00640294">
        <w:rPr>
          <w:rFonts w:ascii="Arial" w:eastAsia="Times New Roman" w:hAnsi="Arial" w:cs="Arial"/>
          <w:color w:val="111111"/>
          <w:spacing w:val="1"/>
        </w:rPr>
        <w:t>1987</w:t>
      </w:r>
      <w:r w:rsidRPr="00640294">
        <w:rPr>
          <w:rFonts w:ascii="Arial" w:eastAsia="Times New Roman" w:hAnsi="Arial" w:cs="Arial"/>
          <w:color w:val="111111"/>
          <w:spacing w:val="1"/>
        </w:rPr>
        <w:tab/>
        <w:t>3   months</w:t>
      </w:r>
      <w:r w:rsidRPr="00640294">
        <w:rPr>
          <w:rFonts w:ascii="Arial" w:eastAsia="Times New Roman" w:hAnsi="Arial" w:cs="Arial"/>
          <w:color w:val="111111"/>
          <w:spacing w:val="1"/>
        </w:rPr>
        <w:tab/>
        <w:t>-34 percent</w:t>
      </w:r>
      <w:r w:rsidRPr="00640294">
        <w:rPr>
          <w:rFonts w:ascii="Arial" w:eastAsia="Times New Roman" w:hAnsi="Arial" w:cs="Arial"/>
          <w:color w:val="111111"/>
          <w:spacing w:val="1"/>
        </w:rPr>
        <w:tab/>
        <w:t>31   months</w:t>
      </w:r>
      <w:r w:rsidRPr="00640294">
        <w:rPr>
          <w:rFonts w:ascii="Arial" w:eastAsia="Times New Roman" w:hAnsi="Arial" w:cs="Arial"/>
          <w:color w:val="111111"/>
          <w:spacing w:val="1"/>
        </w:rPr>
        <w:tab/>
      </w:r>
      <w:proofErr w:type="gramStart"/>
      <w:r w:rsidRPr="00640294">
        <w:rPr>
          <w:rFonts w:ascii="Arial" w:eastAsia="Times New Roman" w:hAnsi="Arial" w:cs="Arial"/>
          <w:color w:val="111111"/>
          <w:spacing w:val="1"/>
        </w:rPr>
        <w:t>+  65</w:t>
      </w:r>
      <w:proofErr w:type="gramEnd"/>
      <w:r w:rsidRPr="00640294">
        <w:rPr>
          <w:rFonts w:ascii="Arial" w:eastAsia="Times New Roman" w:hAnsi="Arial" w:cs="Arial"/>
          <w:color w:val="111111"/>
          <w:spacing w:val="1"/>
        </w:rPr>
        <w:t xml:space="preserve"> percent</w:t>
      </w:r>
    </w:p>
    <w:p w14:paraId="7A31F415" w14:textId="77777777" w:rsidR="00640294" w:rsidRPr="00640294" w:rsidRDefault="00640294" w:rsidP="00640294">
      <w:pPr>
        <w:tabs>
          <w:tab w:val="left" w:pos="1440"/>
          <w:tab w:val="left" w:pos="3240"/>
          <w:tab w:val="left" w:pos="3600"/>
          <w:tab w:val="left" w:pos="5400"/>
          <w:tab w:val="left" w:pos="7200"/>
        </w:tabs>
        <w:ind w:left="360"/>
        <w:contextualSpacing/>
        <w:rPr>
          <w:rFonts w:ascii="Arial" w:eastAsia="Times New Roman" w:hAnsi="Arial" w:cs="Arial"/>
          <w:color w:val="111111"/>
          <w:spacing w:val="1"/>
        </w:rPr>
      </w:pPr>
      <w:r w:rsidRPr="00640294">
        <w:rPr>
          <w:rFonts w:ascii="Arial" w:eastAsia="Times New Roman" w:hAnsi="Arial" w:cs="Arial"/>
          <w:color w:val="111111"/>
          <w:spacing w:val="1"/>
        </w:rPr>
        <w:t>1990</w:t>
      </w:r>
      <w:r w:rsidRPr="00640294">
        <w:rPr>
          <w:rFonts w:ascii="Arial" w:eastAsia="Times New Roman" w:hAnsi="Arial" w:cs="Arial"/>
          <w:color w:val="111111"/>
          <w:spacing w:val="1"/>
        </w:rPr>
        <w:tab/>
        <w:t>3   months</w:t>
      </w:r>
      <w:r w:rsidRPr="00640294">
        <w:rPr>
          <w:rFonts w:ascii="Arial" w:eastAsia="Times New Roman" w:hAnsi="Arial" w:cs="Arial"/>
          <w:color w:val="111111"/>
          <w:spacing w:val="1"/>
        </w:rPr>
        <w:tab/>
        <w:t>-20 percent</w:t>
      </w:r>
      <w:r w:rsidRPr="00640294">
        <w:rPr>
          <w:rFonts w:ascii="Arial" w:eastAsia="Times New Roman" w:hAnsi="Arial" w:cs="Arial"/>
          <w:color w:val="111111"/>
          <w:spacing w:val="1"/>
        </w:rPr>
        <w:tab/>
        <w:t>113 months</w:t>
      </w:r>
      <w:r w:rsidRPr="00640294">
        <w:rPr>
          <w:rFonts w:ascii="Arial" w:eastAsia="Times New Roman" w:hAnsi="Arial" w:cs="Arial"/>
          <w:color w:val="111111"/>
          <w:spacing w:val="1"/>
        </w:rPr>
        <w:tab/>
        <w:t>+417 percent</w:t>
      </w:r>
    </w:p>
    <w:p w14:paraId="696DCA21" w14:textId="77777777" w:rsidR="00640294" w:rsidRPr="00640294" w:rsidRDefault="00640294" w:rsidP="00640294">
      <w:pPr>
        <w:tabs>
          <w:tab w:val="left" w:pos="1440"/>
          <w:tab w:val="left" w:pos="3240"/>
          <w:tab w:val="left" w:pos="3600"/>
          <w:tab w:val="left" w:pos="5400"/>
          <w:tab w:val="left" w:pos="7200"/>
        </w:tabs>
        <w:ind w:left="360"/>
        <w:contextualSpacing/>
        <w:rPr>
          <w:rFonts w:ascii="Arial" w:eastAsia="Times New Roman" w:hAnsi="Arial" w:cs="Arial"/>
          <w:color w:val="111111"/>
          <w:spacing w:val="1"/>
        </w:rPr>
      </w:pPr>
      <w:r w:rsidRPr="00640294">
        <w:rPr>
          <w:rFonts w:ascii="Arial" w:eastAsia="Times New Roman" w:hAnsi="Arial" w:cs="Arial"/>
          <w:color w:val="111111"/>
          <w:spacing w:val="1"/>
        </w:rPr>
        <w:t>2000</w:t>
      </w:r>
      <w:r w:rsidRPr="00640294">
        <w:rPr>
          <w:rFonts w:ascii="Arial" w:eastAsia="Times New Roman" w:hAnsi="Arial" w:cs="Arial"/>
          <w:color w:val="111111"/>
          <w:spacing w:val="1"/>
        </w:rPr>
        <w:tab/>
        <w:t>31 months</w:t>
      </w:r>
      <w:r w:rsidRPr="00640294">
        <w:rPr>
          <w:rFonts w:ascii="Arial" w:eastAsia="Times New Roman" w:hAnsi="Arial" w:cs="Arial"/>
          <w:color w:val="111111"/>
          <w:spacing w:val="1"/>
        </w:rPr>
        <w:tab/>
        <w:t>-49 percent</w:t>
      </w:r>
      <w:r w:rsidRPr="00640294">
        <w:rPr>
          <w:rFonts w:ascii="Arial" w:eastAsia="Times New Roman" w:hAnsi="Arial" w:cs="Arial"/>
          <w:color w:val="111111"/>
          <w:spacing w:val="1"/>
        </w:rPr>
        <w:tab/>
        <w:t>60   months</w:t>
      </w:r>
      <w:r w:rsidRPr="00640294">
        <w:rPr>
          <w:rFonts w:ascii="Arial" w:eastAsia="Times New Roman" w:hAnsi="Arial" w:cs="Arial"/>
          <w:color w:val="111111"/>
          <w:spacing w:val="1"/>
        </w:rPr>
        <w:tab/>
        <w:t>+102 percent</w:t>
      </w:r>
    </w:p>
    <w:p w14:paraId="33F0419C" w14:textId="77777777" w:rsidR="00640294" w:rsidRPr="00640294" w:rsidRDefault="00640294" w:rsidP="00640294">
      <w:pPr>
        <w:tabs>
          <w:tab w:val="left" w:pos="1440"/>
          <w:tab w:val="left" w:pos="3240"/>
          <w:tab w:val="left" w:pos="3600"/>
          <w:tab w:val="left" w:pos="5400"/>
          <w:tab w:val="left" w:pos="7200"/>
        </w:tabs>
        <w:ind w:left="360"/>
        <w:contextualSpacing/>
        <w:rPr>
          <w:rFonts w:ascii="Arial" w:eastAsia="Times New Roman" w:hAnsi="Arial" w:cs="Arial"/>
          <w:color w:val="111111"/>
          <w:spacing w:val="1"/>
        </w:rPr>
      </w:pPr>
      <w:r w:rsidRPr="00640294">
        <w:rPr>
          <w:rFonts w:ascii="Arial" w:eastAsia="Times New Roman" w:hAnsi="Arial" w:cs="Arial"/>
          <w:color w:val="111111"/>
          <w:spacing w:val="1"/>
        </w:rPr>
        <w:t>2007</w:t>
      </w:r>
      <w:r w:rsidRPr="00640294">
        <w:rPr>
          <w:rFonts w:ascii="Arial" w:eastAsia="Times New Roman" w:hAnsi="Arial" w:cs="Arial"/>
          <w:color w:val="111111"/>
          <w:spacing w:val="1"/>
        </w:rPr>
        <w:tab/>
        <w:t>7   months</w:t>
      </w:r>
      <w:r w:rsidRPr="00640294">
        <w:rPr>
          <w:rFonts w:ascii="Arial" w:eastAsia="Times New Roman" w:hAnsi="Arial" w:cs="Arial"/>
          <w:color w:val="111111"/>
          <w:spacing w:val="1"/>
        </w:rPr>
        <w:tab/>
        <w:t>-57 percent</w:t>
      </w:r>
      <w:r w:rsidRPr="00640294">
        <w:rPr>
          <w:rFonts w:ascii="Arial" w:eastAsia="Times New Roman" w:hAnsi="Arial" w:cs="Arial"/>
          <w:color w:val="111111"/>
          <w:spacing w:val="1"/>
        </w:rPr>
        <w:tab/>
        <w:t>131 months</w:t>
      </w:r>
      <w:r w:rsidRPr="00640294">
        <w:rPr>
          <w:rFonts w:ascii="Arial" w:eastAsia="Times New Roman" w:hAnsi="Arial" w:cs="Arial"/>
          <w:color w:val="111111"/>
          <w:spacing w:val="1"/>
        </w:rPr>
        <w:tab/>
        <w:t>+401 percent</w:t>
      </w:r>
    </w:p>
    <w:p w14:paraId="2311CD8C" w14:textId="77777777" w:rsidR="00640294" w:rsidRPr="00640294" w:rsidRDefault="00640294" w:rsidP="00640294">
      <w:pPr>
        <w:tabs>
          <w:tab w:val="left" w:pos="1440"/>
          <w:tab w:val="left" w:pos="3240"/>
          <w:tab w:val="left" w:pos="3600"/>
          <w:tab w:val="left" w:pos="5400"/>
          <w:tab w:val="left" w:pos="7200"/>
        </w:tabs>
        <w:ind w:left="360"/>
        <w:contextualSpacing/>
        <w:rPr>
          <w:rFonts w:ascii="Arial" w:eastAsia="Times New Roman" w:hAnsi="Arial" w:cs="Arial"/>
          <w:color w:val="111111"/>
          <w:spacing w:val="1"/>
        </w:rPr>
      </w:pPr>
      <w:r w:rsidRPr="00640294">
        <w:rPr>
          <w:rFonts w:ascii="Arial" w:eastAsia="Times New Roman" w:hAnsi="Arial" w:cs="Arial"/>
          <w:color w:val="111111"/>
          <w:spacing w:val="1"/>
        </w:rPr>
        <w:t>2020</w:t>
      </w:r>
      <w:r w:rsidRPr="00640294">
        <w:rPr>
          <w:rFonts w:ascii="Arial" w:eastAsia="Times New Roman" w:hAnsi="Arial" w:cs="Arial"/>
          <w:color w:val="111111"/>
          <w:spacing w:val="1"/>
        </w:rPr>
        <w:tab/>
      </w:r>
      <w:proofErr w:type="gramStart"/>
      <w:r w:rsidRPr="00640294">
        <w:rPr>
          <w:rFonts w:ascii="Arial" w:eastAsia="Times New Roman" w:hAnsi="Arial" w:cs="Arial"/>
          <w:color w:val="111111"/>
          <w:spacing w:val="1"/>
        </w:rPr>
        <w:t>1   month</w:t>
      </w:r>
      <w:proofErr w:type="gramEnd"/>
      <w:r w:rsidRPr="00640294">
        <w:rPr>
          <w:rFonts w:ascii="Arial" w:eastAsia="Times New Roman" w:hAnsi="Arial" w:cs="Arial"/>
          <w:color w:val="111111"/>
          <w:spacing w:val="1"/>
        </w:rPr>
        <w:tab/>
        <w:t>-27 percent</w:t>
      </w:r>
      <w:r w:rsidRPr="00640294">
        <w:rPr>
          <w:rFonts w:ascii="Arial" w:eastAsia="Times New Roman" w:hAnsi="Arial" w:cs="Arial"/>
          <w:color w:val="111111"/>
          <w:spacing w:val="1"/>
        </w:rPr>
        <w:tab/>
        <w:t>TBD</w:t>
      </w:r>
      <w:r w:rsidRPr="00640294">
        <w:rPr>
          <w:rFonts w:ascii="Arial" w:eastAsia="Times New Roman" w:hAnsi="Arial" w:cs="Arial"/>
          <w:color w:val="111111"/>
          <w:spacing w:val="1"/>
        </w:rPr>
        <w:tab/>
      </w:r>
      <w:proofErr w:type="spellStart"/>
      <w:r w:rsidRPr="00640294">
        <w:rPr>
          <w:rFonts w:ascii="Arial" w:eastAsia="Times New Roman" w:hAnsi="Arial" w:cs="Arial"/>
          <w:color w:val="111111"/>
          <w:spacing w:val="1"/>
        </w:rPr>
        <w:t>TBD</w:t>
      </w:r>
      <w:proofErr w:type="spellEnd"/>
    </w:p>
    <w:p w14:paraId="7D073F75" w14:textId="77777777" w:rsidR="00640294" w:rsidRPr="00640294" w:rsidRDefault="00640294" w:rsidP="00640294">
      <w:pPr>
        <w:tabs>
          <w:tab w:val="left" w:pos="900"/>
          <w:tab w:val="left" w:pos="2520"/>
          <w:tab w:val="left" w:pos="3600"/>
          <w:tab w:val="left" w:pos="5040"/>
          <w:tab w:val="left" w:pos="6840"/>
        </w:tabs>
        <w:contextualSpacing/>
        <w:rPr>
          <w:rFonts w:ascii="Arial" w:eastAsia="Times New Roman" w:hAnsi="Arial" w:cs="Arial"/>
          <w:color w:val="111111"/>
          <w:spacing w:val="1"/>
        </w:rPr>
      </w:pPr>
    </w:p>
    <w:p w14:paraId="39690C4D" w14:textId="50516763" w:rsidR="003B4F88" w:rsidRPr="003B4F88" w:rsidRDefault="00CD38A9" w:rsidP="003B4F88">
      <w:pPr>
        <w:contextualSpacing/>
        <w:rPr>
          <w:rFonts w:ascii="Arial" w:eastAsia="Times New Roman" w:hAnsi="Arial" w:cs="Arial"/>
          <w:color w:val="111111"/>
          <w:spacing w:val="1"/>
        </w:rPr>
      </w:pPr>
      <w:r>
        <w:rPr>
          <w:rFonts w:ascii="Arial" w:eastAsia="Times New Roman" w:hAnsi="Arial" w:cs="Arial"/>
          <w:color w:val="111111"/>
          <w:spacing w:val="1"/>
        </w:rPr>
        <w:t>We offer</w:t>
      </w:r>
      <w:r w:rsidR="00EE6028">
        <w:rPr>
          <w:rFonts w:ascii="Arial" w:eastAsia="Times New Roman" w:hAnsi="Arial" w:cs="Arial"/>
          <w:color w:val="111111"/>
          <w:spacing w:val="1"/>
        </w:rPr>
        <w:t xml:space="preserve"> investment strategies that are designed to play both offence and defense. O</w:t>
      </w:r>
      <w:r w:rsidR="00AC13AA">
        <w:rPr>
          <w:rFonts w:ascii="Arial" w:eastAsia="Times New Roman" w:hAnsi="Arial" w:cs="Arial"/>
          <w:color w:val="111111"/>
          <w:spacing w:val="1"/>
        </w:rPr>
        <w:t>ur team is continuously reviewing the holding of those strategies and making changes when appropriate.</w:t>
      </w:r>
      <w:r w:rsidR="00EE6028">
        <w:rPr>
          <w:rFonts w:ascii="Arial" w:eastAsia="Times New Roman" w:hAnsi="Arial" w:cs="Arial"/>
          <w:color w:val="111111"/>
          <w:spacing w:val="1"/>
        </w:rPr>
        <w:t xml:space="preserve">  If you have any concerns about the current market environment and how it impacts you specifically, pleas</w:t>
      </w:r>
      <w:r>
        <w:rPr>
          <w:rFonts w:ascii="Arial" w:eastAsia="Times New Roman" w:hAnsi="Arial" w:cs="Arial"/>
          <w:color w:val="111111"/>
          <w:spacing w:val="1"/>
        </w:rPr>
        <w:t xml:space="preserve">e feel free to contact us.  We would be more than happy to review your objectives and make sure that you are in a strategy that is appropriate for you.   </w:t>
      </w:r>
      <w:r w:rsidR="00AC13AA">
        <w:rPr>
          <w:rFonts w:ascii="Arial" w:eastAsia="Times New Roman" w:hAnsi="Arial" w:cs="Arial"/>
          <w:color w:val="111111"/>
          <w:spacing w:val="1"/>
        </w:rPr>
        <w:t xml:space="preserve">  </w:t>
      </w:r>
    </w:p>
    <w:p w14:paraId="651C4FBB" w14:textId="77777777" w:rsidR="003B4F88" w:rsidRPr="00640294" w:rsidRDefault="003B4F88" w:rsidP="003B4F88">
      <w:pPr>
        <w:contextualSpacing/>
        <w:rPr>
          <w:rFonts w:ascii="Arial" w:eastAsia="Times New Roman" w:hAnsi="Arial" w:cs="Arial"/>
          <w:color w:val="000000"/>
        </w:rPr>
      </w:pPr>
    </w:p>
    <w:p w14:paraId="73FF2E12" w14:textId="77777777" w:rsidR="00640294" w:rsidRPr="00640294" w:rsidRDefault="00640294" w:rsidP="00640294">
      <w:pPr>
        <w:tabs>
          <w:tab w:val="left" w:pos="-3150"/>
          <w:tab w:val="left" w:pos="8550"/>
        </w:tabs>
        <w:contextualSpacing/>
        <w:rPr>
          <w:rFonts w:ascii="Arial" w:eastAsia="Times New Roman" w:hAnsi="Arial" w:cs="Arial"/>
          <w:b/>
          <w:bCs/>
          <w:color w:val="0D304A"/>
        </w:rPr>
      </w:pPr>
      <w:r w:rsidRPr="00640294">
        <w:rPr>
          <w:rFonts w:ascii="Arial" w:eastAsia="Times New Roman" w:hAnsi="Arial" w:cs="Arial"/>
          <w:b/>
          <w:bCs/>
          <w:color w:val="0D304A"/>
        </w:rPr>
        <w:t xml:space="preserve">Weekly Focus – Think About It </w:t>
      </w:r>
    </w:p>
    <w:p w14:paraId="1F97630D" w14:textId="77777777" w:rsidR="00640294" w:rsidRPr="00640294" w:rsidRDefault="00640294" w:rsidP="00640294">
      <w:pPr>
        <w:ind w:right="-36"/>
        <w:contextualSpacing/>
        <w:rPr>
          <w:rFonts w:ascii="Arial" w:eastAsia="Times New Roman" w:hAnsi="Arial" w:cs="Arial"/>
          <w:color w:val="1D2228"/>
          <w:shd w:val="clear" w:color="auto" w:fill="FFFFFF"/>
        </w:rPr>
      </w:pPr>
      <w:r w:rsidRPr="00640294">
        <w:rPr>
          <w:rFonts w:ascii="Arial" w:eastAsia="Times New Roman" w:hAnsi="Arial" w:cs="Arial"/>
          <w:color w:val="1D2228"/>
          <w:shd w:val="clear" w:color="auto" w:fill="FFFFFF"/>
        </w:rPr>
        <w:t>“You get recessions, you have stock market declines. If you don't understand that's going to happen, then you're not ready, you won't do well in the markets."</w:t>
      </w:r>
    </w:p>
    <w:p w14:paraId="0DBF9C9A" w14:textId="77777777" w:rsidR="00640294" w:rsidRPr="00640294" w:rsidRDefault="00640294" w:rsidP="00640294">
      <w:pPr>
        <w:ind w:right="-36"/>
        <w:contextualSpacing/>
        <w:jc w:val="right"/>
        <w:rPr>
          <w:rFonts w:ascii="Arial" w:eastAsia="Times New Roman" w:hAnsi="Arial" w:cs="Arial"/>
          <w:i/>
          <w:iCs/>
          <w:color w:val="212529"/>
          <w:shd w:val="clear" w:color="auto" w:fill="FFFFFF"/>
        </w:rPr>
      </w:pPr>
      <w:r w:rsidRPr="00640294">
        <w:rPr>
          <w:rFonts w:ascii="Arial" w:eastAsia="Times New Roman" w:hAnsi="Arial" w:cs="Arial"/>
          <w:i/>
          <w:iCs/>
          <w:color w:val="212529"/>
          <w:shd w:val="clear" w:color="auto" w:fill="FFFFFF"/>
        </w:rPr>
        <w:t>—Peter Lynch, former portfolio manager</w:t>
      </w:r>
    </w:p>
    <w:p w14:paraId="0AE7803D" w14:textId="77777777" w:rsidR="00640294" w:rsidRPr="00640294" w:rsidRDefault="00640294" w:rsidP="00640294">
      <w:pPr>
        <w:ind w:right="-36"/>
        <w:contextualSpacing/>
        <w:rPr>
          <w:rFonts w:ascii="Arial" w:eastAsia="Times New Roman" w:hAnsi="Arial" w:cs="Arial"/>
          <w:color w:val="000000"/>
        </w:rPr>
      </w:pPr>
    </w:p>
    <w:p w14:paraId="6FAA1BBB" w14:textId="41CF4462" w:rsidR="00A350B4" w:rsidRPr="00A350B4" w:rsidRDefault="00A350B4" w:rsidP="00640294">
      <w:pPr>
        <w:ind w:right="-36"/>
        <w:contextualSpacing/>
        <w:rPr>
          <w:rFonts w:ascii="Arial" w:eastAsia="Times New Roman" w:hAnsi="Arial" w:cs="Arial"/>
          <w:color w:val="000000"/>
        </w:rPr>
      </w:pPr>
      <w:r w:rsidRPr="00A350B4">
        <w:rPr>
          <w:rFonts w:ascii="Arial" w:eastAsia="Times New Roman" w:hAnsi="Arial" w:cs="Arial"/>
          <w:color w:val="000000"/>
        </w:rPr>
        <w:t>Best regards,</w:t>
      </w:r>
    </w:p>
    <w:p w14:paraId="6BF6DA9A" w14:textId="77777777" w:rsidR="00A350B4" w:rsidRPr="00A350B4" w:rsidRDefault="00A350B4" w:rsidP="00640294">
      <w:pPr>
        <w:ind w:right="-36"/>
        <w:contextualSpacing/>
        <w:rPr>
          <w:rFonts w:ascii="Arial" w:eastAsia="Times New Roman" w:hAnsi="Arial" w:cs="Arial"/>
          <w:color w:val="000000"/>
        </w:rPr>
      </w:pPr>
    </w:p>
    <w:p w14:paraId="782D47F1" w14:textId="4F6AE17C" w:rsidR="00A350B4" w:rsidRPr="006A75D8" w:rsidRDefault="006A75D8" w:rsidP="00640294">
      <w:pPr>
        <w:ind w:right="-36"/>
        <w:contextualSpacing/>
        <w:rPr>
          <w:rFonts w:ascii="Arial" w:eastAsia="Times New Roman" w:hAnsi="Arial" w:cs="Arial"/>
        </w:rPr>
      </w:pPr>
      <w:r w:rsidRPr="006A75D8">
        <w:rPr>
          <w:rFonts w:ascii="Arial" w:eastAsia="Times New Roman" w:hAnsi="Arial" w:cs="Arial"/>
        </w:rPr>
        <w:t>Adam Hartung</w:t>
      </w:r>
    </w:p>
    <w:p w14:paraId="7C2DEE72" w14:textId="77777777" w:rsidR="00A350B4" w:rsidRPr="00A350B4" w:rsidRDefault="00A350B4" w:rsidP="00640294">
      <w:pPr>
        <w:ind w:right="-36"/>
        <w:contextualSpacing/>
        <w:rPr>
          <w:rFonts w:ascii="Arial" w:eastAsia="Times New Roman" w:hAnsi="Arial" w:cs="Arial"/>
          <w:color w:val="000000"/>
        </w:rPr>
      </w:pPr>
    </w:p>
    <w:p w14:paraId="09217C09" w14:textId="77777777" w:rsidR="00A350B4" w:rsidRPr="00A350B4" w:rsidRDefault="00A350B4" w:rsidP="00640294">
      <w:pPr>
        <w:ind w:right="-36"/>
        <w:contextualSpacing/>
        <w:rPr>
          <w:rFonts w:ascii="Arial" w:eastAsia="Times New Roman" w:hAnsi="Arial" w:cs="Arial"/>
          <w:color w:val="000000"/>
        </w:rPr>
      </w:pPr>
      <w:r w:rsidRPr="00A350B4">
        <w:rPr>
          <w:rFonts w:ascii="Arial" w:eastAsia="Times New Roman" w:hAnsi="Arial" w:cs="Arial"/>
          <w:color w:val="000000"/>
        </w:rPr>
        <w:t>P.S.  Please feel free to forward this commentary to family, friends or colleagues. If you would like us to add them to the list, please reply to this email with their email address and we will ask for their permission to be added.</w:t>
      </w:r>
    </w:p>
    <w:p w14:paraId="64A0190B" w14:textId="77777777" w:rsidR="00A350B4" w:rsidRPr="00A350B4" w:rsidRDefault="00A350B4" w:rsidP="00640294">
      <w:pPr>
        <w:contextualSpacing/>
        <w:rPr>
          <w:rFonts w:ascii="Arial" w:eastAsia="Times New Roman" w:hAnsi="Arial" w:cs="Arial"/>
          <w:color w:val="000000"/>
        </w:rPr>
      </w:pPr>
    </w:p>
    <w:p w14:paraId="6CEDA88A" w14:textId="687FFE8D" w:rsidR="00A350B4" w:rsidRPr="00A350B4" w:rsidRDefault="00A350B4" w:rsidP="00640294">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6A75D8" w:rsidRPr="006A75D8">
        <w:rPr>
          <w:rFonts w:ascii="Arial" w:eastAsia="Times New Roman" w:hAnsi="Arial" w:cs="Arial"/>
        </w:rPr>
        <w:t xml:space="preserve">Parkland Securities, LLC </w:t>
      </w:r>
      <w:r w:rsidRPr="00A350B4">
        <w:rPr>
          <w:rFonts w:ascii="Arial" w:eastAsia="Times New Roman" w:hAnsi="Arial" w:cs="Arial"/>
          <w:color w:val="000000"/>
        </w:rPr>
        <w:t>Member FINRA/SIPC.</w:t>
      </w:r>
    </w:p>
    <w:p w14:paraId="7467A566" w14:textId="77777777" w:rsidR="00A350B4" w:rsidRPr="00A350B4" w:rsidRDefault="00A350B4" w:rsidP="00640294">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64029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64029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64029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lastRenderedPageBreak/>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64029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64029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64029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64029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64029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64029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64029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64029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64029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64029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64029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64029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640294">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64029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64029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64029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64029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64029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64029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64029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23FD744B" w14:textId="3F0F8073" w:rsidR="00A350B4" w:rsidRPr="006A75D8" w:rsidRDefault="00A350B4" w:rsidP="00640294">
      <w:pPr>
        <w:ind w:right="-36"/>
        <w:contextualSpacing/>
        <w:rPr>
          <w:rFonts w:ascii="Arial" w:eastAsia="Times New Roman" w:hAnsi="Arial" w:cs="Arial"/>
          <w:sz w:val="17"/>
          <w:szCs w:val="17"/>
        </w:rPr>
      </w:pPr>
      <w:r w:rsidRPr="0075694B">
        <w:rPr>
          <w:rFonts w:ascii="Arial" w:eastAsia="Times New Roman" w:hAnsi="Arial" w:cs="Arial"/>
          <w:color w:val="000000"/>
          <w:sz w:val="17"/>
          <w:szCs w:val="17"/>
        </w:rPr>
        <w:t>* To unsubscribe from the </w:t>
      </w:r>
      <w:r w:rsidR="006A75D8" w:rsidRPr="006A75D8">
        <w:rPr>
          <w:rFonts w:ascii="Arial" w:eastAsia="Times New Roman" w:hAnsi="Arial" w:cs="Arial"/>
          <w:sz w:val="17"/>
          <w:szCs w:val="17"/>
        </w:rPr>
        <w:t>Weekly C</w:t>
      </w:r>
      <w:r w:rsidRPr="006A75D8">
        <w:rPr>
          <w:rFonts w:ascii="Arial" w:eastAsia="Times New Roman" w:hAnsi="Arial" w:cs="Arial"/>
          <w:sz w:val="17"/>
          <w:szCs w:val="17"/>
        </w:rPr>
        <w:t>ommentary </w:t>
      </w:r>
      <w:r w:rsidRPr="0075694B">
        <w:rPr>
          <w:rFonts w:ascii="Arial" w:eastAsia="Times New Roman" w:hAnsi="Arial" w:cs="Arial"/>
          <w:color w:val="000000"/>
          <w:sz w:val="17"/>
          <w:szCs w:val="17"/>
        </w:rPr>
        <w:t>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r w:rsidR="006A75D8" w:rsidRPr="006A75D8">
        <w:rPr>
          <w:rFonts w:ascii="Arial" w:eastAsia="Times New Roman" w:hAnsi="Arial" w:cs="Arial"/>
          <w:sz w:val="17"/>
          <w:szCs w:val="17"/>
        </w:rPr>
        <w:t>Team@MidwestMoneyManagement.com.</w:t>
      </w:r>
    </w:p>
    <w:p w14:paraId="11B031D4" w14:textId="77777777" w:rsidR="006A75D8" w:rsidRDefault="006A75D8" w:rsidP="00640294">
      <w:pPr>
        <w:widowControl w:val="0"/>
        <w:adjustRightInd w:val="0"/>
        <w:ind w:right="-36"/>
        <w:contextualSpacing/>
        <w:rPr>
          <w:rFonts w:ascii="Arial" w:eastAsia="Times New Roman" w:hAnsi="Arial" w:cs="Arial"/>
          <w:color w:val="000000"/>
          <w:sz w:val="17"/>
          <w:szCs w:val="17"/>
        </w:rPr>
      </w:pPr>
    </w:p>
    <w:p w14:paraId="7C8A5851" w14:textId="11555525" w:rsidR="00640294" w:rsidRPr="00640294" w:rsidRDefault="00640294" w:rsidP="00640294">
      <w:pPr>
        <w:widowControl w:val="0"/>
        <w:adjustRightInd w:val="0"/>
        <w:ind w:right="-36"/>
        <w:contextualSpacing/>
        <w:rPr>
          <w:rFonts w:ascii="Arial" w:eastAsia="Times New Roman" w:hAnsi="Arial" w:cs="Arial"/>
          <w:sz w:val="18"/>
          <w:szCs w:val="18"/>
        </w:rPr>
      </w:pPr>
      <w:r w:rsidRPr="00640294">
        <w:rPr>
          <w:rFonts w:ascii="Arial" w:eastAsia="Times New Roman" w:hAnsi="Arial" w:cs="Arial"/>
          <w:sz w:val="18"/>
          <w:szCs w:val="18"/>
        </w:rPr>
        <w:t>Sources:</w:t>
      </w:r>
    </w:p>
    <w:p w14:paraId="626B0B97" w14:textId="77777777" w:rsidR="00640294" w:rsidRPr="00640294" w:rsidRDefault="006C5AFD" w:rsidP="00640294">
      <w:pPr>
        <w:contextualSpacing/>
        <w:rPr>
          <w:rFonts w:ascii="Arial" w:eastAsia="Times New Roman" w:hAnsi="Arial" w:cs="Arial"/>
          <w:sz w:val="18"/>
          <w:szCs w:val="18"/>
        </w:rPr>
      </w:pPr>
      <w:hyperlink r:id="rId8" w:history="1">
        <w:r w:rsidR="00640294" w:rsidRPr="00640294">
          <w:rPr>
            <w:rFonts w:ascii="Arial" w:eastAsia="Times New Roman" w:hAnsi="Arial" w:cs="Arial"/>
            <w:color w:val="0000FF"/>
            <w:sz w:val="18"/>
            <w:szCs w:val="18"/>
            <w:u w:val="single"/>
          </w:rPr>
          <w:t>https://www.bls.gov/news.release/cpi.nr0.htm</w:t>
        </w:r>
      </w:hyperlink>
      <w:r w:rsidR="00640294" w:rsidRPr="00640294">
        <w:rPr>
          <w:rFonts w:ascii="Arial" w:eastAsia="Times New Roman" w:hAnsi="Arial" w:cs="Arial"/>
          <w:sz w:val="18"/>
          <w:szCs w:val="18"/>
        </w:rPr>
        <w:t xml:space="preserve"> </w:t>
      </w:r>
    </w:p>
    <w:p w14:paraId="3FA89CE9" w14:textId="77777777" w:rsidR="00640294" w:rsidRPr="00640294" w:rsidRDefault="006C5AFD" w:rsidP="00640294">
      <w:pPr>
        <w:contextualSpacing/>
        <w:rPr>
          <w:rFonts w:ascii="Arial" w:eastAsia="Times New Roman" w:hAnsi="Arial" w:cs="Arial"/>
          <w:sz w:val="18"/>
          <w:szCs w:val="18"/>
        </w:rPr>
      </w:pPr>
      <w:hyperlink r:id="rId9" w:history="1">
        <w:r w:rsidR="00640294" w:rsidRPr="00640294">
          <w:rPr>
            <w:rFonts w:ascii="Arial" w:eastAsia="Times New Roman" w:hAnsi="Arial" w:cs="Arial"/>
            <w:color w:val="0000FF"/>
            <w:sz w:val="18"/>
            <w:szCs w:val="18"/>
            <w:u w:val="single"/>
          </w:rPr>
          <w:t>https://www.bls.gov/news.release/archives/cpi_05112022.htm</w:t>
        </w:r>
      </w:hyperlink>
      <w:r w:rsidR="00640294" w:rsidRPr="00640294">
        <w:rPr>
          <w:rFonts w:ascii="Arial" w:eastAsia="Times New Roman" w:hAnsi="Arial" w:cs="Arial"/>
          <w:sz w:val="18"/>
          <w:szCs w:val="18"/>
        </w:rPr>
        <w:t xml:space="preserve"> </w:t>
      </w:r>
    </w:p>
    <w:p w14:paraId="4298768E" w14:textId="77777777" w:rsidR="00640294" w:rsidRPr="00640294" w:rsidRDefault="006C5AFD" w:rsidP="00640294">
      <w:pPr>
        <w:contextualSpacing/>
        <w:rPr>
          <w:rFonts w:ascii="Arial" w:eastAsia="Times New Roman" w:hAnsi="Arial" w:cs="Arial"/>
          <w:sz w:val="18"/>
          <w:szCs w:val="18"/>
        </w:rPr>
      </w:pPr>
      <w:hyperlink r:id="rId10" w:history="1">
        <w:r w:rsidR="00640294" w:rsidRPr="00640294">
          <w:rPr>
            <w:rFonts w:ascii="Arial" w:eastAsia="Times New Roman" w:hAnsi="Arial" w:cs="Arial"/>
            <w:color w:val="0000FF"/>
            <w:sz w:val="18"/>
            <w:szCs w:val="18"/>
            <w:u w:val="single"/>
          </w:rPr>
          <w:t>https://openknowledge.worldbank.org/bitstream/handle/10986/37223/CMO-April-2022.pdf</w:t>
        </w:r>
      </w:hyperlink>
      <w:r w:rsidR="00640294" w:rsidRPr="00640294">
        <w:rPr>
          <w:rFonts w:ascii="Arial" w:eastAsia="Times New Roman" w:hAnsi="Arial" w:cs="Arial"/>
          <w:sz w:val="18"/>
          <w:szCs w:val="18"/>
        </w:rPr>
        <w:t xml:space="preserve"> [Page 4]</w:t>
      </w:r>
    </w:p>
    <w:p w14:paraId="6E08EC3E" w14:textId="77777777" w:rsidR="00640294" w:rsidRPr="00640294" w:rsidRDefault="006C5AFD" w:rsidP="00640294">
      <w:pPr>
        <w:contextualSpacing/>
        <w:rPr>
          <w:rFonts w:ascii="Arial" w:eastAsia="Times New Roman" w:hAnsi="Arial" w:cs="Arial"/>
          <w:sz w:val="18"/>
          <w:szCs w:val="18"/>
        </w:rPr>
      </w:pPr>
      <w:hyperlink r:id="rId11" w:history="1">
        <w:r w:rsidR="00640294" w:rsidRPr="00640294">
          <w:rPr>
            <w:rFonts w:ascii="Arial" w:eastAsia="Times New Roman" w:hAnsi="Arial" w:cs="Arial"/>
            <w:color w:val="0000FF"/>
            <w:sz w:val="18"/>
            <w:szCs w:val="18"/>
            <w:u w:val="single"/>
          </w:rPr>
          <w:t>https://www.bloomberg.com/news/articles/2022-06-10/barclays-sees-75-basis-point-fed-hike-next-week-on-price-surge</w:t>
        </w:r>
      </w:hyperlink>
      <w:r w:rsidR="00640294" w:rsidRPr="00640294">
        <w:rPr>
          <w:rFonts w:ascii="Arial" w:eastAsia="Times New Roman" w:hAnsi="Arial" w:cs="Arial"/>
          <w:sz w:val="18"/>
          <w:szCs w:val="18"/>
        </w:rPr>
        <w:t xml:space="preserve"> (</w:t>
      </w:r>
      <w:r w:rsidR="00640294" w:rsidRPr="00640294">
        <w:rPr>
          <w:rFonts w:ascii="Arial" w:eastAsia="Times New Roman" w:hAnsi="Arial" w:cs="Arial"/>
          <w:i/>
          <w:iCs/>
          <w:sz w:val="18"/>
          <w:szCs w:val="18"/>
        </w:rPr>
        <w:t>or go to</w:t>
      </w:r>
      <w:r w:rsidR="00640294" w:rsidRPr="00640294">
        <w:rPr>
          <w:rFonts w:ascii="Arial" w:eastAsia="Times New Roman" w:hAnsi="Arial" w:cs="Arial"/>
          <w:sz w:val="18"/>
          <w:szCs w:val="18"/>
        </w:rPr>
        <w:t xml:space="preserve"> </w:t>
      </w:r>
      <w:hyperlink r:id="rId12" w:history="1">
        <w:r w:rsidR="00640294" w:rsidRPr="00640294">
          <w:rPr>
            <w:rFonts w:ascii="Arial" w:eastAsia="Times New Roman" w:hAnsi="Arial" w:cs="Arial"/>
            <w:color w:val="0000FF"/>
            <w:sz w:val="18"/>
            <w:szCs w:val="18"/>
            <w:u w:val="single"/>
          </w:rPr>
          <w:t>https://resources.carsongroup.com/hubfs/WMC-Source/2022/06-13-22_Bloomberg_Barclays%2c%20Traders%20Set%20Sights%20on%20Fed%20Rate%20Hike_4.pdf</w:t>
        </w:r>
      </w:hyperlink>
      <w:r w:rsidR="00640294" w:rsidRPr="00640294">
        <w:rPr>
          <w:rFonts w:ascii="Arial" w:eastAsia="Times New Roman" w:hAnsi="Arial" w:cs="Arial"/>
          <w:sz w:val="18"/>
          <w:szCs w:val="18"/>
        </w:rPr>
        <w:t xml:space="preserve">) </w:t>
      </w:r>
    </w:p>
    <w:p w14:paraId="675BEB60" w14:textId="77777777" w:rsidR="00640294" w:rsidRPr="00640294" w:rsidRDefault="006C5AFD" w:rsidP="00640294">
      <w:pPr>
        <w:contextualSpacing/>
        <w:rPr>
          <w:rFonts w:ascii="Arial" w:eastAsia="Times New Roman" w:hAnsi="Arial" w:cs="Arial"/>
          <w:sz w:val="18"/>
          <w:szCs w:val="18"/>
        </w:rPr>
      </w:pPr>
      <w:hyperlink r:id="rId13" w:history="1">
        <w:r w:rsidR="00640294" w:rsidRPr="00640294">
          <w:rPr>
            <w:rFonts w:ascii="Arial" w:eastAsia="Times New Roman" w:hAnsi="Arial" w:cs="Arial"/>
            <w:color w:val="0000FF"/>
            <w:sz w:val="18"/>
            <w:szCs w:val="18"/>
            <w:u w:val="single"/>
          </w:rPr>
          <w:t>https://www.barrons.com/articles/inflation-is-hot-and-stocks-are-cold-now-the-fed-needs-to-rethink-its-rosy-projections-51654908515</w:t>
        </w:r>
      </w:hyperlink>
      <w:r w:rsidR="00640294" w:rsidRPr="00640294">
        <w:rPr>
          <w:rFonts w:ascii="Arial" w:eastAsia="Times New Roman" w:hAnsi="Arial" w:cs="Arial"/>
          <w:sz w:val="18"/>
          <w:szCs w:val="18"/>
        </w:rPr>
        <w:t xml:space="preserve"> (</w:t>
      </w:r>
      <w:r w:rsidR="00640294" w:rsidRPr="00640294">
        <w:rPr>
          <w:rFonts w:ascii="Arial" w:eastAsia="Times New Roman" w:hAnsi="Arial" w:cs="Arial"/>
          <w:i/>
          <w:iCs/>
          <w:sz w:val="18"/>
          <w:szCs w:val="18"/>
        </w:rPr>
        <w:t>or go to</w:t>
      </w:r>
      <w:r w:rsidR="00640294" w:rsidRPr="00640294">
        <w:rPr>
          <w:rFonts w:ascii="Arial" w:eastAsia="Times New Roman" w:hAnsi="Arial" w:cs="Arial"/>
          <w:sz w:val="18"/>
          <w:szCs w:val="18"/>
        </w:rPr>
        <w:t xml:space="preserve"> </w:t>
      </w:r>
      <w:hyperlink r:id="rId14" w:history="1">
        <w:r w:rsidR="00640294" w:rsidRPr="00640294">
          <w:rPr>
            <w:rFonts w:ascii="Arial" w:eastAsia="Times New Roman" w:hAnsi="Arial" w:cs="Arial"/>
            <w:color w:val="0000FF"/>
            <w:sz w:val="18"/>
            <w:szCs w:val="18"/>
            <w:u w:val="single"/>
          </w:rPr>
          <w:t>https://resources.carsongroup.com/hubfs/WMC-Source/2022/06-13-22_Barrons_Inflation%20is%20Hot%20and%20Stocks%20Are%20Cold_5.pdf</w:t>
        </w:r>
      </w:hyperlink>
      <w:r w:rsidR="00640294" w:rsidRPr="00640294">
        <w:rPr>
          <w:rFonts w:ascii="Arial" w:eastAsia="Times New Roman" w:hAnsi="Arial" w:cs="Arial"/>
          <w:sz w:val="18"/>
          <w:szCs w:val="18"/>
        </w:rPr>
        <w:t xml:space="preserve">) </w:t>
      </w:r>
    </w:p>
    <w:p w14:paraId="4C61AE98" w14:textId="77777777" w:rsidR="00640294" w:rsidRPr="00640294" w:rsidRDefault="006C5AFD" w:rsidP="00640294">
      <w:pPr>
        <w:contextualSpacing/>
        <w:rPr>
          <w:rFonts w:ascii="Arial" w:eastAsia="Times New Roman" w:hAnsi="Arial" w:cs="Arial"/>
          <w:sz w:val="18"/>
          <w:szCs w:val="18"/>
        </w:rPr>
      </w:pPr>
      <w:hyperlink r:id="rId15" w:history="1">
        <w:r w:rsidR="00640294" w:rsidRPr="00640294">
          <w:rPr>
            <w:rFonts w:ascii="Arial" w:eastAsia="Times New Roman" w:hAnsi="Arial" w:cs="Arial"/>
            <w:color w:val="0000FF"/>
            <w:sz w:val="18"/>
            <w:szCs w:val="18"/>
            <w:u w:val="single"/>
          </w:rPr>
          <w:t>https://www.barrons.com/articles/stock-market-today-51654850113?mod=hpsubnav</w:t>
        </w:r>
      </w:hyperlink>
    </w:p>
    <w:p w14:paraId="5A73EC90" w14:textId="77777777" w:rsidR="00640294" w:rsidRPr="00640294" w:rsidRDefault="006C5AFD" w:rsidP="00640294">
      <w:pPr>
        <w:contextualSpacing/>
        <w:rPr>
          <w:rFonts w:ascii="Arial" w:eastAsia="Times New Roman" w:hAnsi="Arial" w:cs="Arial"/>
          <w:sz w:val="18"/>
          <w:szCs w:val="18"/>
        </w:rPr>
      </w:pPr>
      <w:hyperlink r:id="rId16" w:history="1">
        <w:r w:rsidR="00640294" w:rsidRPr="00640294">
          <w:rPr>
            <w:rFonts w:ascii="Arial" w:eastAsia="Times New Roman" w:hAnsi="Arial" w:cs="Arial"/>
            <w:color w:val="0000FF"/>
            <w:sz w:val="18"/>
            <w:szCs w:val="18"/>
            <w:u w:val="single"/>
          </w:rPr>
          <w:t>https://home.treasury.gov/resource-center/data-chart-center/interest-rates/TextView?type=daily_treasury_yield_curve&amp;field_tdr_date_value_month=202206</w:t>
        </w:r>
      </w:hyperlink>
    </w:p>
    <w:p w14:paraId="2C472702" w14:textId="77777777" w:rsidR="00640294" w:rsidRPr="00640294" w:rsidRDefault="006C5AFD" w:rsidP="00640294">
      <w:pPr>
        <w:contextualSpacing/>
        <w:rPr>
          <w:rFonts w:ascii="Arial" w:eastAsia="Times New Roman" w:hAnsi="Arial" w:cs="Arial"/>
          <w:sz w:val="18"/>
          <w:szCs w:val="18"/>
        </w:rPr>
      </w:pPr>
      <w:hyperlink r:id="rId17" w:history="1">
        <w:r w:rsidR="00640294" w:rsidRPr="00640294">
          <w:rPr>
            <w:rFonts w:ascii="Arial" w:eastAsia="Times New Roman" w:hAnsi="Arial" w:cs="Arial"/>
            <w:color w:val="0000FF"/>
            <w:sz w:val="18"/>
            <w:szCs w:val="18"/>
            <w:u w:val="single"/>
          </w:rPr>
          <w:t>https://www.frbsf.org/education/publications/doctor-econ/2004/october/core-inflation-headline/</w:t>
        </w:r>
      </w:hyperlink>
      <w:r w:rsidR="00640294" w:rsidRPr="00640294">
        <w:rPr>
          <w:rFonts w:ascii="Arial" w:eastAsia="Times New Roman" w:hAnsi="Arial" w:cs="Arial"/>
          <w:sz w:val="18"/>
          <w:szCs w:val="18"/>
        </w:rPr>
        <w:t xml:space="preserve"> </w:t>
      </w:r>
    </w:p>
    <w:p w14:paraId="40B03146" w14:textId="77777777" w:rsidR="00640294" w:rsidRPr="00640294" w:rsidRDefault="006C5AFD" w:rsidP="00640294">
      <w:pPr>
        <w:contextualSpacing/>
        <w:rPr>
          <w:rFonts w:ascii="Arial" w:eastAsia="Times New Roman" w:hAnsi="Arial" w:cs="Arial"/>
          <w:sz w:val="18"/>
          <w:szCs w:val="18"/>
        </w:rPr>
      </w:pPr>
      <w:hyperlink r:id="rId18" w:history="1">
        <w:r w:rsidR="00640294" w:rsidRPr="00640294">
          <w:rPr>
            <w:rFonts w:ascii="Arial" w:eastAsia="Times New Roman" w:hAnsi="Arial" w:cs="Arial"/>
            <w:color w:val="0000FF"/>
            <w:sz w:val="18"/>
            <w:szCs w:val="18"/>
            <w:u w:val="single"/>
          </w:rPr>
          <w:t>https://www.bls.gov/news.release/archives/cpi_04122022.htm</w:t>
        </w:r>
      </w:hyperlink>
      <w:r w:rsidR="00640294" w:rsidRPr="00640294">
        <w:rPr>
          <w:rFonts w:ascii="Arial" w:eastAsia="Times New Roman" w:hAnsi="Arial" w:cs="Arial"/>
          <w:sz w:val="18"/>
          <w:szCs w:val="18"/>
        </w:rPr>
        <w:t xml:space="preserve"> </w:t>
      </w:r>
    </w:p>
    <w:p w14:paraId="425F1116" w14:textId="77777777" w:rsidR="00640294" w:rsidRPr="00640294" w:rsidRDefault="006C5AFD" w:rsidP="00640294">
      <w:pPr>
        <w:contextualSpacing/>
        <w:rPr>
          <w:rFonts w:ascii="Arial" w:eastAsia="Times New Roman" w:hAnsi="Arial" w:cs="Arial"/>
          <w:sz w:val="18"/>
          <w:szCs w:val="18"/>
        </w:rPr>
      </w:pPr>
      <w:hyperlink r:id="rId19" w:history="1">
        <w:r w:rsidR="00640294" w:rsidRPr="00640294">
          <w:rPr>
            <w:rFonts w:ascii="Arial" w:eastAsia="Times New Roman" w:hAnsi="Arial" w:cs="Arial"/>
            <w:color w:val="0000FF"/>
            <w:sz w:val="18"/>
            <w:szCs w:val="18"/>
            <w:u w:val="single"/>
          </w:rPr>
          <w:t>https://www.cnbc.com/2020/03/14/a-look-at-bear-and-bull-markets-through-history.html</w:t>
        </w:r>
      </w:hyperlink>
      <w:r w:rsidR="00640294" w:rsidRPr="00640294">
        <w:rPr>
          <w:rFonts w:ascii="Arial" w:eastAsia="Times New Roman" w:hAnsi="Arial" w:cs="Arial"/>
          <w:sz w:val="18"/>
          <w:szCs w:val="18"/>
        </w:rPr>
        <w:t xml:space="preserve"> </w:t>
      </w:r>
    </w:p>
    <w:p w14:paraId="5412E1C0" w14:textId="541F5DD8" w:rsidR="00A56FC9" w:rsidRPr="00331713" w:rsidRDefault="006C5AFD" w:rsidP="00640294">
      <w:pPr>
        <w:widowControl w:val="0"/>
        <w:adjustRightInd w:val="0"/>
        <w:ind w:right="-36"/>
        <w:contextualSpacing/>
        <w:rPr>
          <w:rFonts w:ascii="Arial" w:eastAsia="Times New Roman" w:hAnsi="Arial" w:cs="Arial"/>
          <w:sz w:val="18"/>
          <w:szCs w:val="18"/>
        </w:rPr>
      </w:pPr>
      <w:hyperlink r:id="rId20" w:history="1">
        <w:r w:rsidR="00640294" w:rsidRPr="00640294">
          <w:rPr>
            <w:rFonts w:ascii="Arial" w:eastAsia="Times New Roman" w:hAnsi="Arial" w:cs="Arial"/>
            <w:color w:val="0000FF"/>
            <w:sz w:val="18"/>
            <w:szCs w:val="18"/>
            <w:u w:val="single"/>
          </w:rPr>
          <w:t>https://www.investopedia.com/financial-edge/0511/the-top-17-investing-quotes-of-all-time.aspx</w:t>
        </w:r>
      </w:hyperlink>
    </w:p>
    <w:sectPr w:rsidR="00A56FC9" w:rsidRPr="00331713" w:rsidSect="005F1A60">
      <w:headerReference w:type="default" r:id="rId21"/>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0521" w14:textId="77777777" w:rsidR="006C5AFD" w:rsidRDefault="006C5AFD" w:rsidP="00057E69">
      <w:pPr>
        <w:spacing w:after="0" w:line="240" w:lineRule="auto"/>
      </w:pPr>
      <w:r>
        <w:separator/>
      </w:r>
    </w:p>
  </w:endnote>
  <w:endnote w:type="continuationSeparator" w:id="0">
    <w:p w14:paraId="6D4FDF1C" w14:textId="77777777" w:rsidR="006C5AFD" w:rsidRDefault="006C5AFD"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C97B" w14:textId="77777777" w:rsidR="006C5AFD" w:rsidRDefault="006C5AFD" w:rsidP="00057E69">
      <w:pPr>
        <w:spacing w:after="0" w:line="240" w:lineRule="auto"/>
      </w:pPr>
      <w:r>
        <w:separator/>
      </w:r>
    </w:p>
  </w:footnote>
  <w:footnote w:type="continuationSeparator" w:id="0">
    <w:p w14:paraId="23EF21DF" w14:textId="77777777" w:rsidR="006C5AFD" w:rsidRDefault="006C5AFD"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3578E"/>
    <w:multiLevelType w:val="hybridMultilevel"/>
    <w:tmpl w:val="6B4A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0C26"/>
    <w:multiLevelType w:val="hybridMultilevel"/>
    <w:tmpl w:val="519887AC"/>
    <w:lvl w:ilvl="0" w:tplc="8EB2E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5510A"/>
    <w:multiLevelType w:val="hybridMultilevel"/>
    <w:tmpl w:val="0A9C3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F0ABC"/>
    <w:multiLevelType w:val="hybridMultilevel"/>
    <w:tmpl w:val="F1E0CF84"/>
    <w:lvl w:ilvl="0" w:tplc="9530E9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349DF"/>
    <w:multiLevelType w:val="hybridMultilevel"/>
    <w:tmpl w:val="778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4728A"/>
    <w:multiLevelType w:val="hybridMultilevel"/>
    <w:tmpl w:val="D1844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3C1FD6"/>
    <w:multiLevelType w:val="hybridMultilevel"/>
    <w:tmpl w:val="FD869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44A43"/>
    <w:multiLevelType w:val="hybridMultilevel"/>
    <w:tmpl w:val="648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067E5"/>
    <w:multiLevelType w:val="hybridMultilevel"/>
    <w:tmpl w:val="F19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1065B"/>
    <w:multiLevelType w:val="hybridMultilevel"/>
    <w:tmpl w:val="02D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83838"/>
    <w:multiLevelType w:val="hybridMultilevel"/>
    <w:tmpl w:val="6FC8D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D64C8"/>
    <w:multiLevelType w:val="hybridMultilevel"/>
    <w:tmpl w:val="4B34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13165"/>
    <w:multiLevelType w:val="hybridMultilevel"/>
    <w:tmpl w:val="5B38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27128"/>
    <w:multiLevelType w:val="hybridMultilevel"/>
    <w:tmpl w:val="951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150CA"/>
    <w:multiLevelType w:val="hybridMultilevel"/>
    <w:tmpl w:val="CE288A68"/>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7"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D37AB"/>
    <w:multiLevelType w:val="hybridMultilevel"/>
    <w:tmpl w:val="B2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E0A82"/>
    <w:multiLevelType w:val="hybridMultilevel"/>
    <w:tmpl w:val="C2E2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06170"/>
    <w:multiLevelType w:val="hybridMultilevel"/>
    <w:tmpl w:val="B8D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E6FF8"/>
    <w:multiLevelType w:val="hybridMultilevel"/>
    <w:tmpl w:val="861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D73ED"/>
    <w:multiLevelType w:val="hybridMultilevel"/>
    <w:tmpl w:val="3A122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9433C5"/>
    <w:multiLevelType w:val="hybridMultilevel"/>
    <w:tmpl w:val="80F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92D35"/>
    <w:multiLevelType w:val="hybridMultilevel"/>
    <w:tmpl w:val="EDB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547E6"/>
    <w:multiLevelType w:val="hybridMultilevel"/>
    <w:tmpl w:val="76A4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83214342">
    <w:abstractNumId w:val="15"/>
  </w:num>
  <w:num w:numId="2" w16cid:durableId="801656847">
    <w:abstractNumId w:val="9"/>
  </w:num>
  <w:num w:numId="3" w16cid:durableId="786704827">
    <w:abstractNumId w:val="18"/>
  </w:num>
  <w:num w:numId="4" w16cid:durableId="1634170578">
    <w:abstractNumId w:val="12"/>
  </w:num>
  <w:num w:numId="5" w16cid:durableId="1190948350">
    <w:abstractNumId w:val="21"/>
  </w:num>
  <w:num w:numId="6" w16cid:durableId="1874228304">
    <w:abstractNumId w:val="19"/>
  </w:num>
  <w:num w:numId="7" w16cid:durableId="1876849326">
    <w:abstractNumId w:val="26"/>
  </w:num>
  <w:num w:numId="8" w16cid:durableId="926766485">
    <w:abstractNumId w:val="20"/>
  </w:num>
  <w:num w:numId="9" w16cid:durableId="1100684668">
    <w:abstractNumId w:val="0"/>
  </w:num>
  <w:num w:numId="10" w16cid:durableId="1480611418">
    <w:abstractNumId w:val="17"/>
  </w:num>
  <w:num w:numId="11" w16cid:durableId="1249344597">
    <w:abstractNumId w:val="8"/>
  </w:num>
  <w:num w:numId="12" w16cid:durableId="2135445508">
    <w:abstractNumId w:val="22"/>
  </w:num>
  <w:num w:numId="13" w16cid:durableId="1831675148">
    <w:abstractNumId w:val="5"/>
  </w:num>
  <w:num w:numId="14" w16cid:durableId="1026324974">
    <w:abstractNumId w:val="6"/>
  </w:num>
  <w:num w:numId="15" w16cid:durableId="1089813960">
    <w:abstractNumId w:val="16"/>
  </w:num>
  <w:num w:numId="16" w16cid:durableId="871456458">
    <w:abstractNumId w:val="28"/>
  </w:num>
  <w:num w:numId="17" w16cid:durableId="124198522">
    <w:abstractNumId w:val="24"/>
  </w:num>
  <w:num w:numId="18" w16cid:durableId="212079081">
    <w:abstractNumId w:val="11"/>
  </w:num>
  <w:num w:numId="19" w16cid:durableId="590704207">
    <w:abstractNumId w:val="2"/>
  </w:num>
  <w:num w:numId="20" w16cid:durableId="1300263673">
    <w:abstractNumId w:val="23"/>
  </w:num>
  <w:num w:numId="21" w16cid:durableId="1250851644">
    <w:abstractNumId w:val="25"/>
  </w:num>
  <w:num w:numId="22" w16cid:durableId="908078781">
    <w:abstractNumId w:val="1"/>
  </w:num>
  <w:num w:numId="23" w16cid:durableId="1754400421">
    <w:abstractNumId w:val="14"/>
  </w:num>
  <w:num w:numId="24" w16cid:durableId="766462523">
    <w:abstractNumId w:val="27"/>
  </w:num>
  <w:num w:numId="25" w16cid:durableId="2040810772">
    <w:abstractNumId w:val="7"/>
  </w:num>
  <w:num w:numId="26" w16cid:durableId="1969319631">
    <w:abstractNumId w:val="3"/>
  </w:num>
  <w:num w:numId="27" w16cid:durableId="1779182718">
    <w:abstractNumId w:val="10"/>
  </w:num>
  <w:num w:numId="28" w16cid:durableId="1764648598">
    <w:abstractNumId w:val="13"/>
  </w:num>
  <w:num w:numId="29" w16cid:durableId="87805279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10E81"/>
    <w:rsid w:val="00014F35"/>
    <w:rsid w:val="000176D4"/>
    <w:rsid w:val="000305A8"/>
    <w:rsid w:val="000428D9"/>
    <w:rsid w:val="00057E69"/>
    <w:rsid w:val="0006592A"/>
    <w:rsid w:val="00065AA1"/>
    <w:rsid w:val="000A3D54"/>
    <w:rsid w:val="000C672F"/>
    <w:rsid w:val="000D59EB"/>
    <w:rsid w:val="000E0577"/>
    <w:rsid w:val="000E4AB1"/>
    <w:rsid w:val="000E6276"/>
    <w:rsid w:val="00111160"/>
    <w:rsid w:val="00113E3B"/>
    <w:rsid w:val="00114774"/>
    <w:rsid w:val="00140FB6"/>
    <w:rsid w:val="00151539"/>
    <w:rsid w:val="00155FC4"/>
    <w:rsid w:val="0016035F"/>
    <w:rsid w:val="00171868"/>
    <w:rsid w:val="00196D35"/>
    <w:rsid w:val="0019751D"/>
    <w:rsid w:val="001976FE"/>
    <w:rsid w:val="001B3410"/>
    <w:rsid w:val="001B37A4"/>
    <w:rsid w:val="001C04CA"/>
    <w:rsid w:val="001C1209"/>
    <w:rsid w:val="001C5B20"/>
    <w:rsid w:val="001D47C1"/>
    <w:rsid w:val="001E3493"/>
    <w:rsid w:val="001E649E"/>
    <w:rsid w:val="001F3345"/>
    <w:rsid w:val="001F6E83"/>
    <w:rsid w:val="002066F9"/>
    <w:rsid w:val="00212442"/>
    <w:rsid w:val="00213E4F"/>
    <w:rsid w:val="002235F7"/>
    <w:rsid w:val="00223D83"/>
    <w:rsid w:val="00234860"/>
    <w:rsid w:val="00242627"/>
    <w:rsid w:val="00266315"/>
    <w:rsid w:val="002764B8"/>
    <w:rsid w:val="00280DD9"/>
    <w:rsid w:val="002A1934"/>
    <w:rsid w:val="002C1A9B"/>
    <w:rsid w:val="002D1BE6"/>
    <w:rsid w:val="002D2621"/>
    <w:rsid w:val="002F040E"/>
    <w:rsid w:val="002F768F"/>
    <w:rsid w:val="00302ABE"/>
    <w:rsid w:val="00312AAE"/>
    <w:rsid w:val="00325AAE"/>
    <w:rsid w:val="00331713"/>
    <w:rsid w:val="00345C0D"/>
    <w:rsid w:val="00360E87"/>
    <w:rsid w:val="00367F8D"/>
    <w:rsid w:val="0037381D"/>
    <w:rsid w:val="003966B6"/>
    <w:rsid w:val="00396A0F"/>
    <w:rsid w:val="003A1586"/>
    <w:rsid w:val="003B4F88"/>
    <w:rsid w:val="003C4020"/>
    <w:rsid w:val="003C706C"/>
    <w:rsid w:val="003C7996"/>
    <w:rsid w:val="003D1CDD"/>
    <w:rsid w:val="003E3A58"/>
    <w:rsid w:val="003F1C34"/>
    <w:rsid w:val="00406B06"/>
    <w:rsid w:val="004160B8"/>
    <w:rsid w:val="00421B2A"/>
    <w:rsid w:val="004275DE"/>
    <w:rsid w:val="00432CFF"/>
    <w:rsid w:val="00435F50"/>
    <w:rsid w:val="004404B9"/>
    <w:rsid w:val="0048481D"/>
    <w:rsid w:val="004856DF"/>
    <w:rsid w:val="004A6C8F"/>
    <w:rsid w:val="004C1E97"/>
    <w:rsid w:val="004C3E05"/>
    <w:rsid w:val="004D199C"/>
    <w:rsid w:val="004E503A"/>
    <w:rsid w:val="004F024A"/>
    <w:rsid w:val="004F183A"/>
    <w:rsid w:val="00531E2B"/>
    <w:rsid w:val="005360F3"/>
    <w:rsid w:val="005417B7"/>
    <w:rsid w:val="00545100"/>
    <w:rsid w:val="00547FAD"/>
    <w:rsid w:val="00567861"/>
    <w:rsid w:val="005827CE"/>
    <w:rsid w:val="005855BB"/>
    <w:rsid w:val="00594E39"/>
    <w:rsid w:val="005C485D"/>
    <w:rsid w:val="005C5FED"/>
    <w:rsid w:val="005E03D0"/>
    <w:rsid w:val="005F1764"/>
    <w:rsid w:val="005F1A60"/>
    <w:rsid w:val="005F67E6"/>
    <w:rsid w:val="00617A6A"/>
    <w:rsid w:val="00620BCF"/>
    <w:rsid w:val="00624386"/>
    <w:rsid w:val="0063723A"/>
    <w:rsid w:val="00640294"/>
    <w:rsid w:val="006527E0"/>
    <w:rsid w:val="00655B41"/>
    <w:rsid w:val="0066228A"/>
    <w:rsid w:val="00666BAB"/>
    <w:rsid w:val="00680097"/>
    <w:rsid w:val="006815AF"/>
    <w:rsid w:val="0069079E"/>
    <w:rsid w:val="006A75D8"/>
    <w:rsid w:val="006B1580"/>
    <w:rsid w:val="006C0ED9"/>
    <w:rsid w:val="006C2C00"/>
    <w:rsid w:val="006C5AFD"/>
    <w:rsid w:val="006E0894"/>
    <w:rsid w:val="006F21AC"/>
    <w:rsid w:val="006F4CEE"/>
    <w:rsid w:val="006F5262"/>
    <w:rsid w:val="007245DD"/>
    <w:rsid w:val="0072468B"/>
    <w:rsid w:val="00724EE4"/>
    <w:rsid w:val="007263A6"/>
    <w:rsid w:val="0075694B"/>
    <w:rsid w:val="0076333B"/>
    <w:rsid w:val="007827B4"/>
    <w:rsid w:val="0078613C"/>
    <w:rsid w:val="007913BD"/>
    <w:rsid w:val="0079176B"/>
    <w:rsid w:val="00791EDF"/>
    <w:rsid w:val="007B699E"/>
    <w:rsid w:val="007C6733"/>
    <w:rsid w:val="007D06FE"/>
    <w:rsid w:val="007D53F8"/>
    <w:rsid w:val="007E3EA2"/>
    <w:rsid w:val="00801E2D"/>
    <w:rsid w:val="008117FB"/>
    <w:rsid w:val="00826CF7"/>
    <w:rsid w:val="00830B64"/>
    <w:rsid w:val="00835107"/>
    <w:rsid w:val="008539A5"/>
    <w:rsid w:val="0088450E"/>
    <w:rsid w:val="008A4C3C"/>
    <w:rsid w:val="008C2652"/>
    <w:rsid w:val="008F3DC9"/>
    <w:rsid w:val="00905FCA"/>
    <w:rsid w:val="00910CCA"/>
    <w:rsid w:val="00917166"/>
    <w:rsid w:val="00931402"/>
    <w:rsid w:val="009768B5"/>
    <w:rsid w:val="00977F30"/>
    <w:rsid w:val="009A0723"/>
    <w:rsid w:val="009A48EC"/>
    <w:rsid w:val="009A585F"/>
    <w:rsid w:val="009A62B0"/>
    <w:rsid w:val="009B143A"/>
    <w:rsid w:val="009C2C55"/>
    <w:rsid w:val="009C7073"/>
    <w:rsid w:val="009E106E"/>
    <w:rsid w:val="009E41DD"/>
    <w:rsid w:val="00A048F4"/>
    <w:rsid w:val="00A14921"/>
    <w:rsid w:val="00A350B4"/>
    <w:rsid w:val="00A35446"/>
    <w:rsid w:val="00A3603A"/>
    <w:rsid w:val="00A56FC9"/>
    <w:rsid w:val="00A6136B"/>
    <w:rsid w:val="00A65363"/>
    <w:rsid w:val="00A8466F"/>
    <w:rsid w:val="00AA3E25"/>
    <w:rsid w:val="00AB66A9"/>
    <w:rsid w:val="00AC13AA"/>
    <w:rsid w:val="00AD45FF"/>
    <w:rsid w:val="00AE75D3"/>
    <w:rsid w:val="00AE7A32"/>
    <w:rsid w:val="00AF26E7"/>
    <w:rsid w:val="00B17497"/>
    <w:rsid w:val="00B20A40"/>
    <w:rsid w:val="00B26FF2"/>
    <w:rsid w:val="00B3181D"/>
    <w:rsid w:val="00B418B9"/>
    <w:rsid w:val="00B50599"/>
    <w:rsid w:val="00B559DC"/>
    <w:rsid w:val="00B737CC"/>
    <w:rsid w:val="00B75015"/>
    <w:rsid w:val="00B75D57"/>
    <w:rsid w:val="00B805F1"/>
    <w:rsid w:val="00B85508"/>
    <w:rsid w:val="00B961BA"/>
    <w:rsid w:val="00BB0171"/>
    <w:rsid w:val="00BB6274"/>
    <w:rsid w:val="00BD0F8A"/>
    <w:rsid w:val="00BD6103"/>
    <w:rsid w:val="00BE16D6"/>
    <w:rsid w:val="00BF5D42"/>
    <w:rsid w:val="00C03D59"/>
    <w:rsid w:val="00C03E68"/>
    <w:rsid w:val="00C057B4"/>
    <w:rsid w:val="00C372A2"/>
    <w:rsid w:val="00C45460"/>
    <w:rsid w:val="00C465D4"/>
    <w:rsid w:val="00C53F6D"/>
    <w:rsid w:val="00C801C6"/>
    <w:rsid w:val="00C808C6"/>
    <w:rsid w:val="00C9218B"/>
    <w:rsid w:val="00C922AA"/>
    <w:rsid w:val="00CB6ECE"/>
    <w:rsid w:val="00CC193A"/>
    <w:rsid w:val="00CD38A9"/>
    <w:rsid w:val="00CE0166"/>
    <w:rsid w:val="00CF466A"/>
    <w:rsid w:val="00CF5DBD"/>
    <w:rsid w:val="00D03ACA"/>
    <w:rsid w:val="00D04EF3"/>
    <w:rsid w:val="00D24A96"/>
    <w:rsid w:val="00D35070"/>
    <w:rsid w:val="00D3615F"/>
    <w:rsid w:val="00D56968"/>
    <w:rsid w:val="00D76B41"/>
    <w:rsid w:val="00D95A91"/>
    <w:rsid w:val="00DB194E"/>
    <w:rsid w:val="00DB73E7"/>
    <w:rsid w:val="00DC1761"/>
    <w:rsid w:val="00DC3104"/>
    <w:rsid w:val="00DD273E"/>
    <w:rsid w:val="00DD621C"/>
    <w:rsid w:val="00DD62C4"/>
    <w:rsid w:val="00DD6A8A"/>
    <w:rsid w:val="00DE3208"/>
    <w:rsid w:val="00DE639B"/>
    <w:rsid w:val="00DF0CBD"/>
    <w:rsid w:val="00E019FB"/>
    <w:rsid w:val="00E126A9"/>
    <w:rsid w:val="00E42461"/>
    <w:rsid w:val="00E47076"/>
    <w:rsid w:val="00E56A40"/>
    <w:rsid w:val="00E61600"/>
    <w:rsid w:val="00E651D7"/>
    <w:rsid w:val="00E73A7A"/>
    <w:rsid w:val="00E76536"/>
    <w:rsid w:val="00E768CD"/>
    <w:rsid w:val="00E8624B"/>
    <w:rsid w:val="00E86735"/>
    <w:rsid w:val="00EA5B71"/>
    <w:rsid w:val="00ED1AC4"/>
    <w:rsid w:val="00EE0F60"/>
    <w:rsid w:val="00EE6028"/>
    <w:rsid w:val="00F0143B"/>
    <w:rsid w:val="00F0624C"/>
    <w:rsid w:val="00F14B79"/>
    <w:rsid w:val="00F243B5"/>
    <w:rsid w:val="00F3068D"/>
    <w:rsid w:val="00F34CE8"/>
    <w:rsid w:val="00F4152C"/>
    <w:rsid w:val="00F5094D"/>
    <w:rsid w:val="00F71D40"/>
    <w:rsid w:val="00F753F9"/>
    <w:rsid w:val="00F77F57"/>
    <w:rsid w:val="00FA004C"/>
    <w:rsid w:val="00FA517F"/>
    <w:rsid w:val="00FA743D"/>
    <w:rsid w:val="00FC12E0"/>
    <w:rsid w:val="00FF0617"/>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cpi.nr0.htm" TargetMode="External"/><Relationship Id="rId13" Type="http://schemas.openxmlformats.org/officeDocument/2006/relationships/hyperlink" Target="https://www.barrons.com/articles/inflation-is-hot-and-stocks-are-cold-now-the-fed-needs-to-rethink-its-rosy-projections-51654908515" TargetMode="External"/><Relationship Id="rId18" Type="http://schemas.openxmlformats.org/officeDocument/2006/relationships/hyperlink" Target="https://www.bls.gov/news.release/archives/cpi_04122022.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esources.carsongroup.com/hubfs/WMC-Source/2022/06-13-22_Bloomberg_Barclays%2c%20Traders%20Set%20Sights%20on%20Fed%20Rate%20Hike_4.pdf" TargetMode="External"/><Relationship Id="rId17" Type="http://schemas.openxmlformats.org/officeDocument/2006/relationships/hyperlink" Target="https://www.frbsf.org/education/publications/doctor-econ/2004/october/core-inflation-headline/" TargetMode="External"/><Relationship Id="rId2" Type="http://schemas.openxmlformats.org/officeDocument/2006/relationships/numbering" Target="numbering.xml"/><Relationship Id="rId16" Type="http://schemas.openxmlformats.org/officeDocument/2006/relationships/hyperlink" Target="https://home.treasury.gov/resource-center/data-chart-center/interest-rates/TextView?type=daily_treasury_yield_curve&amp;field_tdr_date_value_month=202206" TargetMode="External"/><Relationship Id="rId20" Type="http://schemas.openxmlformats.org/officeDocument/2006/relationships/hyperlink" Target="https://www.investopedia.com/financial-edge/0511/the-top-17-investing-quotes-of-all-ti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mberg.com/news/articles/2022-06-10/barclays-sees-75-basis-point-fed-hike-next-week-on-price-surge" TargetMode="External"/><Relationship Id="rId5" Type="http://schemas.openxmlformats.org/officeDocument/2006/relationships/webSettings" Target="webSettings.xml"/><Relationship Id="rId15" Type="http://schemas.openxmlformats.org/officeDocument/2006/relationships/hyperlink" Target="https://www.barrons.com/articles/stock-market-today-51654850113?mod=hpsubnav" TargetMode="External"/><Relationship Id="rId23" Type="http://schemas.openxmlformats.org/officeDocument/2006/relationships/theme" Target="theme/theme1.xml"/><Relationship Id="rId10" Type="http://schemas.openxmlformats.org/officeDocument/2006/relationships/hyperlink" Target="https://openknowledge.worldbank.org/bitstream/handle/10986/37223/CMO-April-2022.pdf" TargetMode="External"/><Relationship Id="rId19" Type="http://schemas.openxmlformats.org/officeDocument/2006/relationships/hyperlink" Target="https://www.cnbc.com/2020/03/14/a-look-at-bear-and-bull-markets-through-history.html" TargetMode="External"/><Relationship Id="rId4" Type="http://schemas.openxmlformats.org/officeDocument/2006/relationships/settings" Target="settings.xml"/><Relationship Id="rId9" Type="http://schemas.openxmlformats.org/officeDocument/2006/relationships/hyperlink" Target="https://www.bls.gov/news.release/archives/cpi_05112022.htm" TargetMode="External"/><Relationship Id="rId14" Type="http://schemas.openxmlformats.org/officeDocument/2006/relationships/hyperlink" Target="https://resources.carsongroup.com/hubfs/WMC-Source/2022/06-13-22_Barrons_Inflation%20is%20Hot%20and%20Stocks%20Are%20Cold_5.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Madison Bredt</cp:lastModifiedBy>
  <cp:revision>2</cp:revision>
  <cp:lastPrinted>2022-06-13T20:51:00Z</cp:lastPrinted>
  <dcterms:created xsi:type="dcterms:W3CDTF">2022-06-13T21:42:00Z</dcterms:created>
  <dcterms:modified xsi:type="dcterms:W3CDTF">2022-06-13T21:42:00Z</dcterms:modified>
</cp:coreProperties>
</file>