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2537" w14:textId="77777777" w:rsidR="0001545D" w:rsidRPr="0001545D" w:rsidRDefault="0001545D" w:rsidP="0001545D">
      <w:pPr>
        <w:shd w:val="clear" w:color="auto" w:fill="FFFFFF"/>
        <w:spacing w:after="120" w:line="240" w:lineRule="auto"/>
        <w:textAlignment w:val="baseline"/>
        <w:rPr>
          <w:rFonts w:ascii="Arial" w:eastAsia="Times New Roman" w:hAnsi="Arial" w:cs="Arial"/>
          <w:caps/>
          <w:color w:val="3F3F40"/>
          <w:sz w:val="17"/>
          <w:szCs w:val="17"/>
        </w:rPr>
      </w:pPr>
      <w:r w:rsidRPr="0001545D">
        <w:rPr>
          <w:rFonts w:ascii="Arial" w:eastAsia="Times New Roman" w:hAnsi="Arial" w:cs="Arial"/>
          <w:caps/>
          <w:color w:val="3F3F40"/>
          <w:sz w:val="17"/>
          <w:szCs w:val="17"/>
        </w:rPr>
        <w:fldChar w:fldCharType="begin"/>
      </w:r>
      <w:r w:rsidRPr="0001545D">
        <w:rPr>
          <w:rFonts w:ascii="Arial" w:eastAsia="Times New Roman" w:hAnsi="Arial" w:cs="Arial"/>
          <w:caps/>
          <w:color w:val="3F3F40"/>
          <w:sz w:val="17"/>
          <w:szCs w:val="17"/>
        </w:rPr>
        <w:instrText xml:space="preserve"> HYPERLINK "https://www.reuters.com/news/archive/PersonalFinance" </w:instrText>
      </w:r>
      <w:r w:rsidRPr="0001545D">
        <w:rPr>
          <w:rFonts w:ascii="Arial" w:eastAsia="Times New Roman" w:hAnsi="Arial" w:cs="Arial"/>
          <w:caps/>
          <w:color w:val="3F3F40"/>
          <w:sz w:val="17"/>
          <w:szCs w:val="17"/>
        </w:rPr>
        <w:fldChar w:fldCharType="separate"/>
      </w:r>
      <w:r w:rsidRPr="0001545D">
        <w:rPr>
          <w:rFonts w:ascii="inherit" w:eastAsia="Times New Roman" w:hAnsi="inherit" w:cs="Arial"/>
          <w:caps/>
          <w:color w:val="0000FF"/>
          <w:sz w:val="17"/>
          <w:szCs w:val="17"/>
          <w:bdr w:val="none" w:sz="0" w:space="0" w:color="auto" w:frame="1"/>
        </w:rPr>
        <w:t>WEALTH</w:t>
      </w:r>
      <w:r w:rsidRPr="0001545D">
        <w:rPr>
          <w:rFonts w:ascii="Arial" w:eastAsia="Times New Roman" w:hAnsi="Arial" w:cs="Arial"/>
          <w:caps/>
          <w:color w:val="3F3F40"/>
          <w:sz w:val="17"/>
          <w:szCs w:val="17"/>
        </w:rPr>
        <w:fldChar w:fldCharType="end"/>
      </w:r>
    </w:p>
    <w:p w14:paraId="46E39C3A" w14:textId="77777777" w:rsidR="0001545D" w:rsidRPr="0001545D" w:rsidRDefault="0001545D" w:rsidP="0001545D">
      <w:pPr>
        <w:shd w:val="clear" w:color="auto" w:fill="FFFFFF"/>
        <w:spacing w:after="0" w:line="240" w:lineRule="auto"/>
        <w:textAlignment w:val="baseline"/>
        <w:rPr>
          <w:rFonts w:ascii="inherit" w:eastAsia="Times New Roman" w:hAnsi="inherit" w:cs="Arial"/>
          <w:caps/>
          <w:color w:val="717375"/>
          <w:sz w:val="17"/>
          <w:szCs w:val="17"/>
        </w:rPr>
      </w:pPr>
      <w:r w:rsidRPr="0001545D">
        <w:rPr>
          <w:rFonts w:ascii="inherit" w:eastAsia="Times New Roman" w:hAnsi="inherit" w:cs="Arial"/>
          <w:caps/>
          <w:color w:val="717375"/>
          <w:sz w:val="17"/>
          <w:szCs w:val="17"/>
        </w:rPr>
        <w:t>FEBRUARY 2, 2016 / 2:21 PM / 4 YEARS AGO</w:t>
      </w:r>
    </w:p>
    <w:p w14:paraId="24ED309E" w14:textId="77777777" w:rsidR="0001545D" w:rsidRPr="0001545D" w:rsidRDefault="0001545D" w:rsidP="0001545D">
      <w:pPr>
        <w:shd w:val="clear" w:color="auto" w:fill="FFFFFF"/>
        <w:spacing w:before="450" w:after="0" w:line="240" w:lineRule="auto"/>
        <w:ind w:left="1465"/>
        <w:textAlignment w:val="baseline"/>
        <w:outlineLvl w:val="0"/>
        <w:rPr>
          <w:rFonts w:ascii="Arial" w:eastAsia="Times New Roman" w:hAnsi="Arial" w:cs="Arial"/>
          <w:b/>
          <w:bCs/>
          <w:color w:val="3F3F40"/>
          <w:kern w:val="36"/>
          <w:sz w:val="60"/>
          <w:szCs w:val="60"/>
        </w:rPr>
      </w:pPr>
      <w:r w:rsidRPr="0001545D">
        <w:rPr>
          <w:rFonts w:ascii="Arial" w:eastAsia="Times New Roman" w:hAnsi="Arial" w:cs="Arial"/>
          <w:b/>
          <w:bCs/>
          <w:color w:val="3F3F40"/>
          <w:kern w:val="36"/>
          <w:sz w:val="60"/>
          <w:szCs w:val="60"/>
        </w:rPr>
        <w:t>U.S. black investors shifting from real estate to stocks</w:t>
      </w:r>
    </w:p>
    <w:p w14:paraId="3A6EE52E" w14:textId="77777777" w:rsidR="0001545D" w:rsidRPr="0001545D" w:rsidRDefault="0001545D" w:rsidP="0001545D">
      <w:pPr>
        <w:shd w:val="clear" w:color="auto" w:fill="FFFFFF"/>
        <w:spacing w:after="0" w:line="240" w:lineRule="auto"/>
        <w:textAlignment w:val="baseline"/>
        <w:rPr>
          <w:rFonts w:ascii="Times New Roman" w:eastAsia="Times New Roman" w:hAnsi="Times New Roman" w:cs="Times New Roman"/>
          <w:color w:val="717375"/>
          <w:sz w:val="24"/>
          <w:szCs w:val="24"/>
        </w:rPr>
      </w:pPr>
      <w:hyperlink r:id="rId7" w:tgtFrame="_blank" w:history="1">
        <w:r w:rsidRPr="0001545D">
          <w:rPr>
            <w:rFonts w:ascii="inherit" w:eastAsia="Times New Roman" w:hAnsi="inherit" w:cs="Times New Roman"/>
            <w:color w:val="0000FF"/>
            <w:sz w:val="24"/>
            <w:szCs w:val="24"/>
            <w:bdr w:val="none" w:sz="0" w:space="0" w:color="auto" w:frame="1"/>
          </w:rPr>
          <w:t>Lauren Young</w:t>
        </w:r>
      </w:hyperlink>
    </w:p>
    <w:p w14:paraId="4B5AF000" w14:textId="77777777" w:rsidR="0001545D" w:rsidRPr="0001545D" w:rsidRDefault="0001545D" w:rsidP="0001545D">
      <w:pPr>
        <w:shd w:val="clear" w:color="auto" w:fill="FFFFFF"/>
        <w:spacing w:after="0" w:line="240" w:lineRule="auto"/>
        <w:ind w:right="2761"/>
        <w:textAlignment w:val="baseline"/>
        <w:rPr>
          <w:rFonts w:ascii="Arial" w:eastAsia="Times New Roman" w:hAnsi="Arial" w:cs="Arial"/>
          <w:caps/>
          <w:color w:val="717375"/>
          <w:spacing w:val="36"/>
          <w:sz w:val="17"/>
          <w:szCs w:val="17"/>
        </w:rPr>
      </w:pPr>
      <w:r w:rsidRPr="0001545D">
        <w:rPr>
          <w:rFonts w:ascii="Arial" w:eastAsia="Times New Roman" w:hAnsi="Arial" w:cs="Arial"/>
          <w:caps/>
          <w:color w:val="717375"/>
          <w:spacing w:val="36"/>
          <w:sz w:val="17"/>
          <w:szCs w:val="17"/>
        </w:rPr>
        <w:t>4 MIN READ</w:t>
      </w:r>
    </w:p>
    <w:p w14:paraId="7AB6051E" w14:textId="77777777" w:rsidR="0001545D" w:rsidRPr="0001545D" w:rsidRDefault="0001545D" w:rsidP="0001545D">
      <w:pPr>
        <w:numPr>
          <w:ilvl w:val="0"/>
          <w:numId w:val="1"/>
        </w:numPr>
        <w:shd w:val="clear" w:color="auto" w:fill="FFFFFF"/>
        <w:spacing w:after="0" w:line="240" w:lineRule="auto"/>
        <w:ind w:left="1465"/>
        <w:jc w:val="right"/>
        <w:textAlignment w:val="center"/>
        <w:rPr>
          <w:rFonts w:ascii="inherit" w:eastAsia="Times New Roman" w:hAnsi="inherit" w:cs="Arial"/>
          <w:color w:val="000000"/>
          <w:sz w:val="15"/>
          <w:szCs w:val="15"/>
        </w:rPr>
      </w:pPr>
    </w:p>
    <w:p w14:paraId="33EF36ED" w14:textId="77777777" w:rsidR="0001545D" w:rsidRPr="0001545D" w:rsidRDefault="0001545D" w:rsidP="0001545D">
      <w:pPr>
        <w:numPr>
          <w:ilvl w:val="0"/>
          <w:numId w:val="1"/>
        </w:numPr>
        <w:shd w:val="clear" w:color="auto" w:fill="FFFFFF"/>
        <w:spacing w:line="240" w:lineRule="auto"/>
        <w:ind w:left="1465"/>
        <w:jc w:val="right"/>
        <w:textAlignment w:val="center"/>
        <w:rPr>
          <w:rFonts w:ascii="inherit" w:eastAsia="Times New Roman" w:hAnsi="inherit" w:cs="Arial"/>
          <w:color w:val="000000"/>
          <w:sz w:val="15"/>
          <w:szCs w:val="15"/>
        </w:rPr>
      </w:pPr>
    </w:p>
    <w:p w14:paraId="7B1AF2A4"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NEW YORK (Reuters) - Burned by the housing bust of 2008, more black Americans are tying up their wealth in the U.S. equity market through workplace retirement plans, experts say.</w:t>
      </w:r>
    </w:p>
    <w:p w14:paraId="53DB87E5" w14:textId="77777777" w:rsidR="0001545D" w:rsidRPr="0001545D" w:rsidRDefault="0001545D" w:rsidP="0001545D">
      <w:pPr>
        <w:shd w:val="clear" w:color="auto" w:fill="FFFFFF"/>
        <w:spacing w:line="240" w:lineRule="auto"/>
        <w:textAlignment w:val="baseline"/>
        <w:rPr>
          <w:rFonts w:ascii="inherit" w:eastAsia="Times New Roman" w:hAnsi="inherit" w:cs="Arial"/>
          <w:color w:val="313132"/>
          <w:sz w:val="21"/>
          <w:szCs w:val="21"/>
        </w:rPr>
      </w:pPr>
      <w:r w:rsidRPr="0001545D">
        <w:rPr>
          <w:rFonts w:ascii="inherit" w:eastAsia="Times New Roman" w:hAnsi="inherit" w:cs="Arial"/>
          <w:color w:val="313132"/>
          <w:sz w:val="21"/>
          <w:szCs w:val="21"/>
          <w:bdr w:val="none" w:sz="0" w:space="0" w:color="auto" w:frame="1"/>
        </w:rPr>
        <w:t>A screen displays the Dow Jones Industrial Average, following the closing bell on the floor of the New York Stock Exchange December 4, 2015. REUTERS/Brendan McDermid</w:t>
      </w:r>
    </w:p>
    <w:p w14:paraId="27F94205"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“Initially, my experience was that black Americans were more prone to invest in real estate - things they could touch, feel, see,” said Jerry Murphy, a certified financial planner at JDM Financial &amp; Investments in suburban Washington who has worked with African-American investors for two decades.</w:t>
      </w:r>
    </w:p>
    <w:p w14:paraId="20668DE3"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 xml:space="preserve">Sentiments, however, shifted as returns in the stock market outpaced home prices in recent years. The median U.S. home value dropped from $189,200 in January 2008 to $183,500 in December 2015, a fall of 3 percent, according to Zillow, an online real estate marketplace. By contrast, the S&amp;P 500 delivered a total return of 66 percent in roughly the same period, says Howard </w:t>
      </w:r>
      <w:proofErr w:type="spellStart"/>
      <w:r w:rsidRPr="0001545D">
        <w:rPr>
          <w:rFonts w:ascii="Times New Roman" w:eastAsia="Times New Roman" w:hAnsi="Times New Roman" w:cs="Times New Roman"/>
          <w:color w:val="313132"/>
          <w:sz w:val="32"/>
          <w:szCs w:val="32"/>
        </w:rPr>
        <w:t>Silverblatt</w:t>
      </w:r>
      <w:proofErr w:type="spellEnd"/>
      <w:r w:rsidRPr="0001545D">
        <w:rPr>
          <w:rFonts w:ascii="Times New Roman" w:eastAsia="Times New Roman" w:hAnsi="Times New Roman" w:cs="Times New Roman"/>
          <w:color w:val="313132"/>
          <w:sz w:val="32"/>
          <w:szCs w:val="32"/>
        </w:rPr>
        <w:t>, senior analyst at S&amp;P Dow Jones Indices.</w:t>
      </w:r>
    </w:p>
    <w:p w14:paraId="195E0FAA"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lastRenderedPageBreak/>
        <w:t>“It is pretty easy to see why the emphasis has shifted from real estate investing to stocks and ETFs,” Murphy said.</w:t>
      </w:r>
    </w:p>
    <w:p w14:paraId="488BAA33" w14:textId="77777777" w:rsidR="0001545D" w:rsidRPr="0001545D" w:rsidRDefault="0001545D" w:rsidP="0001545D">
      <w:pPr>
        <w:shd w:val="clear" w:color="auto" w:fill="FFFFFF"/>
        <w:spacing w:line="240" w:lineRule="auto"/>
        <w:textAlignment w:val="baseline"/>
        <w:rPr>
          <w:rFonts w:ascii="Arial" w:eastAsia="Times New Roman" w:hAnsi="Arial" w:cs="Arial"/>
          <w:caps/>
          <w:color w:val="86888B"/>
          <w:sz w:val="18"/>
          <w:szCs w:val="18"/>
        </w:rPr>
      </w:pPr>
      <w:r w:rsidRPr="0001545D">
        <w:rPr>
          <w:rFonts w:ascii="Arial" w:eastAsia="Times New Roman" w:hAnsi="Arial" w:cs="Arial"/>
          <w:caps/>
          <w:color w:val="86888B"/>
          <w:sz w:val="18"/>
          <w:szCs w:val="18"/>
        </w:rPr>
        <w:t>ADVERTISEMENT</w:t>
      </w:r>
    </w:p>
    <w:p w14:paraId="310D3E45"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The percentage of blacks citing real estate as the “best investment overall” was 61 percent in 2004, according to a survey released on Tuesday by Ariel Investments, a Chicago money management firm. In mid-2015, the percentage of black investors ranking real estate as the best investment was down to 37 percent, according to the survey.</w:t>
      </w:r>
    </w:p>
    <w:p w14:paraId="641AAB71"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 xml:space="preserve">“The bloom is off the rose on real estate,” said </w:t>
      </w:r>
      <w:proofErr w:type="spellStart"/>
      <w:r w:rsidRPr="0001545D">
        <w:rPr>
          <w:rFonts w:ascii="Times New Roman" w:eastAsia="Times New Roman" w:hAnsi="Times New Roman" w:cs="Times New Roman"/>
          <w:color w:val="313132"/>
          <w:sz w:val="32"/>
          <w:szCs w:val="32"/>
        </w:rPr>
        <w:t>Mellody</w:t>
      </w:r>
      <w:proofErr w:type="spellEnd"/>
      <w:r w:rsidRPr="0001545D">
        <w:rPr>
          <w:rFonts w:ascii="Times New Roman" w:eastAsia="Times New Roman" w:hAnsi="Times New Roman" w:cs="Times New Roman"/>
          <w:color w:val="313132"/>
          <w:sz w:val="32"/>
          <w:szCs w:val="32"/>
        </w:rPr>
        <w:t xml:space="preserve"> Hobson, president of Ariel Investments.</w:t>
      </w:r>
    </w:p>
    <w:p w14:paraId="6E2FE7BD"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Owning a home is not nearly as important as it once was for estate planning purposes in the black community, said David Jackson, a financial adviser at Waddell &amp; Reed in Kansas City, Missouri, who advises many black professionals.</w:t>
      </w:r>
    </w:p>
    <w:p w14:paraId="3EDA27C2"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The home ownership rate among blacks dropped to 41.9 percent in 2015 from 49 percent in 2004, according to the U.S. Census Bureau. Some of that decline is undoubtedly attributable to the housing crash and ensuing recession.</w:t>
      </w:r>
    </w:p>
    <w:p w14:paraId="52341F1B" w14:textId="77777777" w:rsidR="0001545D" w:rsidRPr="0001545D" w:rsidRDefault="0001545D" w:rsidP="0001545D">
      <w:pPr>
        <w:shd w:val="clear" w:color="auto" w:fill="FFFFFF"/>
        <w:spacing w:line="240" w:lineRule="auto"/>
        <w:textAlignment w:val="baseline"/>
        <w:rPr>
          <w:rFonts w:ascii="Arial" w:eastAsia="Times New Roman" w:hAnsi="Arial" w:cs="Arial"/>
          <w:caps/>
          <w:color w:val="86888B"/>
          <w:sz w:val="18"/>
          <w:szCs w:val="18"/>
        </w:rPr>
      </w:pPr>
      <w:r w:rsidRPr="0001545D">
        <w:rPr>
          <w:rFonts w:ascii="Arial" w:eastAsia="Times New Roman" w:hAnsi="Arial" w:cs="Arial"/>
          <w:caps/>
          <w:color w:val="86888B"/>
          <w:sz w:val="18"/>
          <w:szCs w:val="18"/>
        </w:rPr>
        <w:t>ADVERTISEMENT</w:t>
      </w:r>
    </w:p>
    <w:p w14:paraId="349A42A6"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But according to Jackson, a change in attitude also played a role.</w:t>
      </w:r>
    </w:p>
    <w:p w14:paraId="1CFBAD1A"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“The previous generation wanted to get the house paid off and left to the kids, but now that we’re just as mobile as the rest of society, that’s not nearly as big a deal,” Jackson said.</w:t>
      </w:r>
    </w:p>
    <w:p w14:paraId="7E2C8D44"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lastRenderedPageBreak/>
        <w:t xml:space="preserve">Seven in 10 </w:t>
      </w:r>
      <w:proofErr w:type="gramStart"/>
      <w:r w:rsidRPr="0001545D">
        <w:rPr>
          <w:rFonts w:ascii="Times New Roman" w:eastAsia="Times New Roman" w:hAnsi="Times New Roman" w:cs="Times New Roman"/>
          <w:color w:val="313132"/>
          <w:sz w:val="32"/>
          <w:szCs w:val="32"/>
        </w:rPr>
        <w:t>African-American</w:t>
      </w:r>
      <w:proofErr w:type="gramEnd"/>
      <w:r w:rsidRPr="0001545D">
        <w:rPr>
          <w:rFonts w:ascii="Times New Roman" w:eastAsia="Times New Roman" w:hAnsi="Times New Roman" w:cs="Times New Roman"/>
          <w:color w:val="313132"/>
          <w:sz w:val="32"/>
          <w:szCs w:val="32"/>
        </w:rPr>
        <w:t xml:space="preserve"> investors cite their employers’ retirement plans as a key reason for becoming an investor, Ariel said. “The workplace retirement plan has been a real game changer,” said Hobson.</w:t>
      </w:r>
    </w:p>
    <w:p w14:paraId="0E346D35"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The trend among U.S. employers is to enroll workers automatically in retirement plans, often defaulting them into mutual funds that invest predominately in stocks. Thanks to inertia, few decide to opt out once they are investing in a workplace plan, and that has lifted overall participation, Hobson said.</w:t>
      </w:r>
    </w:p>
    <w:p w14:paraId="0C4E3557"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 xml:space="preserve">Yet, black investors lag whites when it comes to investing in equities, according to Ariel, which has been collecting data on attitudes of black and white investors since 1998. Roughly two-thirds of </w:t>
      </w:r>
      <w:proofErr w:type="gramStart"/>
      <w:r w:rsidRPr="0001545D">
        <w:rPr>
          <w:rFonts w:ascii="Times New Roman" w:eastAsia="Times New Roman" w:hAnsi="Times New Roman" w:cs="Times New Roman"/>
          <w:color w:val="313132"/>
          <w:sz w:val="32"/>
          <w:szCs w:val="32"/>
        </w:rPr>
        <w:t>African-Americans</w:t>
      </w:r>
      <w:proofErr w:type="gramEnd"/>
      <w:r w:rsidRPr="0001545D">
        <w:rPr>
          <w:rFonts w:ascii="Times New Roman" w:eastAsia="Times New Roman" w:hAnsi="Times New Roman" w:cs="Times New Roman"/>
          <w:color w:val="313132"/>
          <w:sz w:val="32"/>
          <w:szCs w:val="32"/>
        </w:rPr>
        <w:t xml:space="preserve"> were invested in stocks or stock mutual funds last year, compared with 86 percent of whites, the firm says.</w:t>
      </w:r>
    </w:p>
    <w:p w14:paraId="2F610F17" w14:textId="77777777" w:rsidR="0001545D" w:rsidRPr="0001545D" w:rsidRDefault="0001545D" w:rsidP="0001545D">
      <w:pPr>
        <w:shd w:val="clear" w:color="auto" w:fill="FFFFFF"/>
        <w:spacing w:line="240" w:lineRule="auto"/>
        <w:textAlignment w:val="baseline"/>
        <w:rPr>
          <w:rFonts w:ascii="inherit" w:eastAsia="Times New Roman" w:hAnsi="inherit" w:cs="Arial"/>
          <w:color w:val="313132"/>
          <w:sz w:val="21"/>
          <w:szCs w:val="21"/>
        </w:rPr>
      </w:pPr>
      <w:r w:rsidRPr="0001545D">
        <w:rPr>
          <w:rFonts w:ascii="inherit" w:eastAsia="Times New Roman" w:hAnsi="inherit" w:cs="Arial"/>
          <w:color w:val="313132"/>
          <w:sz w:val="21"/>
          <w:szCs w:val="21"/>
          <w:bdr w:val="none" w:sz="0" w:space="0" w:color="auto" w:frame="1"/>
        </w:rPr>
        <w:t>A trader points to a stock chart on the floor of the New York Stock Exchange shortly before the closing bell in New York in this July 2, 2014 file photo. REUTERS/Lucas Jackson</w:t>
      </w:r>
    </w:p>
    <w:p w14:paraId="398CBFF2"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“It’s not like African-Americans are investing more than whites - we’re just starting to catch up,” Jackson said.</w:t>
      </w:r>
    </w:p>
    <w:p w14:paraId="67AC718A"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For its study, Ariel polled 500 black and 500 white households with incomes of at least $50,000 by phone last summer but held the data for release during Black History month.</w:t>
      </w:r>
    </w:p>
    <w:p w14:paraId="5D8CB809"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t>Hobson acknowledged that the survey results do not capture more recent volatility in the stock market - so far in 2016, the S&amp;P 500 is down nearly 7 percent.</w:t>
      </w:r>
    </w:p>
    <w:p w14:paraId="7A7D299A" w14:textId="77777777" w:rsidR="0001545D" w:rsidRPr="0001545D" w:rsidRDefault="0001545D" w:rsidP="0001545D">
      <w:pPr>
        <w:shd w:val="clear" w:color="auto" w:fill="FFFFFF"/>
        <w:spacing w:after="450" w:line="240" w:lineRule="auto"/>
        <w:ind w:left="1465"/>
        <w:textAlignment w:val="baseline"/>
        <w:rPr>
          <w:rFonts w:ascii="Times New Roman" w:eastAsia="Times New Roman" w:hAnsi="Times New Roman" w:cs="Times New Roman"/>
          <w:color w:val="313132"/>
          <w:sz w:val="32"/>
          <w:szCs w:val="32"/>
        </w:rPr>
      </w:pPr>
      <w:r w:rsidRPr="0001545D">
        <w:rPr>
          <w:rFonts w:ascii="Times New Roman" w:eastAsia="Times New Roman" w:hAnsi="Times New Roman" w:cs="Times New Roman"/>
          <w:color w:val="313132"/>
          <w:sz w:val="32"/>
          <w:szCs w:val="32"/>
        </w:rPr>
        <w:lastRenderedPageBreak/>
        <w:t>But attitudes toward equities are unlikely to shift dramatically among black investors, she said, adding: “These things do not turn on a dime.”</w:t>
      </w:r>
    </w:p>
    <w:p w14:paraId="54EF5284" w14:textId="77777777" w:rsidR="00411397" w:rsidRDefault="00411397"/>
    <w:sectPr w:rsidR="00411397" w:rsidSect="00411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EBC7" w14:textId="77777777" w:rsidR="00D5790F" w:rsidRDefault="00D5790F" w:rsidP="0001545D">
      <w:pPr>
        <w:spacing w:after="0" w:line="240" w:lineRule="auto"/>
      </w:pPr>
      <w:r>
        <w:separator/>
      </w:r>
    </w:p>
  </w:endnote>
  <w:endnote w:type="continuationSeparator" w:id="0">
    <w:p w14:paraId="07BC3096" w14:textId="77777777" w:rsidR="00D5790F" w:rsidRDefault="00D5790F" w:rsidP="0001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E033" w14:textId="77777777" w:rsidR="00D5790F" w:rsidRDefault="00D5790F" w:rsidP="0001545D">
      <w:pPr>
        <w:spacing w:after="0" w:line="240" w:lineRule="auto"/>
      </w:pPr>
      <w:r>
        <w:separator/>
      </w:r>
    </w:p>
  </w:footnote>
  <w:footnote w:type="continuationSeparator" w:id="0">
    <w:p w14:paraId="5D0CE610" w14:textId="77777777" w:rsidR="00D5790F" w:rsidRDefault="00D5790F" w:rsidP="0001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7A13"/>
    <w:multiLevelType w:val="multilevel"/>
    <w:tmpl w:val="DEFA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1545D"/>
    <w:rsid w:val="00001F2E"/>
    <w:rsid w:val="000045C6"/>
    <w:rsid w:val="00004882"/>
    <w:rsid w:val="00006EBA"/>
    <w:rsid w:val="00006ED9"/>
    <w:rsid w:val="00010E34"/>
    <w:rsid w:val="00014A2C"/>
    <w:rsid w:val="0001545D"/>
    <w:rsid w:val="0002206E"/>
    <w:rsid w:val="000359E8"/>
    <w:rsid w:val="000368F5"/>
    <w:rsid w:val="00037DC4"/>
    <w:rsid w:val="00044972"/>
    <w:rsid w:val="000453AC"/>
    <w:rsid w:val="00045F5A"/>
    <w:rsid w:val="000554B6"/>
    <w:rsid w:val="00064B7A"/>
    <w:rsid w:val="00071E19"/>
    <w:rsid w:val="00073341"/>
    <w:rsid w:val="00080C6F"/>
    <w:rsid w:val="000A404E"/>
    <w:rsid w:val="000A4F1B"/>
    <w:rsid w:val="000A7BD9"/>
    <w:rsid w:val="000C4615"/>
    <w:rsid w:val="000C57D1"/>
    <w:rsid w:val="000D1257"/>
    <w:rsid w:val="000E6E16"/>
    <w:rsid w:val="000E7B8F"/>
    <w:rsid w:val="000F3537"/>
    <w:rsid w:val="000F37B0"/>
    <w:rsid w:val="001031EE"/>
    <w:rsid w:val="00103471"/>
    <w:rsid w:val="001077F5"/>
    <w:rsid w:val="00116962"/>
    <w:rsid w:val="00121BA0"/>
    <w:rsid w:val="00122F5D"/>
    <w:rsid w:val="00123CC7"/>
    <w:rsid w:val="00124D62"/>
    <w:rsid w:val="00125F4F"/>
    <w:rsid w:val="00127479"/>
    <w:rsid w:val="001309C2"/>
    <w:rsid w:val="00135D92"/>
    <w:rsid w:val="00136F08"/>
    <w:rsid w:val="0014444D"/>
    <w:rsid w:val="001530AC"/>
    <w:rsid w:val="00154862"/>
    <w:rsid w:val="0015533A"/>
    <w:rsid w:val="00156454"/>
    <w:rsid w:val="00162402"/>
    <w:rsid w:val="00166680"/>
    <w:rsid w:val="001676A2"/>
    <w:rsid w:val="001678E7"/>
    <w:rsid w:val="0017473F"/>
    <w:rsid w:val="00175CA2"/>
    <w:rsid w:val="001819D5"/>
    <w:rsid w:val="00182601"/>
    <w:rsid w:val="00186FE8"/>
    <w:rsid w:val="00187AB3"/>
    <w:rsid w:val="001A1466"/>
    <w:rsid w:val="001A3A6A"/>
    <w:rsid w:val="001B39F9"/>
    <w:rsid w:val="001B5BA8"/>
    <w:rsid w:val="001B5C73"/>
    <w:rsid w:val="001B6C55"/>
    <w:rsid w:val="001C65F4"/>
    <w:rsid w:val="001D0F69"/>
    <w:rsid w:val="001E0DDD"/>
    <w:rsid w:val="001E1757"/>
    <w:rsid w:val="001E28FA"/>
    <w:rsid w:val="001E6496"/>
    <w:rsid w:val="001E7422"/>
    <w:rsid w:val="001F02DA"/>
    <w:rsid w:val="001F214B"/>
    <w:rsid w:val="001F30E4"/>
    <w:rsid w:val="001F3351"/>
    <w:rsid w:val="001F7694"/>
    <w:rsid w:val="00201388"/>
    <w:rsid w:val="00202604"/>
    <w:rsid w:val="00202AE3"/>
    <w:rsid w:val="00205C0D"/>
    <w:rsid w:val="00214CA4"/>
    <w:rsid w:val="00215E49"/>
    <w:rsid w:val="00217236"/>
    <w:rsid w:val="00222FCF"/>
    <w:rsid w:val="00224801"/>
    <w:rsid w:val="00227CB3"/>
    <w:rsid w:val="002321A7"/>
    <w:rsid w:val="002359CD"/>
    <w:rsid w:val="002375CA"/>
    <w:rsid w:val="002414AB"/>
    <w:rsid w:val="0024350F"/>
    <w:rsid w:val="00250AF7"/>
    <w:rsid w:val="00250DBE"/>
    <w:rsid w:val="00256789"/>
    <w:rsid w:val="00260052"/>
    <w:rsid w:val="00261F66"/>
    <w:rsid w:val="00265C25"/>
    <w:rsid w:val="00273D28"/>
    <w:rsid w:val="002745E8"/>
    <w:rsid w:val="00274FE6"/>
    <w:rsid w:val="0027758C"/>
    <w:rsid w:val="002778E6"/>
    <w:rsid w:val="002801C5"/>
    <w:rsid w:val="00294678"/>
    <w:rsid w:val="00295B21"/>
    <w:rsid w:val="002B7A56"/>
    <w:rsid w:val="002C46F0"/>
    <w:rsid w:val="002C4EB9"/>
    <w:rsid w:val="002C679D"/>
    <w:rsid w:val="002C749D"/>
    <w:rsid w:val="002D0B41"/>
    <w:rsid w:val="002D20E0"/>
    <w:rsid w:val="002E12FF"/>
    <w:rsid w:val="002E251F"/>
    <w:rsid w:val="002E32A4"/>
    <w:rsid w:val="002F29F4"/>
    <w:rsid w:val="003010F4"/>
    <w:rsid w:val="003019E0"/>
    <w:rsid w:val="00301A5E"/>
    <w:rsid w:val="00305B58"/>
    <w:rsid w:val="00310A69"/>
    <w:rsid w:val="0032755C"/>
    <w:rsid w:val="0033034E"/>
    <w:rsid w:val="00335430"/>
    <w:rsid w:val="003410D9"/>
    <w:rsid w:val="0034215D"/>
    <w:rsid w:val="00343451"/>
    <w:rsid w:val="00343F11"/>
    <w:rsid w:val="00345564"/>
    <w:rsid w:val="00353554"/>
    <w:rsid w:val="00365211"/>
    <w:rsid w:val="00365F4B"/>
    <w:rsid w:val="0036657F"/>
    <w:rsid w:val="0036689D"/>
    <w:rsid w:val="00374F6C"/>
    <w:rsid w:val="00375E8D"/>
    <w:rsid w:val="003808A4"/>
    <w:rsid w:val="0038179D"/>
    <w:rsid w:val="00395FF8"/>
    <w:rsid w:val="00396D52"/>
    <w:rsid w:val="003A257D"/>
    <w:rsid w:val="003A3F08"/>
    <w:rsid w:val="003C1893"/>
    <w:rsid w:val="003C4CEF"/>
    <w:rsid w:val="003D3DEA"/>
    <w:rsid w:val="003D781B"/>
    <w:rsid w:val="003D7BFA"/>
    <w:rsid w:val="003E050F"/>
    <w:rsid w:val="003E754C"/>
    <w:rsid w:val="003F4F96"/>
    <w:rsid w:val="00402B40"/>
    <w:rsid w:val="00411397"/>
    <w:rsid w:val="00413029"/>
    <w:rsid w:val="00420DB7"/>
    <w:rsid w:val="004212E2"/>
    <w:rsid w:val="004230CC"/>
    <w:rsid w:val="00426621"/>
    <w:rsid w:val="00426E60"/>
    <w:rsid w:val="004405C8"/>
    <w:rsid w:val="00440A05"/>
    <w:rsid w:val="00444E6F"/>
    <w:rsid w:val="00446828"/>
    <w:rsid w:val="004514B0"/>
    <w:rsid w:val="00453CE6"/>
    <w:rsid w:val="0047052E"/>
    <w:rsid w:val="00473021"/>
    <w:rsid w:val="00473E91"/>
    <w:rsid w:val="00474C56"/>
    <w:rsid w:val="00475A44"/>
    <w:rsid w:val="004844FD"/>
    <w:rsid w:val="004850E3"/>
    <w:rsid w:val="004876FB"/>
    <w:rsid w:val="00491519"/>
    <w:rsid w:val="004920FD"/>
    <w:rsid w:val="00495823"/>
    <w:rsid w:val="004968D4"/>
    <w:rsid w:val="00497761"/>
    <w:rsid w:val="004A7A2F"/>
    <w:rsid w:val="004A7F70"/>
    <w:rsid w:val="004B755D"/>
    <w:rsid w:val="004B7CEF"/>
    <w:rsid w:val="004C0F04"/>
    <w:rsid w:val="004D17E3"/>
    <w:rsid w:val="004D2424"/>
    <w:rsid w:val="004E2880"/>
    <w:rsid w:val="004E58AF"/>
    <w:rsid w:val="004E6945"/>
    <w:rsid w:val="004E726C"/>
    <w:rsid w:val="004F06A9"/>
    <w:rsid w:val="004F2530"/>
    <w:rsid w:val="004F3267"/>
    <w:rsid w:val="004F423D"/>
    <w:rsid w:val="004F4EDB"/>
    <w:rsid w:val="00500EEF"/>
    <w:rsid w:val="0052049B"/>
    <w:rsid w:val="00527FDA"/>
    <w:rsid w:val="00531B18"/>
    <w:rsid w:val="00531DD2"/>
    <w:rsid w:val="00543955"/>
    <w:rsid w:val="00544DB9"/>
    <w:rsid w:val="00547CB4"/>
    <w:rsid w:val="00556590"/>
    <w:rsid w:val="005568BB"/>
    <w:rsid w:val="00557F05"/>
    <w:rsid w:val="00560CE4"/>
    <w:rsid w:val="0056378E"/>
    <w:rsid w:val="00565FB4"/>
    <w:rsid w:val="00573A87"/>
    <w:rsid w:val="00576CC0"/>
    <w:rsid w:val="00585523"/>
    <w:rsid w:val="00592FC7"/>
    <w:rsid w:val="005945D3"/>
    <w:rsid w:val="005953C9"/>
    <w:rsid w:val="005965F2"/>
    <w:rsid w:val="005A71F9"/>
    <w:rsid w:val="005B44FD"/>
    <w:rsid w:val="005B6AD0"/>
    <w:rsid w:val="005B7FDE"/>
    <w:rsid w:val="005C18F1"/>
    <w:rsid w:val="005E4AC7"/>
    <w:rsid w:val="005E6099"/>
    <w:rsid w:val="005F1E32"/>
    <w:rsid w:val="005F221D"/>
    <w:rsid w:val="005F46C0"/>
    <w:rsid w:val="00603006"/>
    <w:rsid w:val="00604708"/>
    <w:rsid w:val="00607627"/>
    <w:rsid w:val="00624C72"/>
    <w:rsid w:val="0063038A"/>
    <w:rsid w:val="00635E09"/>
    <w:rsid w:val="00636801"/>
    <w:rsid w:val="0064214F"/>
    <w:rsid w:val="00645365"/>
    <w:rsid w:val="00656292"/>
    <w:rsid w:val="00664D48"/>
    <w:rsid w:val="00666E89"/>
    <w:rsid w:val="00670940"/>
    <w:rsid w:val="00671DE7"/>
    <w:rsid w:val="00673F3C"/>
    <w:rsid w:val="00680726"/>
    <w:rsid w:val="00684BCA"/>
    <w:rsid w:val="00692295"/>
    <w:rsid w:val="006933BA"/>
    <w:rsid w:val="006A1957"/>
    <w:rsid w:val="006A3136"/>
    <w:rsid w:val="006A76C6"/>
    <w:rsid w:val="006A7B2D"/>
    <w:rsid w:val="006B316A"/>
    <w:rsid w:val="006B47CA"/>
    <w:rsid w:val="006C2A76"/>
    <w:rsid w:val="006C4446"/>
    <w:rsid w:val="006C4BE5"/>
    <w:rsid w:val="006C6CF6"/>
    <w:rsid w:val="006D0D2E"/>
    <w:rsid w:val="006D0F3A"/>
    <w:rsid w:val="006D495A"/>
    <w:rsid w:val="006D510C"/>
    <w:rsid w:val="006D5F22"/>
    <w:rsid w:val="006E1C42"/>
    <w:rsid w:val="006E373C"/>
    <w:rsid w:val="006E46FD"/>
    <w:rsid w:val="006F7E93"/>
    <w:rsid w:val="00705CF8"/>
    <w:rsid w:val="00710FD0"/>
    <w:rsid w:val="0071210B"/>
    <w:rsid w:val="00712E04"/>
    <w:rsid w:val="0071665D"/>
    <w:rsid w:val="007173FE"/>
    <w:rsid w:val="007177A9"/>
    <w:rsid w:val="007216B9"/>
    <w:rsid w:val="007316A2"/>
    <w:rsid w:val="00732D2E"/>
    <w:rsid w:val="00741715"/>
    <w:rsid w:val="00744A8B"/>
    <w:rsid w:val="00752D58"/>
    <w:rsid w:val="007530BD"/>
    <w:rsid w:val="00756046"/>
    <w:rsid w:val="007612A5"/>
    <w:rsid w:val="00766D23"/>
    <w:rsid w:val="00767B21"/>
    <w:rsid w:val="007703FF"/>
    <w:rsid w:val="007710BC"/>
    <w:rsid w:val="00773252"/>
    <w:rsid w:val="00781051"/>
    <w:rsid w:val="007927AE"/>
    <w:rsid w:val="00795EAD"/>
    <w:rsid w:val="007A0304"/>
    <w:rsid w:val="007A21CD"/>
    <w:rsid w:val="007A6EA0"/>
    <w:rsid w:val="007C151F"/>
    <w:rsid w:val="007C581D"/>
    <w:rsid w:val="007D080D"/>
    <w:rsid w:val="007E3ED6"/>
    <w:rsid w:val="007E5C0C"/>
    <w:rsid w:val="007F4580"/>
    <w:rsid w:val="007F5AFA"/>
    <w:rsid w:val="0080204D"/>
    <w:rsid w:val="00811A5B"/>
    <w:rsid w:val="008144C0"/>
    <w:rsid w:val="00816B20"/>
    <w:rsid w:val="00816E69"/>
    <w:rsid w:val="00820477"/>
    <w:rsid w:val="00823DAE"/>
    <w:rsid w:val="0082448B"/>
    <w:rsid w:val="0083209A"/>
    <w:rsid w:val="00842831"/>
    <w:rsid w:val="00842A0F"/>
    <w:rsid w:val="008553B3"/>
    <w:rsid w:val="00862943"/>
    <w:rsid w:val="00863843"/>
    <w:rsid w:val="008802C8"/>
    <w:rsid w:val="008904D5"/>
    <w:rsid w:val="00891797"/>
    <w:rsid w:val="008918C3"/>
    <w:rsid w:val="00891D69"/>
    <w:rsid w:val="00893C7E"/>
    <w:rsid w:val="00896B22"/>
    <w:rsid w:val="008A0628"/>
    <w:rsid w:val="008A2789"/>
    <w:rsid w:val="008A299D"/>
    <w:rsid w:val="008A3291"/>
    <w:rsid w:val="008A5FA3"/>
    <w:rsid w:val="008B5328"/>
    <w:rsid w:val="008C1080"/>
    <w:rsid w:val="008C2C5E"/>
    <w:rsid w:val="008C7B70"/>
    <w:rsid w:val="008D1F4D"/>
    <w:rsid w:val="008D6870"/>
    <w:rsid w:val="008E1A46"/>
    <w:rsid w:val="008E31B3"/>
    <w:rsid w:val="008E7C1D"/>
    <w:rsid w:val="008F02BE"/>
    <w:rsid w:val="008F0943"/>
    <w:rsid w:val="008F1494"/>
    <w:rsid w:val="008F3D93"/>
    <w:rsid w:val="00901D35"/>
    <w:rsid w:val="009027FC"/>
    <w:rsid w:val="009046D6"/>
    <w:rsid w:val="00913D2B"/>
    <w:rsid w:val="0092188E"/>
    <w:rsid w:val="00921D37"/>
    <w:rsid w:val="00922983"/>
    <w:rsid w:val="00926D48"/>
    <w:rsid w:val="00933588"/>
    <w:rsid w:val="00935FA4"/>
    <w:rsid w:val="00941568"/>
    <w:rsid w:val="00944C0A"/>
    <w:rsid w:val="009460C9"/>
    <w:rsid w:val="00946394"/>
    <w:rsid w:val="00950119"/>
    <w:rsid w:val="0095073E"/>
    <w:rsid w:val="00950B80"/>
    <w:rsid w:val="00953AEE"/>
    <w:rsid w:val="00962AAC"/>
    <w:rsid w:val="0096328B"/>
    <w:rsid w:val="0096467E"/>
    <w:rsid w:val="00975CBE"/>
    <w:rsid w:val="00976CB0"/>
    <w:rsid w:val="00977FA1"/>
    <w:rsid w:val="009804B8"/>
    <w:rsid w:val="009900A2"/>
    <w:rsid w:val="00991534"/>
    <w:rsid w:val="0099325F"/>
    <w:rsid w:val="009956ED"/>
    <w:rsid w:val="009A7DC1"/>
    <w:rsid w:val="009B1F5B"/>
    <w:rsid w:val="009B41FE"/>
    <w:rsid w:val="009B442F"/>
    <w:rsid w:val="009B6C4F"/>
    <w:rsid w:val="009B7B7A"/>
    <w:rsid w:val="009C61D1"/>
    <w:rsid w:val="009C7713"/>
    <w:rsid w:val="009D0AA3"/>
    <w:rsid w:val="009D0B4D"/>
    <w:rsid w:val="009D7561"/>
    <w:rsid w:val="009E1D26"/>
    <w:rsid w:val="009E4AC7"/>
    <w:rsid w:val="009E5765"/>
    <w:rsid w:val="00A07D72"/>
    <w:rsid w:val="00A11F95"/>
    <w:rsid w:val="00A1272F"/>
    <w:rsid w:val="00A148E1"/>
    <w:rsid w:val="00A14D35"/>
    <w:rsid w:val="00A156FB"/>
    <w:rsid w:val="00A16AC6"/>
    <w:rsid w:val="00A16D13"/>
    <w:rsid w:val="00A24193"/>
    <w:rsid w:val="00A3778C"/>
    <w:rsid w:val="00A4243E"/>
    <w:rsid w:val="00A43D6D"/>
    <w:rsid w:val="00A44E99"/>
    <w:rsid w:val="00A451C7"/>
    <w:rsid w:val="00A633D5"/>
    <w:rsid w:val="00A65829"/>
    <w:rsid w:val="00A74A09"/>
    <w:rsid w:val="00A75A80"/>
    <w:rsid w:val="00A75A8A"/>
    <w:rsid w:val="00A81469"/>
    <w:rsid w:val="00A81E33"/>
    <w:rsid w:val="00A85C2B"/>
    <w:rsid w:val="00A87198"/>
    <w:rsid w:val="00A871A4"/>
    <w:rsid w:val="00A87763"/>
    <w:rsid w:val="00A97D85"/>
    <w:rsid w:val="00AA12F8"/>
    <w:rsid w:val="00AA400B"/>
    <w:rsid w:val="00AB08C4"/>
    <w:rsid w:val="00AC12A7"/>
    <w:rsid w:val="00AC32C9"/>
    <w:rsid w:val="00AC5E4E"/>
    <w:rsid w:val="00AC636F"/>
    <w:rsid w:val="00AD187E"/>
    <w:rsid w:val="00AD5C6E"/>
    <w:rsid w:val="00AE0015"/>
    <w:rsid w:val="00AE04B9"/>
    <w:rsid w:val="00AE3FE6"/>
    <w:rsid w:val="00AE77AD"/>
    <w:rsid w:val="00AF3D25"/>
    <w:rsid w:val="00AF5390"/>
    <w:rsid w:val="00AF59C0"/>
    <w:rsid w:val="00AF689D"/>
    <w:rsid w:val="00AF6CDB"/>
    <w:rsid w:val="00AF70B7"/>
    <w:rsid w:val="00AF7B0E"/>
    <w:rsid w:val="00B0137C"/>
    <w:rsid w:val="00B047F6"/>
    <w:rsid w:val="00B13420"/>
    <w:rsid w:val="00B14A1D"/>
    <w:rsid w:val="00B156BA"/>
    <w:rsid w:val="00B22F2D"/>
    <w:rsid w:val="00B24839"/>
    <w:rsid w:val="00B331EE"/>
    <w:rsid w:val="00B36DEA"/>
    <w:rsid w:val="00B46958"/>
    <w:rsid w:val="00B507BE"/>
    <w:rsid w:val="00B56A61"/>
    <w:rsid w:val="00B57F1A"/>
    <w:rsid w:val="00B63D8D"/>
    <w:rsid w:val="00B6588C"/>
    <w:rsid w:val="00B66257"/>
    <w:rsid w:val="00B6654A"/>
    <w:rsid w:val="00B71D2B"/>
    <w:rsid w:val="00B72B10"/>
    <w:rsid w:val="00B819C1"/>
    <w:rsid w:val="00B822E7"/>
    <w:rsid w:val="00B823CF"/>
    <w:rsid w:val="00B91CB5"/>
    <w:rsid w:val="00B94AD3"/>
    <w:rsid w:val="00B97318"/>
    <w:rsid w:val="00BA6C89"/>
    <w:rsid w:val="00BA71A6"/>
    <w:rsid w:val="00BB268E"/>
    <w:rsid w:val="00BB2ACA"/>
    <w:rsid w:val="00BC74A6"/>
    <w:rsid w:val="00BD1E35"/>
    <w:rsid w:val="00BD21FD"/>
    <w:rsid w:val="00BD768E"/>
    <w:rsid w:val="00BD7D9A"/>
    <w:rsid w:val="00BE192C"/>
    <w:rsid w:val="00BE68CC"/>
    <w:rsid w:val="00BE6FB8"/>
    <w:rsid w:val="00C01C19"/>
    <w:rsid w:val="00C032C6"/>
    <w:rsid w:val="00C173D0"/>
    <w:rsid w:val="00C201D5"/>
    <w:rsid w:val="00C237F8"/>
    <w:rsid w:val="00C27BCF"/>
    <w:rsid w:val="00C27C71"/>
    <w:rsid w:val="00C33214"/>
    <w:rsid w:val="00C41246"/>
    <w:rsid w:val="00C42333"/>
    <w:rsid w:val="00C53D9F"/>
    <w:rsid w:val="00C60283"/>
    <w:rsid w:val="00C60F32"/>
    <w:rsid w:val="00C67ABA"/>
    <w:rsid w:val="00C70DB1"/>
    <w:rsid w:val="00C72C21"/>
    <w:rsid w:val="00C74D79"/>
    <w:rsid w:val="00C763DB"/>
    <w:rsid w:val="00CA16A2"/>
    <w:rsid w:val="00CB38D2"/>
    <w:rsid w:val="00CB61E4"/>
    <w:rsid w:val="00CB785F"/>
    <w:rsid w:val="00CC04B9"/>
    <w:rsid w:val="00CC1D46"/>
    <w:rsid w:val="00CC356C"/>
    <w:rsid w:val="00CC416C"/>
    <w:rsid w:val="00CC7B01"/>
    <w:rsid w:val="00CD02A8"/>
    <w:rsid w:val="00CD12A8"/>
    <w:rsid w:val="00CD375E"/>
    <w:rsid w:val="00CD4313"/>
    <w:rsid w:val="00CE722C"/>
    <w:rsid w:val="00CF2230"/>
    <w:rsid w:val="00CF700F"/>
    <w:rsid w:val="00D012B4"/>
    <w:rsid w:val="00D07045"/>
    <w:rsid w:val="00D0738F"/>
    <w:rsid w:val="00D11548"/>
    <w:rsid w:val="00D12DD1"/>
    <w:rsid w:val="00D16D5E"/>
    <w:rsid w:val="00D26D3C"/>
    <w:rsid w:val="00D33001"/>
    <w:rsid w:val="00D346DE"/>
    <w:rsid w:val="00D430E6"/>
    <w:rsid w:val="00D44580"/>
    <w:rsid w:val="00D5150C"/>
    <w:rsid w:val="00D55087"/>
    <w:rsid w:val="00D56D27"/>
    <w:rsid w:val="00D5790F"/>
    <w:rsid w:val="00D62C9D"/>
    <w:rsid w:val="00D67BE5"/>
    <w:rsid w:val="00D7353E"/>
    <w:rsid w:val="00D77A06"/>
    <w:rsid w:val="00D83531"/>
    <w:rsid w:val="00D97E4C"/>
    <w:rsid w:val="00DA169C"/>
    <w:rsid w:val="00DA272B"/>
    <w:rsid w:val="00DA79E8"/>
    <w:rsid w:val="00DB668A"/>
    <w:rsid w:val="00DB7FE8"/>
    <w:rsid w:val="00DC7517"/>
    <w:rsid w:val="00DD08B5"/>
    <w:rsid w:val="00DD3818"/>
    <w:rsid w:val="00DD663F"/>
    <w:rsid w:val="00DD77FD"/>
    <w:rsid w:val="00DE05F9"/>
    <w:rsid w:val="00DE313F"/>
    <w:rsid w:val="00DF41D9"/>
    <w:rsid w:val="00DF4F42"/>
    <w:rsid w:val="00E0183D"/>
    <w:rsid w:val="00E108BF"/>
    <w:rsid w:val="00E20931"/>
    <w:rsid w:val="00E26521"/>
    <w:rsid w:val="00E2704B"/>
    <w:rsid w:val="00E3698D"/>
    <w:rsid w:val="00E530F4"/>
    <w:rsid w:val="00E60A32"/>
    <w:rsid w:val="00E62465"/>
    <w:rsid w:val="00E647B8"/>
    <w:rsid w:val="00E6760E"/>
    <w:rsid w:val="00E70A73"/>
    <w:rsid w:val="00E7254D"/>
    <w:rsid w:val="00E758D9"/>
    <w:rsid w:val="00E831EA"/>
    <w:rsid w:val="00E83CFF"/>
    <w:rsid w:val="00E875A5"/>
    <w:rsid w:val="00E87B8A"/>
    <w:rsid w:val="00E908B4"/>
    <w:rsid w:val="00E92C1D"/>
    <w:rsid w:val="00E93834"/>
    <w:rsid w:val="00E951D3"/>
    <w:rsid w:val="00E96EDE"/>
    <w:rsid w:val="00EA4659"/>
    <w:rsid w:val="00EB1209"/>
    <w:rsid w:val="00EB2044"/>
    <w:rsid w:val="00EC3C63"/>
    <w:rsid w:val="00ED7F14"/>
    <w:rsid w:val="00EF3F78"/>
    <w:rsid w:val="00F016A5"/>
    <w:rsid w:val="00F11DD2"/>
    <w:rsid w:val="00F12ECD"/>
    <w:rsid w:val="00F16557"/>
    <w:rsid w:val="00F2158A"/>
    <w:rsid w:val="00F22A7D"/>
    <w:rsid w:val="00F22BBB"/>
    <w:rsid w:val="00F25564"/>
    <w:rsid w:val="00F27F06"/>
    <w:rsid w:val="00F323C0"/>
    <w:rsid w:val="00F35373"/>
    <w:rsid w:val="00F40BAF"/>
    <w:rsid w:val="00F51108"/>
    <w:rsid w:val="00F610E1"/>
    <w:rsid w:val="00F63A19"/>
    <w:rsid w:val="00F63BDE"/>
    <w:rsid w:val="00F70CA5"/>
    <w:rsid w:val="00F75208"/>
    <w:rsid w:val="00F77DCC"/>
    <w:rsid w:val="00F806E8"/>
    <w:rsid w:val="00F8151A"/>
    <w:rsid w:val="00F82FC0"/>
    <w:rsid w:val="00F84A4F"/>
    <w:rsid w:val="00F95D2E"/>
    <w:rsid w:val="00F96C6D"/>
    <w:rsid w:val="00FA49B6"/>
    <w:rsid w:val="00FA61B3"/>
    <w:rsid w:val="00FA676A"/>
    <w:rsid w:val="00FA735A"/>
    <w:rsid w:val="00FB7B01"/>
    <w:rsid w:val="00FC0D7F"/>
    <w:rsid w:val="00FC175C"/>
    <w:rsid w:val="00FC345A"/>
    <w:rsid w:val="00FC4C9A"/>
    <w:rsid w:val="00FC6190"/>
    <w:rsid w:val="00FC628A"/>
    <w:rsid w:val="00FD29A4"/>
    <w:rsid w:val="00FD76EC"/>
    <w:rsid w:val="00FE3883"/>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F835"/>
  <w15:chartTrackingRefBased/>
  <w15:docId w15:val="{B7E25B34-AF4B-4DCD-904C-615CD000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5D"/>
  </w:style>
  <w:style w:type="paragraph" w:styleId="Footer">
    <w:name w:val="footer"/>
    <w:basedOn w:val="Normal"/>
    <w:link w:val="FooterChar"/>
    <w:uiPriority w:val="99"/>
    <w:unhideWhenUsed/>
    <w:rsid w:val="0001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191214">
      <w:bodyDiv w:val="1"/>
      <w:marLeft w:val="0"/>
      <w:marRight w:val="0"/>
      <w:marTop w:val="0"/>
      <w:marBottom w:val="0"/>
      <w:divBdr>
        <w:top w:val="none" w:sz="0" w:space="0" w:color="auto"/>
        <w:left w:val="none" w:sz="0" w:space="0" w:color="auto"/>
        <w:bottom w:val="none" w:sz="0" w:space="0" w:color="auto"/>
        <w:right w:val="none" w:sz="0" w:space="0" w:color="auto"/>
      </w:divBdr>
      <w:divsChild>
        <w:div w:id="1308365276">
          <w:marLeft w:val="0"/>
          <w:marRight w:val="0"/>
          <w:marTop w:val="0"/>
          <w:marBottom w:val="450"/>
          <w:divBdr>
            <w:top w:val="none" w:sz="0" w:space="0" w:color="auto"/>
            <w:left w:val="none" w:sz="0" w:space="0" w:color="auto"/>
            <w:bottom w:val="none" w:sz="0" w:space="0" w:color="auto"/>
            <w:right w:val="none" w:sz="0" w:space="0" w:color="auto"/>
          </w:divBdr>
          <w:divsChild>
            <w:div w:id="1219780534">
              <w:marLeft w:val="0"/>
              <w:marRight w:val="0"/>
              <w:marTop w:val="0"/>
              <w:marBottom w:val="0"/>
              <w:divBdr>
                <w:top w:val="none" w:sz="0" w:space="0" w:color="auto"/>
                <w:left w:val="none" w:sz="0" w:space="0" w:color="auto"/>
                <w:bottom w:val="none" w:sz="0" w:space="0" w:color="auto"/>
                <w:right w:val="none" w:sz="0" w:space="0" w:color="auto"/>
              </w:divBdr>
              <w:divsChild>
                <w:div w:id="753623976">
                  <w:marLeft w:val="0"/>
                  <w:marRight w:val="0"/>
                  <w:marTop w:val="0"/>
                  <w:marBottom w:val="0"/>
                  <w:divBdr>
                    <w:top w:val="none" w:sz="0" w:space="0" w:color="auto"/>
                    <w:left w:val="none" w:sz="0" w:space="0" w:color="auto"/>
                    <w:bottom w:val="none" w:sz="0" w:space="0" w:color="auto"/>
                    <w:right w:val="none" w:sz="0" w:space="0" w:color="auto"/>
                  </w:divBdr>
                  <w:divsChild>
                    <w:div w:id="575824947">
                      <w:marLeft w:val="0"/>
                      <w:marRight w:val="0"/>
                      <w:marTop w:val="0"/>
                      <w:marBottom w:val="0"/>
                      <w:divBdr>
                        <w:top w:val="none" w:sz="0" w:space="0" w:color="auto"/>
                        <w:left w:val="none" w:sz="0" w:space="0" w:color="auto"/>
                        <w:bottom w:val="none" w:sz="0" w:space="0" w:color="auto"/>
                        <w:right w:val="none" w:sz="0" w:space="0" w:color="auto"/>
                      </w:divBdr>
                      <w:divsChild>
                        <w:div w:id="1582986743">
                          <w:marLeft w:val="0"/>
                          <w:marRight w:val="0"/>
                          <w:marTop w:val="0"/>
                          <w:marBottom w:val="0"/>
                          <w:divBdr>
                            <w:top w:val="none" w:sz="0" w:space="0" w:color="auto"/>
                            <w:left w:val="none" w:sz="0" w:space="0" w:color="auto"/>
                            <w:bottom w:val="none" w:sz="0" w:space="0" w:color="auto"/>
                            <w:right w:val="none" w:sz="0" w:space="0" w:color="auto"/>
                          </w:divBdr>
                          <w:divsChild>
                            <w:div w:id="1659069146">
                              <w:marLeft w:val="0"/>
                              <w:marRight w:val="1911"/>
                              <w:marTop w:val="0"/>
                              <w:marBottom w:val="0"/>
                              <w:divBdr>
                                <w:top w:val="none" w:sz="0" w:space="0" w:color="auto"/>
                                <w:left w:val="none" w:sz="0" w:space="0" w:color="auto"/>
                                <w:bottom w:val="none" w:sz="0" w:space="0" w:color="auto"/>
                                <w:right w:val="none" w:sz="0" w:space="0" w:color="auto"/>
                              </w:divBdr>
                              <w:divsChild>
                                <w:div w:id="973607810">
                                  <w:marLeft w:val="1465"/>
                                  <w:marRight w:val="150"/>
                                  <w:marTop w:val="0"/>
                                  <w:marBottom w:val="120"/>
                                  <w:divBdr>
                                    <w:top w:val="none" w:sz="0" w:space="0" w:color="auto"/>
                                    <w:left w:val="none" w:sz="0" w:space="0" w:color="auto"/>
                                    <w:bottom w:val="none" w:sz="0" w:space="0" w:color="auto"/>
                                    <w:right w:val="none" w:sz="0" w:space="0" w:color="auto"/>
                                  </w:divBdr>
                                </w:div>
                                <w:div w:id="17841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85684">
              <w:marLeft w:val="0"/>
              <w:marRight w:val="0"/>
              <w:marTop w:val="0"/>
              <w:marBottom w:val="0"/>
              <w:divBdr>
                <w:top w:val="none" w:sz="0" w:space="0" w:color="auto"/>
                <w:left w:val="none" w:sz="0" w:space="0" w:color="auto"/>
                <w:bottom w:val="none" w:sz="0" w:space="0" w:color="auto"/>
                <w:right w:val="none" w:sz="0" w:space="0" w:color="auto"/>
              </w:divBdr>
              <w:divsChild>
                <w:div w:id="1275404378">
                  <w:marLeft w:val="0"/>
                  <w:marRight w:val="0"/>
                  <w:marTop w:val="0"/>
                  <w:marBottom w:val="0"/>
                  <w:divBdr>
                    <w:top w:val="none" w:sz="0" w:space="0" w:color="auto"/>
                    <w:left w:val="none" w:sz="0" w:space="0" w:color="auto"/>
                    <w:bottom w:val="none" w:sz="0" w:space="0" w:color="auto"/>
                    <w:right w:val="none" w:sz="0" w:space="0" w:color="auto"/>
                  </w:divBdr>
                  <w:divsChild>
                    <w:div w:id="1280336992">
                      <w:marLeft w:val="0"/>
                      <w:marRight w:val="0"/>
                      <w:marTop w:val="0"/>
                      <w:marBottom w:val="0"/>
                      <w:divBdr>
                        <w:top w:val="none" w:sz="0" w:space="0" w:color="auto"/>
                        <w:left w:val="none" w:sz="0" w:space="0" w:color="auto"/>
                        <w:bottom w:val="none" w:sz="0" w:space="0" w:color="auto"/>
                        <w:right w:val="none" w:sz="0" w:space="0" w:color="auto"/>
                      </w:divBdr>
                      <w:divsChild>
                        <w:div w:id="327639355">
                          <w:marLeft w:val="0"/>
                          <w:marRight w:val="1911"/>
                          <w:marTop w:val="0"/>
                          <w:marBottom w:val="0"/>
                          <w:divBdr>
                            <w:top w:val="none" w:sz="0" w:space="0" w:color="auto"/>
                            <w:left w:val="none" w:sz="0" w:space="0" w:color="auto"/>
                            <w:bottom w:val="none" w:sz="0" w:space="0" w:color="auto"/>
                            <w:right w:val="none" w:sz="0" w:space="0" w:color="auto"/>
                          </w:divBdr>
                          <w:divsChild>
                            <w:div w:id="911159049">
                              <w:marLeft w:val="1465"/>
                              <w:marRight w:val="400"/>
                              <w:marTop w:val="0"/>
                              <w:marBottom w:val="0"/>
                              <w:divBdr>
                                <w:top w:val="none" w:sz="0" w:space="0" w:color="auto"/>
                                <w:left w:val="none" w:sz="0" w:space="0" w:color="auto"/>
                                <w:bottom w:val="none" w:sz="0" w:space="0" w:color="auto"/>
                                <w:right w:val="none" w:sz="0" w:space="0" w:color="auto"/>
                              </w:divBdr>
                              <w:divsChild>
                                <w:div w:id="510418368">
                                  <w:marLeft w:val="0"/>
                                  <w:marRight w:val="0"/>
                                  <w:marTop w:val="0"/>
                                  <w:marBottom w:val="0"/>
                                  <w:divBdr>
                                    <w:top w:val="none" w:sz="0" w:space="0" w:color="auto"/>
                                    <w:left w:val="none" w:sz="0" w:space="0" w:color="auto"/>
                                    <w:bottom w:val="single" w:sz="6" w:space="11" w:color="EBEBEB"/>
                                    <w:right w:val="none" w:sz="0" w:space="0" w:color="auto"/>
                                  </w:divBdr>
                                  <w:divsChild>
                                    <w:div w:id="1535458906">
                                      <w:marLeft w:val="0"/>
                                      <w:marRight w:val="225"/>
                                      <w:marTop w:val="0"/>
                                      <w:marBottom w:val="0"/>
                                      <w:divBdr>
                                        <w:top w:val="none" w:sz="0" w:space="0" w:color="auto"/>
                                        <w:left w:val="none" w:sz="0" w:space="0" w:color="auto"/>
                                        <w:bottom w:val="none" w:sz="0" w:space="0" w:color="auto"/>
                                        <w:right w:val="none" w:sz="0" w:space="0" w:color="auto"/>
                                      </w:divBdr>
                                    </w:div>
                                    <w:div w:id="393621328">
                                      <w:marLeft w:val="0"/>
                                      <w:marRight w:val="0"/>
                                      <w:marTop w:val="0"/>
                                      <w:marBottom w:val="0"/>
                                      <w:divBdr>
                                        <w:top w:val="none" w:sz="0" w:space="0" w:color="auto"/>
                                        <w:left w:val="none" w:sz="0" w:space="0" w:color="auto"/>
                                        <w:bottom w:val="none" w:sz="0" w:space="0" w:color="auto"/>
                                        <w:right w:val="none" w:sz="0" w:space="0" w:color="auto"/>
                                      </w:divBdr>
                                      <w:divsChild>
                                        <w:div w:id="7063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182859">
          <w:marLeft w:val="0"/>
          <w:marRight w:val="0"/>
          <w:marTop w:val="0"/>
          <w:marBottom w:val="0"/>
          <w:divBdr>
            <w:top w:val="none" w:sz="0" w:space="0" w:color="auto"/>
            <w:left w:val="none" w:sz="0" w:space="0" w:color="auto"/>
            <w:bottom w:val="none" w:sz="0" w:space="0" w:color="auto"/>
            <w:right w:val="none" w:sz="0" w:space="0" w:color="auto"/>
          </w:divBdr>
          <w:divsChild>
            <w:div w:id="1542784730">
              <w:marLeft w:val="0"/>
              <w:marRight w:val="0"/>
              <w:marTop w:val="0"/>
              <w:marBottom w:val="0"/>
              <w:divBdr>
                <w:top w:val="none" w:sz="0" w:space="0" w:color="auto"/>
                <w:left w:val="none" w:sz="0" w:space="0" w:color="auto"/>
                <w:bottom w:val="none" w:sz="0" w:space="0" w:color="auto"/>
                <w:right w:val="none" w:sz="0" w:space="0" w:color="auto"/>
              </w:divBdr>
              <w:divsChild>
                <w:div w:id="1281913723">
                  <w:marLeft w:val="0"/>
                  <w:marRight w:val="1911"/>
                  <w:marTop w:val="0"/>
                  <w:marBottom w:val="0"/>
                  <w:divBdr>
                    <w:top w:val="none" w:sz="0" w:space="0" w:color="auto"/>
                    <w:left w:val="none" w:sz="0" w:space="0" w:color="auto"/>
                    <w:bottom w:val="none" w:sz="0" w:space="0" w:color="auto"/>
                    <w:right w:val="none" w:sz="0" w:space="0" w:color="auto"/>
                  </w:divBdr>
                  <w:divsChild>
                    <w:div w:id="1028409361">
                      <w:marLeft w:val="0"/>
                      <w:marRight w:val="0"/>
                      <w:marTop w:val="0"/>
                      <w:marBottom w:val="0"/>
                      <w:divBdr>
                        <w:top w:val="none" w:sz="0" w:space="0" w:color="auto"/>
                        <w:left w:val="none" w:sz="0" w:space="0" w:color="auto"/>
                        <w:bottom w:val="none" w:sz="0" w:space="0" w:color="auto"/>
                        <w:right w:val="none" w:sz="0" w:space="0" w:color="auto"/>
                      </w:divBdr>
                      <w:divsChild>
                        <w:div w:id="1479423198">
                          <w:marLeft w:val="0"/>
                          <w:marRight w:val="0"/>
                          <w:marTop w:val="0"/>
                          <w:marBottom w:val="900"/>
                          <w:divBdr>
                            <w:top w:val="none" w:sz="0" w:space="0" w:color="auto"/>
                            <w:left w:val="none" w:sz="0" w:space="0" w:color="auto"/>
                            <w:bottom w:val="none" w:sz="0" w:space="0" w:color="auto"/>
                            <w:right w:val="none" w:sz="0" w:space="0" w:color="auto"/>
                          </w:divBdr>
                          <w:divsChild>
                            <w:div w:id="634794907">
                              <w:marLeft w:val="0"/>
                              <w:marRight w:val="0"/>
                              <w:marTop w:val="0"/>
                              <w:marBottom w:val="0"/>
                              <w:divBdr>
                                <w:top w:val="none" w:sz="0" w:space="0" w:color="auto"/>
                                <w:left w:val="none" w:sz="0" w:space="0" w:color="auto"/>
                                <w:bottom w:val="none" w:sz="0" w:space="0" w:color="auto"/>
                                <w:right w:val="none" w:sz="0" w:space="0" w:color="auto"/>
                              </w:divBdr>
                            </w:div>
                          </w:divsChild>
                        </w:div>
                        <w:div w:id="1379009997">
                          <w:marLeft w:val="0"/>
                          <w:marRight w:val="0"/>
                          <w:marTop w:val="0"/>
                          <w:marBottom w:val="0"/>
                          <w:divBdr>
                            <w:top w:val="none" w:sz="0" w:space="0" w:color="auto"/>
                            <w:left w:val="none" w:sz="0" w:space="0" w:color="auto"/>
                            <w:bottom w:val="none" w:sz="0" w:space="0" w:color="auto"/>
                            <w:right w:val="none" w:sz="0" w:space="0" w:color="auto"/>
                          </w:divBdr>
                          <w:divsChild>
                            <w:div w:id="1170295065">
                              <w:marLeft w:val="1465"/>
                              <w:marRight w:val="0"/>
                              <w:marTop w:val="675"/>
                              <w:marBottom w:val="675"/>
                              <w:divBdr>
                                <w:top w:val="none" w:sz="0" w:space="0" w:color="auto"/>
                                <w:left w:val="none" w:sz="0" w:space="0" w:color="auto"/>
                                <w:bottom w:val="none" w:sz="0" w:space="0" w:color="auto"/>
                                <w:right w:val="none" w:sz="0" w:space="0" w:color="auto"/>
                              </w:divBdr>
                            </w:div>
                          </w:divsChild>
                        </w:div>
                        <w:div w:id="1605459190">
                          <w:marLeft w:val="0"/>
                          <w:marRight w:val="0"/>
                          <w:marTop w:val="0"/>
                          <w:marBottom w:val="0"/>
                          <w:divBdr>
                            <w:top w:val="none" w:sz="0" w:space="0" w:color="auto"/>
                            <w:left w:val="none" w:sz="0" w:space="0" w:color="auto"/>
                            <w:bottom w:val="none" w:sz="0" w:space="0" w:color="auto"/>
                            <w:right w:val="none" w:sz="0" w:space="0" w:color="auto"/>
                          </w:divBdr>
                          <w:divsChild>
                            <w:div w:id="244846772">
                              <w:marLeft w:val="1465"/>
                              <w:marRight w:val="0"/>
                              <w:marTop w:val="675"/>
                              <w:marBottom w:val="675"/>
                              <w:divBdr>
                                <w:top w:val="none" w:sz="0" w:space="0" w:color="auto"/>
                                <w:left w:val="none" w:sz="0" w:space="0" w:color="auto"/>
                                <w:bottom w:val="none" w:sz="0" w:space="0" w:color="auto"/>
                                <w:right w:val="none" w:sz="0" w:space="0" w:color="auto"/>
                              </w:divBdr>
                            </w:div>
                          </w:divsChild>
                        </w:div>
                        <w:div w:id="381760007">
                          <w:marLeft w:val="0"/>
                          <w:marRight w:val="450"/>
                          <w:marTop w:val="0"/>
                          <w:marBottom w:val="300"/>
                          <w:divBdr>
                            <w:top w:val="none" w:sz="0" w:space="0" w:color="auto"/>
                            <w:left w:val="none" w:sz="0" w:space="0" w:color="auto"/>
                            <w:bottom w:val="none" w:sz="0" w:space="0" w:color="auto"/>
                            <w:right w:val="none" w:sz="0" w:space="0" w:color="auto"/>
                          </w:divBdr>
                          <w:divsChild>
                            <w:div w:id="18463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uters.com/journalists/lauren-yo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david jackson</cp:lastModifiedBy>
  <cp:revision>1</cp:revision>
  <dcterms:created xsi:type="dcterms:W3CDTF">2020-06-22T20:58:00Z</dcterms:created>
  <dcterms:modified xsi:type="dcterms:W3CDTF">2020-06-22T21:00:00Z</dcterms:modified>
</cp:coreProperties>
</file>