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EB" w:rsidRPr="006E6907" w:rsidRDefault="006E6907" w:rsidP="006E6907">
      <w:pPr>
        <w:jc w:val="center"/>
        <w:rPr>
          <w:b/>
          <w:sz w:val="32"/>
          <w:szCs w:val="32"/>
          <w:u w:val="single"/>
        </w:rPr>
      </w:pPr>
      <w:r w:rsidRPr="006E6907">
        <w:rPr>
          <w:b/>
          <w:sz w:val="32"/>
          <w:szCs w:val="32"/>
          <w:u w:val="single"/>
        </w:rPr>
        <w:t>Fiduciary Duty #35</w:t>
      </w:r>
    </w:p>
    <w:p w:rsidR="006E6907" w:rsidRDefault="006E6907" w:rsidP="006E6907">
      <w:pPr>
        <w:jc w:val="center"/>
      </w:pPr>
    </w:p>
    <w:p w:rsidR="006E6907" w:rsidRPr="006E6907" w:rsidRDefault="006E6907" w:rsidP="006E6907">
      <w:pPr>
        <w:spacing w:before="100" w:beforeAutospacing="1" w:after="100" w:afterAutospacing="1"/>
        <w:rPr>
          <w:sz w:val="31"/>
          <w:szCs w:val="31"/>
          <w:lang w:val="en"/>
        </w:rPr>
      </w:pPr>
      <w:r w:rsidRPr="006E6907">
        <w:rPr>
          <w:sz w:val="31"/>
          <w:szCs w:val="31"/>
          <w:lang w:val="en"/>
        </w:rPr>
        <w:t xml:space="preserve">On May 18, 2015, a unanimous U.S. Supreme Court held in </w:t>
      </w:r>
      <w:r w:rsidRPr="006E6907">
        <w:rPr>
          <w:i/>
          <w:iCs/>
          <w:sz w:val="31"/>
          <w:szCs w:val="31"/>
          <w:lang w:val="en"/>
        </w:rPr>
        <w:t xml:space="preserve">Tibble v. Edison International </w:t>
      </w:r>
      <w:r w:rsidRPr="006E6907">
        <w:rPr>
          <w:sz w:val="31"/>
          <w:szCs w:val="31"/>
          <w:lang w:val="en"/>
        </w:rPr>
        <w:t xml:space="preserve">that fiduciaries who select investment options for 401(k) plans have a continuing duty under the Employee Retirement Income Security Act of 1974 (ERISA) to monitor their selections and remove imprudent investment options. </w:t>
      </w:r>
    </w:p>
    <w:p w:rsidR="006E6907" w:rsidRPr="006E6907" w:rsidRDefault="006E6907" w:rsidP="006E6907">
      <w:pPr>
        <w:spacing w:before="100" w:beforeAutospacing="1" w:after="100" w:afterAutospacing="1"/>
        <w:rPr>
          <w:sz w:val="31"/>
          <w:szCs w:val="31"/>
          <w:lang w:val="en"/>
        </w:rPr>
      </w:pPr>
      <w:r w:rsidRPr="006E6907">
        <w:rPr>
          <w:sz w:val="31"/>
          <w:szCs w:val="31"/>
          <w:lang w:val="en"/>
        </w:rPr>
        <w:t>ERISA imposes on a fiduciary of an employee benefit plan — including any person responsible for selecting or removing investment options offered under a 401(k) plan — a du</w:t>
      </w:r>
      <w:bookmarkStart w:id="0" w:name="_GoBack"/>
      <w:bookmarkEnd w:id="0"/>
      <w:r w:rsidRPr="006E6907">
        <w:rPr>
          <w:sz w:val="31"/>
          <w:szCs w:val="31"/>
          <w:lang w:val="en"/>
        </w:rPr>
        <w:t>ty of prudence that requires the fiduciary to “discharge his duties with respect to a plan ... with the care, skill, prudence, and diligence” that a prudent person would use under similar circumstances.  A plan fiduciary that breaches this duty of prudence may be held liable to the plan for any resulting losses.</w:t>
      </w:r>
    </w:p>
    <w:p w:rsidR="006E6907" w:rsidRPr="006E6907" w:rsidRDefault="006E6907" w:rsidP="006E6907">
      <w:pPr>
        <w:spacing w:before="100" w:beforeAutospacing="1" w:after="100" w:afterAutospacing="1"/>
        <w:rPr>
          <w:sz w:val="31"/>
          <w:szCs w:val="31"/>
          <w:lang w:val="en"/>
        </w:rPr>
      </w:pPr>
      <w:r w:rsidRPr="006E6907">
        <w:rPr>
          <w:sz w:val="31"/>
          <w:szCs w:val="31"/>
          <w:lang w:val="en"/>
        </w:rPr>
        <w:t xml:space="preserve">Although the Supreme Court recognized that ERISA imposes on fiduciaries who select investment options for 401(k) plans a continuing duty to monitor the selections, and remove imprudent investment options, it declined to provide any guidance as to the scope of this duty. </w:t>
      </w:r>
    </w:p>
    <w:p w:rsidR="006E6907" w:rsidRPr="006E6907" w:rsidRDefault="006E6907" w:rsidP="006E6907">
      <w:pPr>
        <w:spacing w:before="100" w:beforeAutospacing="1" w:after="100" w:afterAutospacing="1"/>
        <w:rPr>
          <w:sz w:val="31"/>
          <w:szCs w:val="31"/>
          <w:lang w:val="en"/>
        </w:rPr>
      </w:pPr>
      <w:r w:rsidRPr="006E6907">
        <w:rPr>
          <w:sz w:val="31"/>
          <w:szCs w:val="31"/>
          <w:lang w:val="en"/>
        </w:rPr>
        <w:t xml:space="preserve">These notes, representing the perspective from the legal community on the results of the </w:t>
      </w:r>
      <w:r w:rsidRPr="006E6907">
        <w:rPr>
          <w:i/>
          <w:iCs/>
          <w:sz w:val="31"/>
          <w:szCs w:val="31"/>
          <w:lang w:val="en"/>
        </w:rPr>
        <w:t>Tibble v. Edison</w:t>
      </w:r>
      <w:r w:rsidRPr="006E6907">
        <w:rPr>
          <w:sz w:val="31"/>
          <w:szCs w:val="31"/>
          <w:lang w:val="en"/>
        </w:rPr>
        <w:t xml:space="preserve"> </w:t>
      </w:r>
      <w:r w:rsidRPr="006E6907">
        <w:rPr>
          <w:i/>
          <w:iCs/>
          <w:sz w:val="31"/>
          <w:szCs w:val="31"/>
          <w:lang w:val="en"/>
        </w:rPr>
        <w:t xml:space="preserve">International </w:t>
      </w:r>
      <w:r w:rsidRPr="006E6907">
        <w:rPr>
          <w:sz w:val="31"/>
          <w:szCs w:val="31"/>
          <w:lang w:val="en"/>
        </w:rPr>
        <w:t>case, underscore the need for plan sponsors to monitor the investments in their plan on a regular and continuing basis in order fulfill the fiduciary duties that confront them.</w:t>
      </w:r>
    </w:p>
    <w:p w:rsidR="006E6907" w:rsidRPr="006E6907" w:rsidRDefault="006E6907" w:rsidP="006E6907">
      <w:pPr>
        <w:spacing w:before="100" w:beforeAutospacing="1" w:after="100" w:afterAutospacing="1"/>
        <w:rPr>
          <w:sz w:val="31"/>
          <w:szCs w:val="31"/>
          <w:lang w:val="en"/>
        </w:rPr>
      </w:pPr>
      <w:r w:rsidRPr="006E6907">
        <w:rPr>
          <w:sz w:val="31"/>
          <w:szCs w:val="31"/>
          <w:lang w:val="en"/>
        </w:rPr>
        <w:t>In the absence of any guidance on this matter from the Supreme Court of the United States, best practices suggest that such monitoring take place no less frequently than annually.</w:t>
      </w:r>
    </w:p>
    <w:p w:rsidR="006E6907" w:rsidRPr="006E6907" w:rsidRDefault="006E6907" w:rsidP="006E6907">
      <w:pPr>
        <w:spacing w:before="100" w:beforeAutospacing="1" w:after="100" w:afterAutospacing="1"/>
        <w:rPr>
          <w:sz w:val="31"/>
          <w:szCs w:val="31"/>
          <w:lang w:val="en"/>
        </w:rPr>
      </w:pPr>
      <w:r w:rsidRPr="006E6907">
        <w:rPr>
          <w:sz w:val="31"/>
          <w:szCs w:val="31"/>
          <w:lang w:val="en"/>
        </w:rPr>
        <w:t>If you would like to discuss this matter further, please don’t hesitate in reaching out to us.</w:t>
      </w:r>
    </w:p>
    <w:p w:rsidR="006E6907" w:rsidRPr="006E6907" w:rsidRDefault="006E6907" w:rsidP="006E6907">
      <w:pPr>
        <w:rPr>
          <w:sz w:val="31"/>
          <w:szCs w:val="31"/>
        </w:rPr>
      </w:pPr>
      <w:r w:rsidRPr="006E6907">
        <w:rPr>
          <w:sz w:val="31"/>
          <w:szCs w:val="31"/>
        </w:rPr>
        <w:t>Mike &amp; Matt Callan</w:t>
      </w:r>
    </w:p>
    <w:sectPr w:rsidR="006E6907" w:rsidRPr="006E6907" w:rsidSect="006E6907">
      <w:pgSz w:w="12240" w:h="15840"/>
      <w:pgMar w:top="864" w:right="1440" w:bottom="720" w:left="1440" w:header="720" w:footer="720" w:gutter="0"/>
      <w:pgBorders w:offsetFrom="page">
        <w:top w:val="thinThickThinMediumGap" w:sz="24" w:space="24" w:color="44546A" w:themeColor="text2"/>
        <w:left w:val="thinThickThinMediumGap" w:sz="24" w:space="24" w:color="44546A" w:themeColor="text2"/>
        <w:bottom w:val="thinThickThinMediumGap" w:sz="24" w:space="24" w:color="44546A" w:themeColor="text2"/>
        <w:right w:val="thinThickThinMediumGap" w:sz="2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7"/>
    <w:rsid w:val="006E6907"/>
    <w:rsid w:val="007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3C56F-07CE-40FF-8543-23A6262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Callan</dc:creator>
  <cp:keywords/>
  <dc:description/>
  <cp:lastModifiedBy>Mike Callan</cp:lastModifiedBy>
  <cp:revision>1</cp:revision>
  <cp:lastPrinted>2017-11-30T20:23:00Z</cp:lastPrinted>
  <dcterms:created xsi:type="dcterms:W3CDTF">2017-11-30T20:21:00Z</dcterms:created>
  <dcterms:modified xsi:type="dcterms:W3CDTF">2017-11-30T20:24:00Z</dcterms:modified>
</cp:coreProperties>
</file>