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5D" w:rsidRDefault="00FC375D" w:rsidP="000037E6">
      <w:pPr>
        <w:jc w:val="right"/>
      </w:pPr>
      <w:bookmarkStart w:id="0" w:name="_GoBack"/>
      <w:bookmarkEnd w:id="0"/>
      <w:r>
        <w:t>Novemb</w:t>
      </w:r>
      <w:r w:rsidRPr="00B217FA">
        <w:t xml:space="preserve">er </w:t>
      </w:r>
      <w:r>
        <w:t>25, 2011</w:t>
      </w:r>
    </w:p>
    <w:p w:rsidR="00FC375D" w:rsidRDefault="00FC375D" w:rsidP="000037E6">
      <w:pPr>
        <w:jc w:val="right"/>
      </w:pPr>
    </w:p>
    <w:p w:rsidR="00FC375D" w:rsidRPr="00B217FA" w:rsidRDefault="00FC375D" w:rsidP="000037E6">
      <w:r w:rsidRPr="00B217FA">
        <w:t>Dear Investors:</w:t>
      </w:r>
    </w:p>
    <w:p w:rsidR="00FC375D" w:rsidRPr="00B217FA" w:rsidRDefault="00FC375D" w:rsidP="000037E6"/>
    <w:p w:rsidR="00FC375D" w:rsidRDefault="00FC375D" w:rsidP="005E0CDD">
      <w:r>
        <w:t>Three weeks ago following the best October for the markets in almost 40 years, it seemed unthinkable that the markets would give back those impressive gains.  However, the markets suffered a steep two day decline that began on the last day of October.  In my November 4</w:t>
      </w:r>
      <w:r w:rsidRPr="00851132">
        <w:rPr>
          <w:vertAlign w:val="superscript"/>
        </w:rPr>
        <w:t>th</w:t>
      </w:r>
      <w:r>
        <w:t xml:space="preserve"> market letter, I discussed the technical damage caused by the sharp sell-off and suggested the possible downside scenarios. Last week, I suggested that since the markets broke through critical support levels, it increased the probability that the Dow Jones Industrial Average could fall to 11,000 to 11,200 and the S&amp;P 500 Index could drop to 1,150 to 1,160.   After this holiday-shortened trading week, the markets are precisely at the next critical support levels.</w:t>
      </w:r>
    </w:p>
    <w:p w:rsidR="00FC375D" w:rsidRDefault="00FC375D" w:rsidP="005E0CDD"/>
    <w:p w:rsidR="00FC375D" w:rsidRDefault="00FC375D" w:rsidP="004E7898">
      <w:r>
        <w:t>The Dow Jones Industrial Average suffered its worst Thanksgiving week percentage loss since 1932 as it plunged 564.22</w:t>
      </w:r>
      <w:r w:rsidRPr="00B217FA">
        <w:t xml:space="preserve"> points, or </w:t>
      </w:r>
      <w:r>
        <w:t>4.8</w:t>
      </w:r>
      <w:r w:rsidRPr="00B217FA">
        <w:t xml:space="preserve">%, </w:t>
      </w:r>
      <w:r>
        <w:t xml:space="preserve">for the week to </w:t>
      </w:r>
      <w:r w:rsidRPr="00B217FA">
        <w:t>close at 1</w:t>
      </w:r>
      <w:r>
        <w:t>1,231.94 and is</w:t>
      </w:r>
      <w:r w:rsidRPr="00B217FA">
        <w:t xml:space="preserve"> now </w:t>
      </w:r>
      <w:r>
        <w:t>down 3.0</w:t>
      </w:r>
      <w:r w:rsidRPr="00B217FA">
        <w:t>%</w:t>
      </w:r>
      <w:r>
        <w:t xml:space="preserve"> for the year</w:t>
      </w:r>
      <w:r w:rsidRPr="00B217FA">
        <w:t xml:space="preserve">.  The S&amp;P 500 </w:t>
      </w:r>
      <w:r>
        <w:t>dropped 56.98</w:t>
      </w:r>
      <w:r w:rsidRPr="00B217FA">
        <w:t xml:space="preserve"> points, or </w:t>
      </w:r>
      <w:r>
        <w:t>4.7%</w:t>
      </w:r>
      <w:r w:rsidRPr="00B217FA">
        <w:t>, this week to close at 1,</w:t>
      </w:r>
      <w:r>
        <w:t>158.67</w:t>
      </w:r>
      <w:r w:rsidRPr="00B217FA">
        <w:t xml:space="preserve">, and is </w:t>
      </w:r>
      <w:r>
        <w:t>down</w:t>
      </w:r>
      <w:r w:rsidRPr="00B217FA">
        <w:t xml:space="preserve"> </w:t>
      </w:r>
      <w:r>
        <w:t>7.8</w:t>
      </w:r>
      <w:r w:rsidRPr="00B217FA">
        <w:t xml:space="preserve">% year-to-date.  </w:t>
      </w:r>
      <w:r>
        <w:t>T</w:t>
      </w:r>
      <w:r w:rsidRPr="00B217FA">
        <w:t xml:space="preserve">he NASDAQ Composite </w:t>
      </w:r>
      <w:r>
        <w:t xml:space="preserve">lost 130.92 points, or 5.1%, this week to </w:t>
      </w:r>
      <w:r w:rsidRPr="00B217FA">
        <w:t>close at 2,</w:t>
      </w:r>
      <w:r>
        <w:t xml:space="preserve">441.58, and </w:t>
      </w:r>
      <w:r w:rsidRPr="00B217FA">
        <w:t xml:space="preserve">is </w:t>
      </w:r>
      <w:r>
        <w:t>now down 8.0</w:t>
      </w:r>
      <w:r w:rsidRPr="00B217FA">
        <w:t>% this year.</w:t>
      </w:r>
    </w:p>
    <w:p w:rsidR="00FC375D" w:rsidRDefault="00FC375D" w:rsidP="005E0CDD"/>
    <w:p w:rsidR="00FC375D" w:rsidRDefault="00FC375D" w:rsidP="005E0CDD">
      <w:r>
        <w:t>Since the S&amp;P 500 has declined in eight of the last nine trading days and the short term stochastics are over-sold, it appears that this support level should hold and the markets should begin a 5% to 10% rally into the New Year.  This rally wave would be the third of an a-up (10/3-10/27), b-down (10/27-present), c-up (this week to year-end) of the second major leg up portion that began on October 3</w:t>
      </w:r>
      <w:r w:rsidRPr="00EE0DF4">
        <w:rPr>
          <w:vertAlign w:val="superscript"/>
        </w:rPr>
        <w:t>rd</w:t>
      </w:r>
      <w:r>
        <w:t>.  The first major wave down began with the April 29</w:t>
      </w:r>
      <w:r w:rsidRPr="007731E2">
        <w:rPr>
          <w:vertAlign w:val="superscript"/>
        </w:rPr>
        <w:t>th</w:t>
      </w:r>
      <w:r>
        <w:t xml:space="preserve"> highs and ended with the October 3</w:t>
      </w:r>
      <w:r w:rsidRPr="007731E2">
        <w:rPr>
          <w:vertAlign w:val="superscript"/>
        </w:rPr>
        <w:t>rd</w:t>
      </w:r>
      <w:r>
        <w:t xml:space="preserve"> lows.  Once this second major leg up is complete, it is probable that the third major leg down will begin and this could bring the markets substantially lower in 2012.  The alternative theory is that the markets have a brief recovery from this over-sold position and continue to fall below their October 3</w:t>
      </w:r>
      <w:r w:rsidRPr="007731E2">
        <w:rPr>
          <w:vertAlign w:val="superscript"/>
        </w:rPr>
        <w:t>rd</w:t>
      </w:r>
      <w:r>
        <w:t xml:space="preserve"> lows.  If the latter scenario should occur, then it would mean that the second major leg up only lasted four weeks into the October 27</w:t>
      </w:r>
      <w:r w:rsidRPr="008C2A4D">
        <w:rPr>
          <w:vertAlign w:val="superscript"/>
        </w:rPr>
        <w:t>th</w:t>
      </w:r>
      <w:r>
        <w:t xml:space="preserve"> highs and we are in the midst of the third major leg down.</w:t>
      </w:r>
    </w:p>
    <w:p w:rsidR="00FC375D" w:rsidRDefault="00FC375D" w:rsidP="005E0CDD"/>
    <w:p w:rsidR="00FC375D" w:rsidRDefault="00FC375D" w:rsidP="005E0CDD">
      <w:r>
        <w:t xml:space="preserve">The panic on Wall Street this week was caused by the lack of progress by the “Super Committee” to create a plan with acceptable budget cuts and also the increasing uncertainty in </w:t>
      </w:r>
      <w:smartTag w:uri="urn:schemas-microsoft-com:office:smarttags" w:element="place">
        <w:r>
          <w:t>Europe</w:t>
        </w:r>
      </w:smartTag>
      <w:r>
        <w:t xml:space="preserve">.  As </w:t>
      </w:r>
      <w:smartTag w:uri="urn:schemas-microsoft-com:office:smarttags" w:element="country-region">
        <w:r>
          <w:t>Greece</w:t>
        </w:r>
      </w:smartTag>
      <w:r>
        <w:t xml:space="preserve">, </w:t>
      </w:r>
      <w:smartTag w:uri="urn:schemas-microsoft-com:office:smarttags" w:element="country-region">
        <w:r>
          <w:t>Italy</w:t>
        </w:r>
      </w:smartTag>
      <w:r>
        <w:t xml:space="preserve">, </w:t>
      </w:r>
      <w:smartTag w:uri="urn:schemas-microsoft-com:office:smarttags" w:element="country-region">
        <w:r>
          <w:t>Spain</w:t>
        </w:r>
      </w:smartTag>
      <w:r>
        <w:t xml:space="preserve">, </w:t>
      </w:r>
      <w:smartTag w:uri="urn:schemas-microsoft-com:office:smarttags" w:element="country-region">
        <w:r>
          <w:t>Portugal</w:t>
        </w:r>
      </w:smartTag>
      <w:r>
        <w:t xml:space="preserve"> and other countries battle with temporary austerity measures, </w:t>
      </w:r>
      <w:smartTag w:uri="urn:schemas-microsoft-com:office:smarttags" w:element="country-region">
        <w:smartTag w:uri="urn:schemas-microsoft-com:office:smarttags" w:element="place">
          <w:r>
            <w:t>Germany</w:t>
          </w:r>
        </w:smartTag>
      </w:smartTag>
      <w:r>
        <w:t xml:space="preserve"> is beginning to pay the price. For the first time, </w:t>
      </w:r>
      <w:smartTag w:uri="urn:schemas-microsoft-com:office:smarttags" w:element="country-region">
        <w:smartTag w:uri="urn:schemas-microsoft-com:office:smarttags" w:element="place">
          <w:r>
            <w:t>Germany</w:t>
          </w:r>
        </w:smartTag>
      </w:smartTag>
      <w:r>
        <w:t xml:space="preserve"> was unable to sell all of its bonds at auction. This means that </w:t>
      </w:r>
      <w:smartTag w:uri="urn:schemas-microsoft-com:office:smarttags" w:element="place">
        <w:smartTag w:uri="urn:schemas-microsoft-com:office:smarttags" w:element="country-region">
          <w:r>
            <w:t>Germany</w:t>
          </w:r>
        </w:smartTag>
      </w:smartTag>
      <w:r>
        <w:t xml:space="preserve"> is now printing money.  It is only a matter of time before the European crisis blows up.</w:t>
      </w:r>
    </w:p>
    <w:p w:rsidR="00FC375D" w:rsidRDefault="00FC375D" w:rsidP="005E0CDD"/>
    <w:p w:rsidR="00FC375D" w:rsidRDefault="00FC375D" w:rsidP="005E0CDD">
      <w:r>
        <w:t>The big news this week was that the Commerce Department revised its estimate for third quarter Gross Domestic Product to show that the economy is expanding at a rate of 2% which is slower than was originally expected. Last month, it was the Commerce Department’s estimate that the third quarter GDP was about 2.5% and that sent the markets to their October 27</w:t>
      </w:r>
      <w:r w:rsidRPr="009C5D6E">
        <w:rPr>
          <w:vertAlign w:val="superscript"/>
        </w:rPr>
        <w:t>th</w:t>
      </w:r>
      <w:r>
        <w:t xml:space="preserve"> highs.  It is remarkable how the Commerce Department could have a 20% margin of error, especially when you consider that the second quarter </w:t>
      </w:r>
      <w:r>
        <w:lastRenderedPageBreak/>
        <w:t>GDP was 1.3%. There was not any news during July, August and September that was 100% better than the second quarter which makes you wonder how they come up with these numbers.  Their inaccurate estimate and October’s rally had most “experts” raising their expectations for a strong year-end recovery.  Instead of following misleading government reports, the “experts” should look at their friends, family and colleagues to measure what is really going on.</w:t>
      </w:r>
    </w:p>
    <w:p w:rsidR="00FC375D" w:rsidRDefault="00FC375D" w:rsidP="005E0CDD"/>
    <w:p w:rsidR="00FC375D" w:rsidRDefault="00FC375D" w:rsidP="005E0CDD">
      <w:r>
        <w:t xml:space="preserve">Today is Black Friday.  The media and retailers have hyped this to be the most anticipated shopping season in years as most stores opened late Thanksgiving evening and remained open all night.  I am not sure how increased shopping hours in the middle of the night causes consumers to spend more overall for the season. It may be more convenient for some and appealing to others, but I do not believe that it is going to cause people to buy more than they planned to buy during the holiday season.  By the time the retailers report earnings, it is unlikely that profits will increase due to increased payroll costs and sale priced items with lower profit margins.  I am sure that the hype will continue throughout the week about how strong sales were this weekend, but the more important concern is if they will remain strong over the next four weeks.  </w:t>
      </w:r>
    </w:p>
    <w:p w:rsidR="00FC375D" w:rsidRDefault="00FC375D" w:rsidP="00091C2F"/>
    <w:p w:rsidR="00FC375D" w:rsidRDefault="00FC375D" w:rsidP="00D41B75">
      <w:pPr>
        <w:rPr>
          <w:color w:val="000000"/>
        </w:rPr>
      </w:pPr>
      <w:r>
        <w:t xml:space="preserve">The key to a solid financial plan is to stay your course and not to be fooled or persuaded by unjustified rallies.  I encourage you to make an appointment to review your financial plan and explore year-end tax planning opportunities.  As always, </w:t>
      </w:r>
      <w:r w:rsidRPr="00B217FA">
        <w:rPr>
          <w:color w:val="000000"/>
        </w:rPr>
        <w:t xml:space="preserve">I welcome your comments and </w:t>
      </w:r>
      <w:r>
        <w:rPr>
          <w:color w:val="000000"/>
        </w:rPr>
        <w:t>feedback</w:t>
      </w:r>
      <w:r w:rsidRPr="00B217FA">
        <w:rPr>
          <w:color w:val="000000"/>
        </w:rPr>
        <w:t xml:space="preserve"> regarding my letters. I want to thank you </w:t>
      </w:r>
      <w:r>
        <w:rPr>
          <w:color w:val="000000"/>
        </w:rPr>
        <w:t>again f</w:t>
      </w:r>
      <w:r w:rsidRPr="00B217FA">
        <w:rPr>
          <w:color w:val="000000"/>
        </w:rPr>
        <w:t xml:space="preserve">or your referrals and confidence.  A referral is the greatest validation of our service and commitment.  </w:t>
      </w:r>
    </w:p>
    <w:p w:rsidR="00FC375D" w:rsidRDefault="00FC375D" w:rsidP="00D41B75">
      <w:pPr>
        <w:rPr>
          <w:color w:val="000000"/>
        </w:rPr>
      </w:pPr>
    </w:p>
    <w:p w:rsidR="00FC375D" w:rsidRPr="00B217FA" w:rsidRDefault="00FC375D" w:rsidP="00091C2F">
      <w:pPr>
        <w:rPr>
          <w:color w:val="000000"/>
        </w:rPr>
      </w:pPr>
      <w:r w:rsidRPr="00B217FA">
        <w:rPr>
          <w:color w:val="000000"/>
        </w:rPr>
        <w:t xml:space="preserve">If you have any questions, please do not hesitate to call.  Our mission is to be your trusted financial professionals dedicated to delivering a high level of service to enhance your lifestyle and provide peace of mind.  </w:t>
      </w:r>
    </w:p>
    <w:p w:rsidR="00FC375D" w:rsidRPr="00B217FA" w:rsidRDefault="00FC375D" w:rsidP="00CD5BAF">
      <w:pPr>
        <w:pStyle w:val="NormalWeb"/>
        <w:spacing w:before="0" w:beforeAutospacing="0" w:after="0" w:afterAutospacing="0"/>
        <w:rPr>
          <w:color w:val="000000"/>
        </w:rPr>
      </w:pPr>
      <w:r w:rsidRPr="00B217FA">
        <w:rPr>
          <w:color w:val="000000"/>
        </w:rPr>
        <w:t> </w:t>
      </w:r>
    </w:p>
    <w:p w:rsidR="00FC375D" w:rsidRPr="007C7E8F" w:rsidRDefault="00FC375D" w:rsidP="00CD5BAF">
      <w:pPr>
        <w:pStyle w:val="NormalWeb"/>
        <w:spacing w:before="0" w:beforeAutospacing="0" w:after="0" w:afterAutospacing="0"/>
        <w:rPr>
          <w:color w:val="000000"/>
        </w:rPr>
      </w:pPr>
      <w:r w:rsidRPr="007C7E8F">
        <w:rPr>
          <w:color w:val="000000"/>
        </w:rPr>
        <w:t>﻿﻿Best Regards,</w:t>
      </w:r>
    </w:p>
    <w:p w:rsidR="00FC375D" w:rsidRDefault="00FC375D" w:rsidP="00CD5BAF">
      <w:pPr>
        <w:pStyle w:val="NormalWeb"/>
        <w:spacing w:before="0" w:beforeAutospacing="0" w:after="0" w:afterAutospacing="0"/>
        <w:rPr>
          <w:color w:val="000000"/>
        </w:rPr>
      </w:pPr>
      <w:r>
        <w:rPr>
          <w:color w:val="000000"/>
        </w:rPr>
        <w:t> </w:t>
      </w:r>
    </w:p>
    <w:p w:rsidR="00FC375D" w:rsidRDefault="00FC375D" w:rsidP="00CD5BAF">
      <w:pPr>
        <w:pStyle w:val="NormalWeb"/>
        <w:spacing w:before="0" w:beforeAutospacing="0" w:after="0" w:afterAutospacing="0"/>
        <w:rPr>
          <w:color w:val="000000"/>
        </w:rPr>
      </w:pPr>
      <w:r w:rsidRPr="00B33A8D">
        <w:rPr>
          <w:rStyle w:val="Strong"/>
          <w:color w:val="000000"/>
        </w:rPr>
        <w:t>Vincent</w:t>
      </w:r>
      <w:r>
        <w:rPr>
          <w:rStyle w:val="Strong"/>
          <w:color w:val="000000"/>
        </w:rPr>
        <w:t xml:space="preserve"> Pallitto, CPA, CFP</w:t>
      </w:r>
      <w:r>
        <w:rPr>
          <w:rStyle w:val="Strong"/>
          <w:color w:val="000000"/>
          <w:vertAlign w:val="superscript"/>
        </w:rPr>
        <w:t>®</w:t>
      </w:r>
      <w:r>
        <w:rPr>
          <w:color w:val="000000"/>
          <w:vertAlign w:val="superscript"/>
        </w:rPr>
        <w:t> </w:t>
      </w:r>
      <w:r>
        <w:rPr>
          <w:color w:val="000000"/>
        </w:rPr>
        <w:t>  </w:t>
      </w:r>
    </w:p>
    <w:p w:rsidR="00FC375D" w:rsidRDefault="00FC375D" w:rsidP="00CD5BAF">
      <w:pPr>
        <w:pStyle w:val="NormalWeb"/>
        <w:spacing w:before="0" w:beforeAutospacing="0" w:after="0" w:afterAutospacing="0"/>
        <w:rPr>
          <w:color w:val="000000"/>
        </w:rPr>
      </w:pPr>
      <w:r>
        <w:rPr>
          <w:color w:val="000000"/>
          <w:sz w:val="22"/>
          <w:szCs w:val="22"/>
        </w:rPr>
        <w:t>Certified College Planning Specialist</w:t>
      </w:r>
      <w:r>
        <w:rPr>
          <w:color w:val="000000"/>
        </w:rPr>
        <w:t xml:space="preserve"> </w:t>
      </w:r>
    </w:p>
    <w:p w:rsidR="00FC375D" w:rsidRDefault="00FC375D" w:rsidP="00CD5BAF">
      <w:pPr>
        <w:pStyle w:val="NormalWeb"/>
        <w:spacing w:before="0" w:beforeAutospacing="0" w:after="0" w:afterAutospacing="0"/>
        <w:rPr>
          <w:color w:val="000000"/>
        </w:rPr>
      </w:pPr>
      <w:r>
        <w:rPr>
          <w:color w:val="000000"/>
          <w:sz w:val="22"/>
          <w:szCs w:val="22"/>
        </w:rPr>
        <w:t>Summit Asset Management, Inc.</w:t>
      </w:r>
    </w:p>
    <w:p w:rsidR="00FC375D" w:rsidRDefault="00CE751C" w:rsidP="00CD5BAF">
      <w:pPr>
        <w:pStyle w:val="NormalWeb"/>
        <w:spacing w:before="0" w:beforeAutospacing="0" w:after="0" w:afterAutospacing="0"/>
        <w:rPr>
          <w:color w:val="000000"/>
        </w:rPr>
      </w:pPr>
      <w:hyperlink r:id="rId6" w:tgtFrame="_blank" w:history="1">
        <w:r w:rsidR="00FC375D">
          <w:rPr>
            <w:rStyle w:val="Hyperlink"/>
            <w:sz w:val="22"/>
            <w:szCs w:val="22"/>
          </w:rPr>
          <w:t>www.summitasset.com</w:t>
        </w:r>
      </w:hyperlink>
    </w:p>
    <w:p w:rsidR="00FC375D" w:rsidRDefault="00FC375D" w:rsidP="00CD5BAF">
      <w:pPr>
        <w:pStyle w:val="NormalWeb"/>
        <w:spacing w:before="0" w:beforeAutospacing="0" w:after="0" w:afterAutospacing="0"/>
        <w:rPr>
          <w:color w:val="000000"/>
        </w:rPr>
      </w:pPr>
      <w:r>
        <w:rPr>
          <w:color w:val="000000"/>
          <w:sz w:val="22"/>
          <w:szCs w:val="22"/>
        </w:rPr>
        <w:t>973-301-2360</w:t>
      </w:r>
    </w:p>
    <w:p w:rsidR="00FC375D" w:rsidRDefault="00FC375D" w:rsidP="00CD5BAF">
      <w:pPr>
        <w:pStyle w:val="NormalWeb"/>
        <w:spacing w:before="0" w:beforeAutospacing="0" w:after="0" w:afterAutospacing="0"/>
        <w:rPr>
          <w:color w:val="000000"/>
        </w:rPr>
      </w:pPr>
      <w:r>
        <w:rPr>
          <w:color w:val="000000"/>
          <w:sz w:val="22"/>
          <w:szCs w:val="22"/>
        </w:rPr>
        <w:t>973-301-2370 Fax</w:t>
      </w:r>
    </w:p>
    <w:p w:rsidR="00FC375D" w:rsidRDefault="00FC375D" w:rsidP="00CD5BAF">
      <w:pPr>
        <w:pStyle w:val="NormalWeb"/>
        <w:spacing w:before="0" w:beforeAutospacing="0" w:after="0" w:afterAutospacing="0"/>
        <w:rPr>
          <w:color w:val="000000"/>
        </w:rPr>
      </w:pPr>
      <w:r>
        <w:rPr>
          <w:color w:val="000000"/>
          <w:sz w:val="20"/>
          <w:szCs w:val="20"/>
        </w:rPr>
        <w:t>A branch office of, and securities offered through LPL Financial</w:t>
      </w:r>
    </w:p>
    <w:p w:rsidR="00FC375D" w:rsidRDefault="00FC375D" w:rsidP="00CD5BAF">
      <w:pPr>
        <w:pStyle w:val="NormalWeb"/>
        <w:spacing w:before="0" w:beforeAutospacing="0" w:after="0" w:afterAutospacing="0"/>
        <w:rPr>
          <w:color w:val="000000"/>
        </w:rPr>
      </w:pPr>
      <w:r>
        <w:rPr>
          <w:color w:val="000000"/>
          <w:sz w:val="15"/>
          <w:szCs w:val="15"/>
        </w:rPr>
        <w:t>Member FINRA SIPC</w:t>
      </w:r>
    </w:p>
    <w:p w:rsidR="00FC375D" w:rsidRDefault="00FC375D" w:rsidP="00CD5BAF">
      <w:pPr>
        <w:pStyle w:val="NormalWeb"/>
        <w:spacing w:before="0" w:beforeAutospacing="0" w:after="0" w:afterAutospacing="0"/>
        <w:rPr>
          <w:color w:val="000000"/>
        </w:rPr>
      </w:pPr>
      <w:r>
        <w:rPr>
          <w:color w:val="000000"/>
        </w:rPr>
        <w:t> </w:t>
      </w:r>
    </w:p>
    <w:p w:rsidR="00FC375D" w:rsidRDefault="00FC375D" w:rsidP="00CD5BAF">
      <w:pPr>
        <w:pStyle w:val="NormalWeb"/>
        <w:spacing w:before="0" w:beforeAutospacing="0" w:after="0" w:afterAutospacing="0"/>
        <w:rPr>
          <w:color w:val="00000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7" w:tgtFrame="_blank" w:history="1">
        <w:r>
          <w:rPr>
            <w:rStyle w:val="Hyperlink"/>
            <w:i/>
            <w:iCs/>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FC375D" w:rsidRDefault="00FC375D" w:rsidP="00CD5BAF">
      <w:pPr>
        <w:pStyle w:val="NormalWeb"/>
        <w:spacing w:before="0" w:beforeAutospacing="0" w:after="0" w:afterAutospacing="0"/>
        <w:rPr>
          <w:color w:val="000000"/>
        </w:rPr>
      </w:pPr>
      <w:r>
        <w:rPr>
          <w:b/>
          <w:bCs/>
          <w:color w:val="000000"/>
        </w:rPr>
        <w:t> </w:t>
      </w:r>
    </w:p>
    <w:p w:rsidR="00FC375D" w:rsidRDefault="00FC375D" w:rsidP="00873B5B"/>
    <w:p w:rsidR="00FC375D" w:rsidRDefault="00FC375D" w:rsidP="00873B5B"/>
    <w:p w:rsidR="00FC375D" w:rsidRDefault="00FC375D" w:rsidP="00873B5B"/>
    <w:p w:rsidR="00FC375D" w:rsidRPr="00771636" w:rsidRDefault="00FC375D" w:rsidP="00873B5B">
      <w:r>
        <w:t xml:space="preserve"> </w:t>
      </w:r>
    </w:p>
    <w:sectPr w:rsidR="00FC375D" w:rsidRPr="00771636" w:rsidSect="008756B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9F"/>
    <w:multiLevelType w:val="multilevel"/>
    <w:tmpl w:val="5B7E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113C3"/>
    <w:multiLevelType w:val="multilevel"/>
    <w:tmpl w:val="A35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6"/>
    <w:rsid w:val="00001580"/>
    <w:rsid w:val="000037E6"/>
    <w:rsid w:val="00014E0D"/>
    <w:rsid w:val="00023090"/>
    <w:rsid w:val="00030D0E"/>
    <w:rsid w:val="0003196E"/>
    <w:rsid w:val="00037850"/>
    <w:rsid w:val="000409C2"/>
    <w:rsid w:val="00047560"/>
    <w:rsid w:val="00056050"/>
    <w:rsid w:val="00060749"/>
    <w:rsid w:val="00063FBD"/>
    <w:rsid w:val="000645C5"/>
    <w:rsid w:val="0006786E"/>
    <w:rsid w:val="00072749"/>
    <w:rsid w:val="000730C6"/>
    <w:rsid w:val="00081366"/>
    <w:rsid w:val="000828C2"/>
    <w:rsid w:val="00086D7F"/>
    <w:rsid w:val="00087C9F"/>
    <w:rsid w:val="00087ECD"/>
    <w:rsid w:val="000904B7"/>
    <w:rsid w:val="00091C2F"/>
    <w:rsid w:val="000931D0"/>
    <w:rsid w:val="000936C1"/>
    <w:rsid w:val="00093801"/>
    <w:rsid w:val="00093BF4"/>
    <w:rsid w:val="000A017A"/>
    <w:rsid w:val="000A16FB"/>
    <w:rsid w:val="000A2464"/>
    <w:rsid w:val="000A31DC"/>
    <w:rsid w:val="000A464E"/>
    <w:rsid w:val="000A5206"/>
    <w:rsid w:val="000B1C2E"/>
    <w:rsid w:val="000B23B6"/>
    <w:rsid w:val="000B3B04"/>
    <w:rsid w:val="000B4155"/>
    <w:rsid w:val="000C2BDC"/>
    <w:rsid w:val="000C4CA3"/>
    <w:rsid w:val="000D2EA6"/>
    <w:rsid w:val="000D347D"/>
    <w:rsid w:val="000D657D"/>
    <w:rsid w:val="000D6DA4"/>
    <w:rsid w:val="000D6FF7"/>
    <w:rsid w:val="000D73A6"/>
    <w:rsid w:val="000E0681"/>
    <w:rsid w:val="000E1224"/>
    <w:rsid w:val="000E5661"/>
    <w:rsid w:val="000E6585"/>
    <w:rsid w:val="000E7B79"/>
    <w:rsid w:val="0010009C"/>
    <w:rsid w:val="001015C3"/>
    <w:rsid w:val="0010212A"/>
    <w:rsid w:val="001021BA"/>
    <w:rsid w:val="001034FD"/>
    <w:rsid w:val="00107559"/>
    <w:rsid w:val="001077AC"/>
    <w:rsid w:val="001103A7"/>
    <w:rsid w:val="00112BCF"/>
    <w:rsid w:val="00113EF7"/>
    <w:rsid w:val="00113FF8"/>
    <w:rsid w:val="0011587A"/>
    <w:rsid w:val="001169B9"/>
    <w:rsid w:val="00116E1B"/>
    <w:rsid w:val="00117D2C"/>
    <w:rsid w:val="0012240C"/>
    <w:rsid w:val="00123944"/>
    <w:rsid w:val="00130111"/>
    <w:rsid w:val="00130962"/>
    <w:rsid w:val="00136689"/>
    <w:rsid w:val="00137B6B"/>
    <w:rsid w:val="001417AB"/>
    <w:rsid w:val="00141D6C"/>
    <w:rsid w:val="001431BE"/>
    <w:rsid w:val="00143733"/>
    <w:rsid w:val="0014749C"/>
    <w:rsid w:val="001565F3"/>
    <w:rsid w:val="00156966"/>
    <w:rsid w:val="00156A2E"/>
    <w:rsid w:val="00164CF9"/>
    <w:rsid w:val="00173B7E"/>
    <w:rsid w:val="001804E3"/>
    <w:rsid w:val="001872B6"/>
    <w:rsid w:val="001962E6"/>
    <w:rsid w:val="001A45ED"/>
    <w:rsid w:val="001A71C5"/>
    <w:rsid w:val="001B5500"/>
    <w:rsid w:val="001C1ED3"/>
    <w:rsid w:val="001D0936"/>
    <w:rsid w:val="001D374C"/>
    <w:rsid w:val="001D3B95"/>
    <w:rsid w:val="001D457C"/>
    <w:rsid w:val="001E088B"/>
    <w:rsid w:val="001E381B"/>
    <w:rsid w:val="001F0AF7"/>
    <w:rsid w:val="001F1FBC"/>
    <w:rsid w:val="001F31AB"/>
    <w:rsid w:val="001F617E"/>
    <w:rsid w:val="001F75A1"/>
    <w:rsid w:val="00203616"/>
    <w:rsid w:val="00210C57"/>
    <w:rsid w:val="0021254C"/>
    <w:rsid w:val="002130FC"/>
    <w:rsid w:val="0021315E"/>
    <w:rsid w:val="0021571A"/>
    <w:rsid w:val="00216442"/>
    <w:rsid w:val="002174A4"/>
    <w:rsid w:val="00220F7D"/>
    <w:rsid w:val="00230571"/>
    <w:rsid w:val="00234964"/>
    <w:rsid w:val="0023653B"/>
    <w:rsid w:val="002374BE"/>
    <w:rsid w:val="00240816"/>
    <w:rsid w:val="0024234F"/>
    <w:rsid w:val="00243927"/>
    <w:rsid w:val="0024773C"/>
    <w:rsid w:val="00247CD7"/>
    <w:rsid w:val="00254A23"/>
    <w:rsid w:val="0025566E"/>
    <w:rsid w:val="00255A08"/>
    <w:rsid w:val="00262F41"/>
    <w:rsid w:val="00270B0D"/>
    <w:rsid w:val="00272BE5"/>
    <w:rsid w:val="00272EA2"/>
    <w:rsid w:val="00273708"/>
    <w:rsid w:val="00282162"/>
    <w:rsid w:val="00291D08"/>
    <w:rsid w:val="002964B2"/>
    <w:rsid w:val="002A4D58"/>
    <w:rsid w:val="002A5EB3"/>
    <w:rsid w:val="002A70C9"/>
    <w:rsid w:val="002A76E6"/>
    <w:rsid w:val="002B0E04"/>
    <w:rsid w:val="002B0E21"/>
    <w:rsid w:val="002B1183"/>
    <w:rsid w:val="002B2D51"/>
    <w:rsid w:val="002B3579"/>
    <w:rsid w:val="002B4780"/>
    <w:rsid w:val="002B7172"/>
    <w:rsid w:val="002C0402"/>
    <w:rsid w:val="002C2F49"/>
    <w:rsid w:val="002C4D65"/>
    <w:rsid w:val="002D07DF"/>
    <w:rsid w:val="002D191B"/>
    <w:rsid w:val="002D6F9C"/>
    <w:rsid w:val="002E1BFC"/>
    <w:rsid w:val="002E545B"/>
    <w:rsid w:val="002E5EC0"/>
    <w:rsid w:val="002E6573"/>
    <w:rsid w:val="002F0167"/>
    <w:rsid w:val="002F0AD8"/>
    <w:rsid w:val="002F3CA8"/>
    <w:rsid w:val="002F4D11"/>
    <w:rsid w:val="003028EA"/>
    <w:rsid w:val="00302B4A"/>
    <w:rsid w:val="003034AD"/>
    <w:rsid w:val="00306CE1"/>
    <w:rsid w:val="0031518A"/>
    <w:rsid w:val="0031659F"/>
    <w:rsid w:val="003171B9"/>
    <w:rsid w:val="00320A64"/>
    <w:rsid w:val="00325FB4"/>
    <w:rsid w:val="00332CF5"/>
    <w:rsid w:val="00333191"/>
    <w:rsid w:val="00334252"/>
    <w:rsid w:val="00346782"/>
    <w:rsid w:val="00351029"/>
    <w:rsid w:val="00351776"/>
    <w:rsid w:val="003527B9"/>
    <w:rsid w:val="00362496"/>
    <w:rsid w:val="003627F7"/>
    <w:rsid w:val="003629AD"/>
    <w:rsid w:val="003639B0"/>
    <w:rsid w:val="00363D61"/>
    <w:rsid w:val="00364CC9"/>
    <w:rsid w:val="00370D62"/>
    <w:rsid w:val="00371617"/>
    <w:rsid w:val="00375DDB"/>
    <w:rsid w:val="00377BCC"/>
    <w:rsid w:val="00381421"/>
    <w:rsid w:val="00383E6A"/>
    <w:rsid w:val="00384377"/>
    <w:rsid w:val="003876C9"/>
    <w:rsid w:val="003922B4"/>
    <w:rsid w:val="003956B8"/>
    <w:rsid w:val="00396510"/>
    <w:rsid w:val="003A354B"/>
    <w:rsid w:val="003A6227"/>
    <w:rsid w:val="003B1598"/>
    <w:rsid w:val="003B4190"/>
    <w:rsid w:val="003C0B33"/>
    <w:rsid w:val="003E2086"/>
    <w:rsid w:val="003E4A3B"/>
    <w:rsid w:val="003F6509"/>
    <w:rsid w:val="003F6EFF"/>
    <w:rsid w:val="00401C9A"/>
    <w:rsid w:val="004034C0"/>
    <w:rsid w:val="0040614A"/>
    <w:rsid w:val="004128FD"/>
    <w:rsid w:val="00415CD3"/>
    <w:rsid w:val="00422FF5"/>
    <w:rsid w:val="00424431"/>
    <w:rsid w:val="00425AF4"/>
    <w:rsid w:val="004262B1"/>
    <w:rsid w:val="004277C3"/>
    <w:rsid w:val="00434D3E"/>
    <w:rsid w:val="004402D6"/>
    <w:rsid w:val="0044215E"/>
    <w:rsid w:val="0044674C"/>
    <w:rsid w:val="00447C4E"/>
    <w:rsid w:val="004509B3"/>
    <w:rsid w:val="0045386B"/>
    <w:rsid w:val="0045754C"/>
    <w:rsid w:val="00464DFF"/>
    <w:rsid w:val="0047143E"/>
    <w:rsid w:val="00476070"/>
    <w:rsid w:val="00477412"/>
    <w:rsid w:val="00480AFC"/>
    <w:rsid w:val="004817F4"/>
    <w:rsid w:val="004900FD"/>
    <w:rsid w:val="0049190A"/>
    <w:rsid w:val="00493D2C"/>
    <w:rsid w:val="00494534"/>
    <w:rsid w:val="00497816"/>
    <w:rsid w:val="004A21F2"/>
    <w:rsid w:val="004B0315"/>
    <w:rsid w:val="004B0A9A"/>
    <w:rsid w:val="004B2F32"/>
    <w:rsid w:val="004B42B9"/>
    <w:rsid w:val="004B4AE7"/>
    <w:rsid w:val="004B7D77"/>
    <w:rsid w:val="004C0867"/>
    <w:rsid w:val="004C0EFE"/>
    <w:rsid w:val="004C557C"/>
    <w:rsid w:val="004D1CF2"/>
    <w:rsid w:val="004D34FA"/>
    <w:rsid w:val="004D64E7"/>
    <w:rsid w:val="004E26D5"/>
    <w:rsid w:val="004E29F6"/>
    <w:rsid w:val="004E4347"/>
    <w:rsid w:val="004E7898"/>
    <w:rsid w:val="004F0BF0"/>
    <w:rsid w:val="004F1456"/>
    <w:rsid w:val="004F3850"/>
    <w:rsid w:val="004F3A23"/>
    <w:rsid w:val="004F5143"/>
    <w:rsid w:val="004F58D1"/>
    <w:rsid w:val="004F62F9"/>
    <w:rsid w:val="004F7854"/>
    <w:rsid w:val="0051205A"/>
    <w:rsid w:val="005133B0"/>
    <w:rsid w:val="0051673E"/>
    <w:rsid w:val="00522642"/>
    <w:rsid w:val="0052537C"/>
    <w:rsid w:val="0053099E"/>
    <w:rsid w:val="005369FD"/>
    <w:rsid w:val="0054362C"/>
    <w:rsid w:val="0055400B"/>
    <w:rsid w:val="005569A7"/>
    <w:rsid w:val="00563005"/>
    <w:rsid w:val="00581244"/>
    <w:rsid w:val="005845EC"/>
    <w:rsid w:val="005932CA"/>
    <w:rsid w:val="00594710"/>
    <w:rsid w:val="005A7823"/>
    <w:rsid w:val="005B39BD"/>
    <w:rsid w:val="005B7A4E"/>
    <w:rsid w:val="005C18BA"/>
    <w:rsid w:val="005C21EE"/>
    <w:rsid w:val="005C7A71"/>
    <w:rsid w:val="005D2EE4"/>
    <w:rsid w:val="005D2F0F"/>
    <w:rsid w:val="005D543A"/>
    <w:rsid w:val="005D5EC1"/>
    <w:rsid w:val="005D69EE"/>
    <w:rsid w:val="005E0CDD"/>
    <w:rsid w:val="005E16A6"/>
    <w:rsid w:val="005E177B"/>
    <w:rsid w:val="005E209E"/>
    <w:rsid w:val="005E39DA"/>
    <w:rsid w:val="005F14D2"/>
    <w:rsid w:val="005F1753"/>
    <w:rsid w:val="005F7182"/>
    <w:rsid w:val="005F74FC"/>
    <w:rsid w:val="005F7B51"/>
    <w:rsid w:val="00602715"/>
    <w:rsid w:val="00604CED"/>
    <w:rsid w:val="00604EB2"/>
    <w:rsid w:val="00610B66"/>
    <w:rsid w:val="006117DB"/>
    <w:rsid w:val="00615F2E"/>
    <w:rsid w:val="00616368"/>
    <w:rsid w:val="00616D42"/>
    <w:rsid w:val="00630893"/>
    <w:rsid w:val="00632E8F"/>
    <w:rsid w:val="00637416"/>
    <w:rsid w:val="00640621"/>
    <w:rsid w:val="00640653"/>
    <w:rsid w:val="0064189F"/>
    <w:rsid w:val="00642CEE"/>
    <w:rsid w:val="00643553"/>
    <w:rsid w:val="00646FB6"/>
    <w:rsid w:val="0065067E"/>
    <w:rsid w:val="00651121"/>
    <w:rsid w:val="00661568"/>
    <w:rsid w:val="00661E3E"/>
    <w:rsid w:val="006704E2"/>
    <w:rsid w:val="0068023F"/>
    <w:rsid w:val="0068054F"/>
    <w:rsid w:val="00683C4F"/>
    <w:rsid w:val="0068589D"/>
    <w:rsid w:val="006876F6"/>
    <w:rsid w:val="00687E66"/>
    <w:rsid w:val="00693E58"/>
    <w:rsid w:val="006970D6"/>
    <w:rsid w:val="006A44B0"/>
    <w:rsid w:val="006A7404"/>
    <w:rsid w:val="006B0499"/>
    <w:rsid w:val="006B6016"/>
    <w:rsid w:val="006C190E"/>
    <w:rsid w:val="006C2C02"/>
    <w:rsid w:val="006C3446"/>
    <w:rsid w:val="006C5A31"/>
    <w:rsid w:val="006C7400"/>
    <w:rsid w:val="006C79F2"/>
    <w:rsid w:val="006D2E65"/>
    <w:rsid w:val="006D34F8"/>
    <w:rsid w:val="006D4383"/>
    <w:rsid w:val="006D44A9"/>
    <w:rsid w:val="006D66F2"/>
    <w:rsid w:val="006E3261"/>
    <w:rsid w:val="006E3A89"/>
    <w:rsid w:val="006E4092"/>
    <w:rsid w:val="006E4AC3"/>
    <w:rsid w:val="006E4CBC"/>
    <w:rsid w:val="006E5941"/>
    <w:rsid w:val="00701D99"/>
    <w:rsid w:val="007027CD"/>
    <w:rsid w:val="007049E5"/>
    <w:rsid w:val="0071097B"/>
    <w:rsid w:val="0071457B"/>
    <w:rsid w:val="0072220B"/>
    <w:rsid w:val="00736FD9"/>
    <w:rsid w:val="007409E2"/>
    <w:rsid w:val="0074141B"/>
    <w:rsid w:val="00742A7C"/>
    <w:rsid w:val="00743637"/>
    <w:rsid w:val="00750EDE"/>
    <w:rsid w:val="007537DE"/>
    <w:rsid w:val="00760AED"/>
    <w:rsid w:val="00760B9F"/>
    <w:rsid w:val="007636C5"/>
    <w:rsid w:val="0076381B"/>
    <w:rsid w:val="00764853"/>
    <w:rsid w:val="00765F23"/>
    <w:rsid w:val="00767457"/>
    <w:rsid w:val="0077161E"/>
    <w:rsid w:val="00771636"/>
    <w:rsid w:val="007716CF"/>
    <w:rsid w:val="007731E2"/>
    <w:rsid w:val="007747F7"/>
    <w:rsid w:val="00774A4F"/>
    <w:rsid w:val="00777E9F"/>
    <w:rsid w:val="007804AE"/>
    <w:rsid w:val="00782772"/>
    <w:rsid w:val="00783A67"/>
    <w:rsid w:val="00783B54"/>
    <w:rsid w:val="00792379"/>
    <w:rsid w:val="00792B6F"/>
    <w:rsid w:val="007946E5"/>
    <w:rsid w:val="007A121E"/>
    <w:rsid w:val="007A163F"/>
    <w:rsid w:val="007A1AB2"/>
    <w:rsid w:val="007A3D86"/>
    <w:rsid w:val="007A4419"/>
    <w:rsid w:val="007B4E0A"/>
    <w:rsid w:val="007B7B7A"/>
    <w:rsid w:val="007C04CE"/>
    <w:rsid w:val="007C1B01"/>
    <w:rsid w:val="007C3341"/>
    <w:rsid w:val="007C3A91"/>
    <w:rsid w:val="007C4E12"/>
    <w:rsid w:val="007C7E8F"/>
    <w:rsid w:val="007D6798"/>
    <w:rsid w:val="007D7B62"/>
    <w:rsid w:val="007D7D7A"/>
    <w:rsid w:val="007E1B4C"/>
    <w:rsid w:val="007E628F"/>
    <w:rsid w:val="007F1400"/>
    <w:rsid w:val="007F1FEF"/>
    <w:rsid w:val="007F23F7"/>
    <w:rsid w:val="007F50AC"/>
    <w:rsid w:val="00800765"/>
    <w:rsid w:val="00802BE8"/>
    <w:rsid w:val="0080305C"/>
    <w:rsid w:val="00812AA4"/>
    <w:rsid w:val="00815368"/>
    <w:rsid w:val="00815C90"/>
    <w:rsid w:val="00820B51"/>
    <w:rsid w:val="008350A6"/>
    <w:rsid w:val="00836988"/>
    <w:rsid w:val="00841354"/>
    <w:rsid w:val="00844686"/>
    <w:rsid w:val="00846842"/>
    <w:rsid w:val="00851132"/>
    <w:rsid w:val="0085175D"/>
    <w:rsid w:val="00851DCC"/>
    <w:rsid w:val="008545C6"/>
    <w:rsid w:val="008712FB"/>
    <w:rsid w:val="00873B5B"/>
    <w:rsid w:val="008756B9"/>
    <w:rsid w:val="00875C90"/>
    <w:rsid w:val="008760B8"/>
    <w:rsid w:val="0087673D"/>
    <w:rsid w:val="0087684F"/>
    <w:rsid w:val="008772AB"/>
    <w:rsid w:val="008807A6"/>
    <w:rsid w:val="00884529"/>
    <w:rsid w:val="008852B8"/>
    <w:rsid w:val="00886085"/>
    <w:rsid w:val="00890F17"/>
    <w:rsid w:val="00891675"/>
    <w:rsid w:val="008932D8"/>
    <w:rsid w:val="008A1E3F"/>
    <w:rsid w:val="008B2822"/>
    <w:rsid w:val="008C2A4D"/>
    <w:rsid w:val="008D1C95"/>
    <w:rsid w:val="008D29AC"/>
    <w:rsid w:val="008D33D0"/>
    <w:rsid w:val="008D3A1C"/>
    <w:rsid w:val="008D485E"/>
    <w:rsid w:val="008D4E47"/>
    <w:rsid w:val="008D512A"/>
    <w:rsid w:val="008D5EB2"/>
    <w:rsid w:val="008D6D76"/>
    <w:rsid w:val="008E2524"/>
    <w:rsid w:val="008E3951"/>
    <w:rsid w:val="008F1F45"/>
    <w:rsid w:val="008F390C"/>
    <w:rsid w:val="008F3DBB"/>
    <w:rsid w:val="008F68D7"/>
    <w:rsid w:val="00903F4B"/>
    <w:rsid w:val="0090678E"/>
    <w:rsid w:val="00911249"/>
    <w:rsid w:val="009115EC"/>
    <w:rsid w:val="009145BF"/>
    <w:rsid w:val="009173FF"/>
    <w:rsid w:val="00922C90"/>
    <w:rsid w:val="00924B70"/>
    <w:rsid w:val="00925C2F"/>
    <w:rsid w:val="00930437"/>
    <w:rsid w:val="00931380"/>
    <w:rsid w:val="00934FA6"/>
    <w:rsid w:val="009370B9"/>
    <w:rsid w:val="00945252"/>
    <w:rsid w:val="00950B57"/>
    <w:rsid w:val="00952289"/>
    <w:rsid w:val="00965B77"/>
    <w:rsid w:val="00967FCD"/>
    <w:rsid w:val="009727EF"/>
    <w:rsid w:val="00976E6F"/>
    <w:rsid w:val="009774E9"/>
    <w:rsid w:val="0098238C"/>
    <w:rsid w:val="009863AA"/>
    <w:rsid w:val="00986A40"/>
    <w:rsid w:val="00986AA9"/>
    <w:rsid w:val="009876F6"/>
    <w:rsid w:val="00987EEE"/>
    <w:rsid w:val="0099143A"/>
    <w:rsid w:val="00997E0E"/>
    <w:rsid w:val="009A6633"/>
    <w:rsid w:val="009A7015"/>
    <w:rsid w:val="009B28B5"/>
    <w:rsid w:val="009B4564"/>
    <w:rsid w:val="009B575A"/>
    <w:rsid w:val="009C0D23"/>
    <w:rsid w:val="009C2530"/>
    <w:rsid w:val="009C5D6E"/>
    <w:rsid w:val="009C6E3B"/>
    <w:rsid w:val="009D2326"/>
    <w:rsid w:val="009D3A39"/>
    <w:rsid w:val="009E4927"/>
    <w:rsid w:val="009E7D8F"/>
    <w:rsid w:val="009F45AA"/>
    <w:rsid w:val="00A066B0"/>
    <w:rsid w:val="00A07375"/>
    <w:rsid w:val="00A120A5"/>
    <w:rsid w:val="00A16C12"/>
    <w:rsid w:val="00A247A2"/>
    <w:rsid w:val="00A30EAB"/>
    <w:rsid w:val="00A32354"/>
    <w:rsid w:val="00A37C5A"/>
    <w:rsid w:val="00A436BD"/>
    <w:rsid w:val="00A465A8"/>
    <w:rsid w:val="00A50C33"/>
    <w:rsid w:val="00A5762D"/>
    <w:rsid w:val="00A601E2"/>
    <w:rsid w:val="00A6046B"/>
    <w:rsid w:val="00A61D83"/>
    <w:rsid w:val="00A73959"/>
    <w:rsid w:val="00A76077"/>
    <w:rsid w:val="00A82FA8"/>
    <w:rsid w:val="00A851A3"/>
    <w:rsid w:val="00A918B3"/>
    <w:rsid w:val="00A91966"/>
    <w:rsid w:val="00AB1C8A"/>
    <w:rsid w:val="00AB1D89"/>
    <w:rsid w:val="00AB2E62"/>
    <w:rsid w:val="00AB3B41"/>
    <w:rsid w:val="00AC2DBD"/>
    <w:rsid w:val="00AC4994"/>
    <w:rsid w:val="00AC7094"/>
    <w:rsid w:val="00AD185C"/>
    <w:rsid w:val="00AD2EC8"/>
    <w:rsid w:val="00AE2959"/>
    <w:rsid w:val="00AE7BE1"/>
    <w:rsid w:val="00AF23AC"/>
    <w:rsid w:val="00AF5E67"/>
    <w:rsid w:val="00AF7078"/>
    <w:rsid w:val="00B04AB8"/>
    <w:rsid w:val="00B07148"/>
    <w:rsid w:val="00B10159"/>
    <w:rsid w:val="00B12489"/>
    <w:rsid w:val="00B12C0F"/>
    <w:rsid w:val="00B138E2"/>
    <w:rsid w:val="00B2012D"/>
    <w:rsid w:val="00B20D85"/>
    <w:rsid w:val="00B217FA"/>
    <w:rsid w:val="00B242F5"/>
    <w:rsid w:val="00B27703"/>
    <w:rsid w:val="00B33A8D"/>
    <w:rsid w:val="00B37915"/>
    <w:rsid w:val="00B41FE4"/>
    <w:rsid w:val="00B5569A"/>
    <w:rsid w:val="00B5731B"/>
    <w:rsid w:val="00B576B4"/>
    <w:rsid w:val="00B6397A"/>
    <w:rsid w:val="00B66D78"/>
    <w:rsid w:val="00B71B5C"/>
    <w:rsid w:val="00B730BA"/>
    <w:rsid w:val="00B7349D"/>
    <w:rsid w:val="00B836E3"/>
    <w:rsid w:val="00B90CD7"/>
    <w:rsid w:val="00B92750"/>
    <w:rsid w:val="00B937D5"/>
    <w:rsid w:val="00B9704A"/>
    <w:rsid w:val="00BA58E9"/>
    <w:rsid w:val="00BA5B0F"/>
    <w:rsid w:val="00BA5D14"/>
    <w:rsid w:val="00BA5E4B"/>
    <w:rsid w:val="00BA67B9"/>
    <w:rsid w:val="00BA71A3"/>
    <w:rsid w:val="00BA7BAF"/>
    <w:rsid w:val="00BB0FB8"/>
    <w:rsid w:val="00BB5A85"/>
    <w:rsid w:val="00BB7CFD"/>
    <w:rsid w:val="00BD4ABE"/>
    <w:rsid w:val="00BE2ACC"/>
    <w:rsid w:val="00BF243E"/>
    <w:rsid w:val="00C04434"/>
    <w:rsid w:val="00C06B00"/>
    <w:rsid w:val="00C15432"/>
    <w:rsid w:val="00C16DBE"/>
    <w:rsid w:val="00C24716"/>
    <w:rsid w:val="00C367EA"/>
    <w:rsid w:val="00C4519E"/>
    <w:rsid w:val="00C50543"/>
    <w:rsid w:val="00C522B5"/>
    <w:rsid w:val="00C5368D"/>
    <w:rsid w:val="00C56347"/>
    <w:rsid w:val="00C63176"/>
    <w:rsid w:val="00C7046A"/>
    <w:rsid w:val="00C707FD"/>
    <w:rsid w:val="00C72498"/>
    <w:rsid w:val="00C74945"/>
    <w:rsid w:val="00C80AC2"/>
    <w:rsid w:val="00C80DE0"/>
    <w:rsid w:val="00C80E8B"/>
    <w:rsid w:val="00C83757"/>
    <w:rsid w:val="00C866B3"/>
    <w:rsid w:val="00C967EF"/>
    <w:rsid w:val="00CB0CD0"/>
    <w:rsid w:val="00CB315E"/>
    <w:rsid w:val="00CB648A"/>
    <w:rsid w:val="00CB6BEA"/>
    <w:rsid w:val="00CC1511"/>
    <w:rsid w:val="00CD04D7"/>
    <w:rsid w:val="00CD22B3"/>
    <w:rsid w:val="00CD2DA0"/>
    <w:rsid w:val="00CD5BAF"/>
    <w:rsid w:val="00CE587E"/>
    <w:rsid w:val="00CE5AD3"/>
    <w:rsid w:val="00CE751C"/>
    <w:rsid w:val="00CF0045"/>
    <w:rsid w:val="00CF4DB9"/>
    <w:rsid w:val="00D008FD"/>
    <w:rsid w:val="00D00E31"/>
    <w:rsid w:val="00D02FD1"/>
    <w:rsid w:val="00D12CAA"/>
    <w:rsid w:val="00D1329C"/>
    <w:rsid w:val="00D13595"/>
    <w:rsid w:val="00D1368C"/>
    <w:rsid w:val="00D1405D"/>
    <w:rsid w:val="00D2383D"/>
    <w:rsid w:val="00D35765"/>
    <w:rsid w:val="00D36B58"/>
    <w:rsid w:val="00D40570"/>
    <w:rsid w:val="00D41B75"/>
    <w:rsid w:val="00D54F29"/>
    <w:rsid w:val="00D61361"/>
    <w:rsid w:val="00D774ED"/>
    <w:rsid w:val="00D81367"/>
    <w:rsid w:val="00D85ECA"/>
    <w:rsid w:val="00D87D14"/>
    <w:rsid w:val="00D907B2"/>
    <w:rsid w:val="00D90E0E"/>
    <w:rsid w:val="00D9505D"/>
    <w:rsid w:val="00DA377F"/>
    <w:rsid w:val="00DB44AB"/>
    <w:rsid w:val="00DB5205"/>
    <w:rsid w:val="00DC42D2"/>
    <w:rsid w:val="00DC7661"/>
    <w:rsid w:val="00DC79C0"/>
    <w:rsid w:val="00DD7451"/>
    <w:rsid w:val="00DE0185"/>
    <w:rsid w:val="00DE21B2"/>
    <w:rsid w:val="00DE6DF8"/>
    <w:rsid w:val="00DF05E7"/>
    <w:rsid w:val="00DF087F"/>
    <w:rsid w:val="00DF224A"/>
    <w:rsid w:val="00DF4716"/>
    <w:rsid w:val="00E0144B"/>
    <w:rsid w:val="00E01478"/>
    <w:rsid w:val="00E05DC3"/>
    <w:rsid w:val="00E06127"/>
    <w:rsid w:val="00E067D3"/>
    <w:rsid w:val="00E11F2C"/>
    <w:rsid w:val="00E17903"/>
    <w:rsid w:val="00E201BC"/>
    <w:rsid w:val="00E23AA3"/>
    <w:rsid w:val="00E253E7"/>
    <w:rsid w:val="00E31D4C"/>
    <w:rsid w:val="00E35DE3"/>
    <w:rsid w:val="00E40FD5"/>
    <w:rsid w:val="00E4243E"/>
    <w:rsid w:val="00E43530"/>
    <w:rsid w:val="00E50FB6"/>
    <w:rsid w:val="00E52DD0"/>
    <w:rsid w:val="00E538D8"/>
    <w:rsid w:val="00E60EAC"/>
    <w:rsid w:val="00E63330"/>
    <w:rsid w:val="00E7104D"/>
    <w:rsid w:val="00E738C6"/>
    <w:rsid w:val="00E768EF"/>
    <w:rsid w:val="00E826A4"/>
    <w:rsid w:val="00E834CB"/>
    <w:rsid w:val="00E85C8C"/>
    <w:rsid w:val="00E87810"/>
    <w:rsid w:val="00E912AD"/>
    <w:rsid w:val="00E9388E"/>
    <w:rsid w:val="00E93DB8"/>
    <w:rsid w:val="00EA0218"/>
    <w:rsid w:val="00EB293F"/>
    <w:rsid w:val="00EB2BEE"/>
    <w:rsid w:val="00EB57C1"/>
    <w:rsid w:val="00EC06A2"/>
    <w:rsid w:val="00EC1C87"/>
    <w:rsid w:val="00EC20A0"/>
    <w:rsid w:val="00EC36F8"/>
    <w:rsid w:val="00EC66E3"/>
    <w:rsid w:val="00ED08F9"/>
    <w:rsid w:val="00EE0DF4"/>
    <w:rsid w:val="00EE3294"/>
    <w:rsid w:val="00EE3415"/>
    <w:rsid w:val="00EE433F"/>
    <w:rsid w:val="00EE7FD3"/>
    <w:rsid w:val="00EF5116"/>
    <w:rsid w:val="00EF6C37"/>
    <w:rsid w:val="00F0475D"/>
    <w:rsid w:val="00F066FC"/>
    <w:rsid w:val="00F151A1"/>
    <w:rsid w:val="00F16268"/>
    <w:rsid w:val="00F27F12"/>
    <w:rsid w:val="00F322CB"/>
    <w:rsid w:val="00F33FC5"/>
    <w:rsid w:val="00F36DE7"/>
    <w:rsid w:val="00F37088"/>
    <w:rsid w:val="00F41978"/>
    <w:rsid w:val="00F43036"/>
    <w:rsid w:val="00F44224"/>
    <w:rsid w:val="00F473A8"/>
    <w:rsid w:val="00F479E7"/>
    <w:rsid w:val="00F508C6"/>
    <w:rsid w:val="00F513D7"/>
    <w:rsid w:val="00F53E4E"/>
    <w:rsid w:val="00F54833"/>
    <w:rsid w:val="00F64470"/>
    <w:rsid w:val="00F724FF"/>
    <w:rsid w:val="00F82467"/>
    <w:rsid w:val="00F847E1"/>
    <w:rsid w:val="00F876AB"/>
    <w:rsid w:val="00FA1F4F"/>
    <w:rsid w:val="00FA3911"/>
    <w:rsid w:val="00FA526D"/>
    <w:rsid w:val="00FA6940"/>
    <w:rsid w:val="00FB72D7"/>
    <w:rsid w:val="00FB7CD0"/>
    <w:rsid w:val="00FC0947"/>
    <w:rsid w:val="00FC0BFD"/>
    <w:rsid w:val="00FC375D"/>
    <w:rsid w:val="00FD1173"/>
    <w:rsid w:val="00FD5082"/>
    <w:rsid w:val="00FD7A9D"/>
    <w:rsid w:val="00FE0DE0"/>
    <w:rsid w:val="00FE57E4"/>
    <w:rsid w:val="00FE7D9B"/>
    <w:rsid w:val="00FF057B"/>
    <w:rsid w:val="00FF3B84"/>
    <w:rsid w:val="00FF3DB3"/>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43006">
      <w:marLeft w:val="0"/>
      <w:marRight w:val="0"/>
      <w:marTop w:val="0"/>
      <w:marBottom w:val="0"/>
      <w:divBdr>
        <w:top w:val="none" w:sz="0" w:space="0" w:color="auto"/>
        <w:left w:val="none" w:sz="0" w:space="0" w:color="auto"/>
        <w:bottom w:val="none" w:sz="0" w:space="0" w:color="auto"/>
        <w:right w:val="none" w:sz="0" w:space="0" w:color="auto"/>
      </w:divBdr>
      <w:divsChild>
        <w:div w:id="1723942993">
          <w:marLeft w:val="0"/>
          <w:marRight w:val="0"/>
          <w:marTop w:val="0"/>
          <w:marBottom w:val="0"/>
          <w:divBdr>
            <w:top w:val="none" w:sz="0" w:space="0" w:color="auto"/>
            <w:left w:val="none" w:sz="0" w:space="0" w:color="auto"/>
            <w:bottom w:val="none" w:sz="0" w:space="0" w:color="auto"/>
            <w:right w:val="none" w:sz="0" w:space="0" w:color="auto"/>
          </w:divBdr>
          <w:divsChild>
            <w:div w:id="1723943004">
              <w:marLeft w:val="0"/>
              <w:marRight w:val="0"/>
              <w:marTop w:val="0"/>
              <w:marBottom w:val="0"/>
              <w:divBdr>
                <w:top w:val="none" w:sz="0" w:space="0" w:color="auto"/>
                <w:left w:val="none" w:sz="0" w:space="0" w:color="auto"/>
                <w:bottom w:val="none" w:sz="0" w:space="0" w:color="auto"/>
                <w:right w:val="none" w:sz="0" w:space="0" w:color="auto"/>
              </w:divBdr>
              <w:divsChild>
                <w:div w:id="1723942995">
                  <w:marLeft w:val="0"/>
                  <w:marRight w:val="0"/>
                  <w:marTop w:val="0"/>
                  <w:marBottom w:val="0"/>
                  <w:divBdr>
                    <w:top w:val="none" w:sz="0" w:space="0" w:color="auto"/>
                    <w:left w:val="none" w:sz="0" w:space="0" w:color="auto"/>
                    <w:bottom w:val="none" w:sz="0" w:space="0" w:color="auto"/>
                    <w:right w:val="none" w:sz="0" w:space="0" w:color="auto"/>
                  </w:divBdr>
                  <w:divsChild>
                    <w:div w:id="1723942999">
                      <w:marLeft w:val="0"/>
                      <w:marRight w:val="0"/>
                      <w:marTop w:val="0"/>
                      <w:marBottom w:val="0"/>
                      <w:divBdr>
                        <w:top w:val="none" w:sz="0" w:space="0" w:color="auto"/>
                        <w:left w:val="none" w:sz="0" w:space="0" w:color="auto"/>
                        <w:bottom w:val="none" w:sz="0" w:space="0" w:color="auto"/>
                        <w:right w:val="none" w:sz="0" w:space="0" w:color="auto"/>
                      </w:divBdr>
                      <w:divsChild>
                        <w:div w:id="1723943000">
                          <w:marLeft w:val="0"/>
                          <w:marRight w:val="0"/>
                          <w:marTop w:val="0"/>
                          <w:marBottom w:val="0"/>
                          <w:divBdr>
                            <w:top w:val="none" w:sz="0" w:space="0" w:color="auto"/>
                            <w:left w:val="none" w:sz="0" w:space="0" w:color="auto"/>
                            <w:bottom w:val="none" w:sz="0" w:space="0" w:color="auto"/>
                            <w:right w:val="none" w:sz="0" w:space="0" w:color="auto"/>
                          </w:divBdr>
                          <w:divsChild>
                            <w:div w:id="1723942998">
                              <w:marLeft w:val="0"/>
                              <w:marRight w:val="0"/>
                              <w:marTop w:val="0"/>
                              <w:marBottom w:val="0"/>
                              <w:divBdr>
                                <w:top w:val="none" w:sz="0" w:space="0" w:color="auto"/>
                                <w:left w:val="none" w:sz="0" w:space="0" w:color="auto"/>
                                <w:bottom w:val="none" w:sz="0" w:space="0" w:color="auto"/>
                                <w:right w:val="none" w:sz="0" w:space="0" w:color="auto"/>
                              </w:divBdr>
                              <w:divsChild>
                                <w:div w:id="1723943003">
                                  <w:marLeft w:val="0"/>
                                  <w:marRight w:val="0"/>
                                  <w:marTop w:val="0"/>
                                  <w:marBottom w:val="0"/>
                                  <w:divBdr>
                                    <w:top w:val="none" w:sz="0" w:space="0" w:color="auto"/>
                                    <w:left w:val="none" w:sz="0" w:space="0" w:color="auto"/>
                                    <w:bottom w:val="none" w:sz="0" w:space="0" w:color="auto"/>
                                    <w:right w:val="none" w:sz="0" w:space="0" w:color="auto"/>
                                  </w:divBdr>
                                  <w:divsChild>
                                    <w:div w:id="17239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3007">
                              <w:marLeft w:val="0"/>
                              <w:marRight w:val="0"/>
                              <w:marTop w:val="0"/>
                              <w:marBottom w:val="0"/>
                              <w:divBdr>
                                <w:top w:val="none" w:sz="0" w:space="0" w:color="auto"/>
                                <w:left w:val="none" w:sz="0" w:space="0" w:color="auto"/>
                                <w:bottom w:val="none" w:sz="0" w:space="0" w:color="auto"/>
                                <w:right w:val="none" w:sz="0" w:space="0" w:color="auto"/>
                              </w:divBdr>
                              <w:divsChild>
                                <w:div w:id="1723942987">
                                  <w:marLeft w:val="0"/>
                                  <w:marRight w:val="0"/>
                                  <w:marTop w:val="0"/>
                                  <w:marBottom w:val="0"/>
                                  <w:divBdr>
                                    <w:top w:val="none" w:sz="0" w:space="0" w:color="auto"/>
                                    <w:left w:val="none" w:sz="0" w:space="0" w:color="auto"/>
                                    <w:bottom w:val="none" w:sz="0" w:space="0" w:color="auto"/>
                                    <w:right w:val="none" w:sz="0" w:space="0" w:color="auto"/>
                                  </w:divBdr>
                                </w:div>
                                <w:div w:id="1723942988">
                                  <w:marLeft w:val="0"/>
                                  <w:marRight w:val="0"/>
                                  <w:marTop w:val="0"/>
                                  <w:marBottom w:val="0"/>
                                  <w:divBdr>
                                    <w:top w:val="none" w:sz="0" w:space="0" w:color="auto"/>
                                    <w:left w:val="none" w:sz="0" w:space="0" w:color="auto"/>
                                    <w:bottom w:val="none" w:sz="0" w:space="0" w:color="auto"/>
                                    <w:right w:val="none" w:sz="0" w:space="0" w:color="auto"/>
                                  </w:divBdr>
                                  <w:divsChild>
                                    <w:div w:id="1723942997">
                                      <w:marLeft w:val="0"/>
                                      <w:marRight w:val="0"/>
                                      <w:marTop w:val="0"/>
                                      <w:marBottom w:val="0"/>
                                      <w:divBdr>
                                        <w:top w:val="none" w:sz="0" w:space="0" w:color="auto"/>
                                        <w:left w:val="none" w:sz="0" w:space="0" w:color="auto"/>
                                        <w:bottom w:val="none" w:sz="0" w:space="0" w:color="auto"/>
                                        <w:right w:val="none" w:sz="0" w:space="0" w:color="auto"/>
                                      </w:divBdr>
                                      <w:divsChild>
                                        <w:div w:id="1723942985">
                                          <w:marLeft w:val="0"/>
                                          <w:marRight w:val="0"/>
                                          <w:marTop w:val="0"/>
                                          <w:marBottom w:val="0"/>
                                          <w:divBdr>
                                            <w:top w:val="none" w:sz="0" w:space="0" w:color="auto"/>
                                            <w:left w:val="none" w:sz="0" w:space="0" w:color="auto"/>
                                            <w:bottom w:val="none" w:sz="0" w:space="0" w:color="auto"/>
                                            <w:right w:val="none" w:sz="0" w:space="0" w:color="auto"/>
                                          </w:divBdr>
                                          <w:divsChild>
                                            <w:div w:id="1723942990">
                                              <w:marLeft w:val="0"/>
                                              <w:marRight w:val="0"/>
                                              <w:marTop w:val="0"/>
                                              <w:marBottom w:val="0"/>
                                              <w:divBdr>
                                                <w:top w:val="none" w:sz="0" w:space="0" w:color="auto"/>
                                                <w:left w:val="none" w:sz="0" w:space="0" w:color="auto"/>
                                                <w:bottom w:val="none" w:sz="0" w:space="0" w:color="auto"/>
                                                <w:right w:val="none" w:sz="0" w:space="0" w:color="auto"/>
                                              </w:divBdr>
                                            </w:div>
                                            <w:div w:id="1723942991">
                                              <w:marLeft w:val="0"/>
                                              <w:marRight w:val="0"/>
                                              <w:marTop w:val="0"/>
                                              <w:marBottom w:val="0"/>
                                              <w:divBdr>
                                                <w:top w:val="none" w:sz="0" w:space="0" w:color="auto"/>
                                                <w:left w:val="none" w:sz="0" w:space="0" w:color="auto"/>
                                                <w:bottom w:val="none" w:sz="0" w:space="0" w:color="auto"/>
                                                <w:right w:val="none" w:sz="0" w:space="0" w:color="auto"/>
                                              </w:divBdr>
                                            </w:div>
                                            <w:div w:id="1723943002">
                                              <w:marLeft w:val="0"/>
                                              <w:marRight w:val="0"/>
                                              <w:marTop w:val="0"/>
                                              <w:marBottom w:val="0"/>
                                              <w:divBdr>
                                                <w:top w:val="none" w:sz="0" w:space="0" w:color="auto"/>
                                                <w:left w:val="none" w:sz="0" w:space="0" w:color="auto"/>
                                                <w:bottom w:val="none" w:sz="0" w:space="0" w:color="auto"/>
                                                <w:right w:val="none" w:sz="0" w:space="0" w:color="auto"/>
                                              </w:divBdr>
                                              <w:divsChild>
                                                <w:div w:id="1723942986">
                                                  <w:marLeft w:val="0"/>
                                                  <w:marRight w:val="0"/>
                                                  <w:marTop w:val="0"/>
                                                  <w:marBottom w:val="0"/>
                                                  <w:divBdr>
                                                    <w:top w:val="none" w:sz="0" w:space="0" w:color="auto"/>
                                                    <w:left w:val="none" w:sz="0" w:space="0" w:color="auto"/>
                                                    <w:bottom w:val="none" w:sz="0" w:space="0" w:color="auto"/>
                                                    <w:right w:val="none" w:sz="0" w:space="0" w:color="auto"/>
                                                  </w:divBdr>
                                                </w:div>
                                                <w:div w:id="1723942992">
                                                  <w:marLeft w:val="0"/>
                                                  <w:marRight w:val="0"/>
                                                  <w:marTop w:val="0"/>
                                                  <w:marBottom w:val="0"/>
                                                  <w:divBdr>
                                                    <w:top w:val="none" w:sz="0" w:space="0" w:color="auto"/>
                                                    <w:left w:val="none" w:sz="0" w:space="0" w:color="auto"/>
                                                    <w:bottom w:val="none" w:sz="0" w:space="0" w:color="auto"/>
                                                    <w:right w:val="none" w:sz="0" w:space="0" w:color="auto"/>
                                                  </w:divBdr>
                                                </w:div>
                                                <w:div w:id="1723942994">
                                                  <w:marLeft w:val="0"/>
                                                  <w:marRight w:val="0"/>
                                                  <w:marTop w:val="0"/>
                                                  <w:marBottom w:val="0"/>
                                                  <w:divBdr>
                                                    <w:top w:val="none" w:sz="0" w:space="0" w:color="auto"/>
                                                    <w:left w:val="none" w:sz="0" w:space="0" w:color="auto"/>
                                                    <w:bottom w:val="none" w:sz="0" w:space="0" w:color="auto"/>
                                                    <w:right w:val="none" w:sz="0" w:space="0" w:color="auto"/>
                                                  </w:divBdr>
                                                </w:div>
                                                <w:div w:id="17239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2996">
                                  <w:marLeft w:val="0"/>
                                  <w:marRight w:val="0"/>
                                  <w:marTop w:val="0"/>
                                  <w:marBottom w:val="0"/>
                                  <w:divBdr>
                                    <w:top w:val="none" w:sz="0" w:space="0" w:color="auto"/>
                                    <w:left w:val="none" w:sz="0" w:space="0" w:color="auto"/>
                                    <w:bottom w:val="none" w:sz="0" w:space="0" w:color="auto"/>
                                    <w:right w:val="none" w:sz="0" w:space="0" w:color="auto"/>
                                  </w:divBdr>
                                  <w:divsChild>
                                    <w:div w:id="17239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 w:id="1723943013">
      <w:marLeft w:val="0"/>
      <w:marRight w:val="0"/>
      <w:marTop w:val="0"/>
      <w:marBottom w:val="0"/>
      <w:divBdr>
        <w:top w:val="none" w:sz="0" w:space="0" w:color="auto"/>
        <w:left w:val="none" w:sz="0" w:space="0" w:color="auto"/>
        <w:bottom w:val="none" w:sz="0" w:space="0" w:color="auto"/>
        <w:right w:val="none" w:sz="0" w:space="0" w:color="auto"/>
      </w:divBdr>
      <w:divsChild>
        <w:div w:id="1723943016">
          <w:marLeft w:val="0"/>
          <w:marRight w:val="0"/>
          <w:marTop w:val="0"/>
          <w:marBottom w:val="0"/>
          <w:divBdr>
            <w:top w:val="none" w:sz="0" w:space="0" w:color="auto"/>
            <w:left w:val="none" w:sz="0" w:space="0" w:color="auto"/>
            <w:bottom w:val="none" w:sz="0" w:space="0" w:color="auto"/>
            <w:right w:val="none" w:sz="0" w:space="0" w:color="auto"/>
          </w:divBdr>
          <w:divsChild>
            <w:div w:id="1723943012">
              <w:marLeft w:val="30"/>
              <w:marRight w:val="30"/>
              <w:marTop w:val="0"/>
              <w:marBottom w:val="0"/>
              <w:divBdr>
                <w:top w:val="none" w:sz="0" w:space="0" w:color="auto"/>
                <w:left w:val="none" w:sz="0" w:space="0" w:color="auto"/>
                <w:bottom w:val="none" w:sz="0" w:space="0" w:color="auto"/>
                <w:right w:val="none" w:sz="0" w:space="0" w:color="auto"/>
              </w:divBdr>
              <w:divsChild>
                <w:div w:id="1723943017">
                  <w:marLeft w:val="0"/>
                  <w:marRight w:val="0"/>
                  <w:marTop w:val="0"/>
                  <w:marBottom w:val="0"/>
                  <w:divBdr>
                    <w:top w:val="none" w:sz="0" w:space="0" w:color="auto"/>
                    <w:left w:val="none" w:sz="0" w:space="0" w:color="auto"/>
                    <w:bottom w:val="none" w:sz="0" w:space="0" w:color="auto"/>
                    <w:right w:val="none" w:sz="0" w:space="0" w:color="auto"/>
                  </w:divBdr>
                  <w:divsChild>
                    <w:div w:id="1723943011">
                      <w:marLeft w:val="0"/>
                      <w:marRight w:val="0"/>
                      <w:marTop w:val="0"/>
                      <w:marBottom w:val="0"/>
                      <w:divBdr>
                        <w:top w:val="none" w:sz="0" w:space="0" w:color="auto"/>
                        <w:left w:val="none" w:sz="0" w:space="0" w:color="auto"/>
                        <w:bottom w:val="none" w:sz="0" w:space="0" w:color="auto"/>
                        <w:right w:val="none" w:sz="0" w:space="0" w:color="auto"/>
                      </w:divBdr>
                      <w:divsChild>
                        <w:div w:id="1723943014">
                          <w:marLeft w:val="0"/>
                          <w:marRight w:val="0"/>
                          <w:marTop w:val="0"/>
                          <w:marBottom w:val="0"/>
                          <w:divBdr>
                            <w:top w:val="none" w:sz="0" w:space="0" w:color="auto"/>
                            <w:left w:val="none" w:sz="0" w:space="0" w:color="auto"/>
                            <w:bottom w:val="none" w:sz="0" w:space="0" w:color="auto"/>
                            <w:right w:val="none" w:sz="0" w:space="0" w:color="auto"/>
                          </w:divBdr>
                          <w:divsChild>
                            <w:div w:id="1723943015">
                              <w:marLeft w:val="0"/>
                              <w:marRight w:val="0"/>
                              <w:marTop w:val="0"/>
                              <w:marBottom w:val="0"/>
                              <w:divBdr>
                                <w:top w:val="none" w:sz="0" w:space="0" w:color="auto"/>
                                <w:left w:val="none" w:sz="0" w:space="0" w:color="auto"/>
                                <w:bottom w:val="none" w:sz="0" w:space="0" w:color="auto"/>
                                <w:right w:val="none" w:sz="0" w:space="0" w:color="auto"/>
                              </w:divBdr>
                              <w:divsChild>
                                <w:div w:id="17239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20.rs6.net/tn.jsp?llr=5cqn8gdab&amp;et=1106853148619&amp;s=0&amp;e=001IItwJYjbGUGAZoe_wgsIZpB-JXjRkDDWqOGUFmIcZP2fFuPoIxhNMFIS6pAtPRPDVnZlBys4bIxMVXlI4DEhRCU7ddKPYvMpZt2E0FdU1o1bYF2Uy2d3wWFJUKikKb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5cqn8gdab&amp;et=1106853148619&amp;s=0&amp;e=001IItwJYjbGUGAZoe_wgsIZpB-JXjRkDDWqOGUFmIcZP2fFuPoIxhNMFIS6pAtPRPDVnZlBys4bIywBP1GoIX6IFkr7nH2lm5Kf-ApipvPEYXkvIWvy9_R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5497</Characters>
  <Application>Microsoft Office Word</Application>
  <DocSecurity>4</DocSecurity>
  <Lines>45</Lines>
  <Paragraphs>12</Paragraphs>
  <ScaleCrop>false</ScaleCrop>
  <Company>Microsoft</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2011</dc:title>
  <dc:creator>Vince Pallitto</dc:creator>
  <cp:lastModifiedBy>Diane Stafutti</cp:lastModifiedBy>
  <cp:revision>2</cp:revision>
  <dcterms:created xsi:type="dcterms:W3CDTF">2011-11-28T16:04:00Z</dcterms:created>
  <dcterms:modified xsi:type="dcterms:W3CDTF">2011-11-28T16:04:00Z</dcterms:modified>
</cp:coreProperties>
</file>