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D6" w:rsidRPr="007103DF" w:rsidRDefault="00CE02CA"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stocks ride out a choppy week, as traders react to a potential delay for a phase-one U.S.-China trade deal and a surprising jobs report.</w:t>
      </w:r>
    </w:p>
    <w:p w:rsidR="005A4FD6" w:rsidRPr="00A56786" w:rsidRDefault="00CE02CA"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5A4FD6" w:rsidRDefault="00CE02CA"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CE02CA" w:rsidP="005A4FD6">
      <w:pPr>
        <w:spacing w:before="160" w:line="276" w:lineRule="auto"/>
        <w:jc w:val="center"/>
        <w:rPr>
          <w:rFonts w:asciiTheme="majorHAnsi" w:hAnsiTheme="majorHAnsi" w:cs="Times New Roman"/>
          <w:color w:val="808080" w:themeColor="background1" w:themeShade="80"/>
          <w:sz w:val="2"/>
          <w:szCs w:val="24"/>
        </w:rPr>
      </w:pPr>
    </w:p>
    <w:p w:rsidR="005A4FD6" w:rsidRPr="001162D1" w:rsidRDefault="00CE02CA" w:rsidP="005A4FD6">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Presented by</w:t>
      </w:r>
      <w:r>
        <w:rPr>
          <w:rFonts w:asciiTheme="majorHAnsi" w:hAnsiTheme="majorHAnsi" w:cs="Times New Roman"/>
          <w:i/>
          <w:color w:val="646464"/>
          <w:sz w:val="24"/>
          <w:szCs w:val="24"/>
        </w:rPr>
        <w:t xml:space="preserve"> 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December 9, 2019</w:t>
      </w:r>
    </w:p>
    <w:p w:rsidR="005A4FD6" w:rsidRPr="0043614C" w:rsidRDefault="00CE02CA" w:rsidP="005A4FD6">
      <w:pPr>
        <w:spacing w:before="160" w:line="276" w:lineRule="auto"/>
        <w:jc w:val="center"/>
        <w:rPr>
          <w:rFonts w:asciiTheme="majorHAnsi" w:hAnsiTheme="majorHAnsi" w:cs="Times New Roman"/>
          <w:color w:val="000000" w:themeColor="text1"/>
          <w:sz w:val="4"/>
          <w:szCs w:val="24"/>
        </w:rPr>
      </w:pPr>
    </w:p>
    <w:p w:rsidR="005A4FD6" w:rsidRDefault="00CE02CA"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8C6A92" w:rsidRPr="008C6A92" w:rsidRDefault="00CE02CA" w:rsidP="008C6A92">
      <w:pPr>
        <w:spacing w:line="276" w:lineRule="auto"/>
        <w:jc w:val="both"/>
        <w:rPr>
          <w:rStyle w:val="st"/>
          <w:rFonts w:asciiTheme="majorHAnsi" w:hAnsiTheme="majorHAnsi"/>
          <w:sz w:val="24"/>
        </w:rPr>
      </w:pPr>
      <w:r w:rsidRPr="008C6A92">
        <w:rPr>
          <w:rStyle w:val="st"/>
          <w:rFonts w:asciiTheme="majorHAnsi" w:hAnsiTheme="majorHAnsi"/>
          <w:sz w:val="24"/>
        </w:rPr>
        <w:t xml:space="preserve">Key Wall Street benchmarks were up and down last week </w:t>
      </w:r>
      <w:r>
        <w:rPr>
          <w:rStyle w:val="st"/>
          <w:rFonts w:asciiTheme="majorHAnsi" w:hAnsiTheme="majorHAnsi"/>
          <w:sz w:val="24"/>
        </w:rPr>
        <w:t>–</w:t>
      </w:r>
      <w:r w:rsidRPr="008C6A92">
        <w:rPr>
          <w:rStyle w:val="st"/>
          <w:rFonts w:asciiTheme="majorHAnsi" w:hAnsiTheme="majorHAnsi"/>
          <w:sz w:val="24"/>
        </w:rPr>
        <w:t xml:space="preserve"> or rather down and then up. A Tuesday retreat was offset by a Friday rally spurred by the Department of Labor’s November jobs report.</w:t>
      </w:r>
    </w:p>
    <w:p w:rsidR="005A4FD6" w:rsidRPr="0043614C" w:rsidRDefault="00CE02CA" w:rsidP="008C6A92">
      <w:pPr>
        <w:spacing w:line="276" w:lineRule="auto"/>
        <w:jc w:val="both"/>
        <w:rPr>
          <w:rStyle w:val="st"/>
          <w:rFonts w:asciiTheme="majorHAnsi" w:hAnsiTheme="majorHAnsi"/>
          <w:sz w:val="6"/>
        </w:rPr>
      </w:pPr>
      <w:r w:rsidRPr="008C6A92">
        <w:rPr>
          <w:rStyle w:val="st"/>
          <w:rFonts w:asciiTheme="majorHAnsi" w:hAnsiTheme="majorHAnsi"/>
          <w:sz w:val="24"/>
        </w:rPr>
        <w:t>While the S&amp;P 500 managed to rise 0.16% for the week, the Dow Jones Industrial Average declined 0.13%, and the Nasdaq Composite ceded 0.10%. MSCI’s EAFE benchmark for international stocks retreated 0.25%</w:t>
      </w:r>
      <w:r w:rsidRPr="00534997">
        <w:rPr>
          <w:rStyle w:val="st"/>
          <w:rFonts w:asciiTheme="majorHAnsi" w:hAnsiTheme="majorHAnsi"/>
          <w:sz w:val="24"/>
        </w:rPr>
        <w:t>.</w:t>
      </w:r>
      <w:r w:rsidRPr="008C6A92">
        <w:rPr>
          <w:rStyle w:val="st"/>
          <w:rFonts w:asciiTheme="majorHAnsi" w:hAnsiTheme="majorHAnsi"/>
          <w:sz w:val="24"/>
          <w:vertAlign w:val="superscript"/>
        </w:rPr>
        <w:t>1,2</w:t>
      </w:r>
    </w:p>
    <w:p w:rsidR="008C6A92" w:rsidRPr="0043614C" w:rsidRDefault="00CE02CA" w:rsidP="008C6A92">
      <w:pPr>
        <w:spacing w:line="276" w:lineRule="auto"/>
        <w:jc w:val="both"/>
        <w:rPr>
          <w:rStyle w:val="st"/>
          <w:rFonts w:asciiTheme="majorHAnsi" w:hAnsiTheme="majorHAnsi"/>
          <w:sz w:val="8"/>
        </w:rPr>
      </w:pPr>
    </w:p>
    <w:p w:rsidR="005A4FD6" w:rsidRPr="00E24345" w:rsidRDefault="00CE02CA" w:rsidP="005A4FD6">
      <w:pPr>
        <w:spacing w:line="276" w:lineRule="auto"/>
        <w:jc w:val="both"/>
        <w:rPr>
          <w:rFonts w:asciiTheme="majorHAnsi" w:hAnsiTheme="majorHAnsi"/>
          <w:b/>
          <w:caps/>
          <w:color w:val="E88E0A"/>
          <w:sz w:val="28"/>
        </w:rPr>
      </w:pPr>
      <w:r w:rsidRPr="008C6A92">
        <w:rPr>
          <w:rFonts w:asciiTheme="majorHAnsi" w:hAnsiTheme="majorHAnsi"/>
          <w:b/>
          <w:caps/>
          <w:color w:val="E88E0A"/>
          <w:sz w:val="28"/>
        </w:rPr>
        <w:t>Hiring Surpasses Expectations</w:t>
      </w:r>
    </w:p>
    <w:p w:rsidR="008C6A92" w:rsidRPr="008C6A92" w:rsidRDefault="00CE02CA" w:rsidP="008C6A92">
      <w:pPr>
        <w:spacing w:line="276" w:lineRule="auto"/>
        <w:jc w:val="both"/>
        <w:rPr>
          <w:rStyle w:val="st"/>
          <w:rFonts w:asciiTheme="majorHAnsi" w:hAnsiTheme="majorHAnsi"/>
          <w:sz w:val="24"/>
        </w:rPr>
      </w:pPr>
      <w:r w:rsidRPr="008C6A92">
        <w:rPr>
          <w:rStyle w:val="st"/>
          <w:rFonts w:asciiTheme="majorHAnsi" w:hAnsiTheme="majorHAnsi"/>
          <w:sz w:val="24"/>
        </w:rPr>
        <w:t xml:space="preserve">Employers added </w:t>
      </w:r>
      <w:r w:rsidRPr="008C6A92">
        <w:rPr>
          <w:rStyle w:val="st"/>
          <w:rFonts w:asciiTheme="majorHAnsi" w:hAnsiTheme="majorHAnsi"/>
          <w:sz w:val="24"/>
        </w:rPr>
        <w:t>266,000 net new jobs last month, 79,000 more than economists surveyed by Dow Jones had projected. The main jobless rate ticked down 0.1% to 3.5%. The U-6 rate</w:t>
      </w:r>
      <w:r>
        <w:rPr>
          <w:rStyle w:val="st"/>
          <w:rFonts w:asciiTheme="majorHAnsi" w:hAnsiTheme="majorHAnsi"/>
          <w:sz w:val="24"/>
        </w:rPr>
        <w:t>,</w:t>
      </w:r>
      <w:r w:rsidRPr="008C6A92">
        <w:rPr>
          <w:rStyle w:val="st"/>
          <w:rFonts w:asciiTheme="majorHAnsi" w:hAnsiTheme="majorHAnsi"/>
          <w:sz w:val="24"/>
        </w:rPr>
        <w:t xml:space="preserve"> counting both the unemployed and underemployed</w:t>
      </w:r>
      <w:r>
        <w:rPr>
          <w:rStyle w:val="st"/>
          <w:rFonts w:asciiTheme="majorHAnsi" w:hAnsiTheme="majorHAnsi"/>
          <w:sz w:val="24"/>
        </w:rPr>
        <w:t>,</w:t>
      </w:r>
      <w:r w:rsidRPr="008C6A92">
        <w:rPr>
          <w:rStyle w:val="st"/>
          <w:rFonts w:asciiTheme="majorHAnsi" w:hAnsiTheme="majorHAnsi"/>
          <w:sz w:val="24"/>
        </w:rPr>
        <w:t xml:space="preserve"> also declined 0.1% to 6.9%. Wages grew 3.1% year</w:t>
      </w:r>
      <w:r w:rsidRPr="008C6A92">
        <w:rPr>
          <w:rStyle w:val="st"/>
          <w:rFonts w:asciiTheme="majorHAnsi" w:hAnsiTheme="majorHAnsi"/>
          <w:sz w:val="24"/>
        </w:rPr>
        <w:t>-over-year, above the 3.0% Dow Jones estimate.</w:t>
      </w:r>
    </w:p>
    <w:p w:rsidR="005A4FD6" w:rsidRPr="00ED56E3" w:rsidRDefault="00CE02CA" w:rsidP="008C6A92">
      <w:pPr>
        <w:spacing w:line="276" w:lineRule="auto"/>
        <w:jc w:val="both"/>
        <w:rPr>
          <w:rStyle w:val="st"/>
          <w:rFonts w:asciiTheme="majorHAnsi" w:hAnsiTheme="majorHAnsi"/>
          <w:sz w:val="24"/>
          <w:vertAlign w:val="superscript"/>
        </w:rPr>
      </w:pPr>
      <w:r w:rsidRPr="008C6A92">
        <w:rPr>
          <w:rStyle w:val="st"/>
          <w:rFonts w:asciiTheme="majorHAnsi" w:hAnsiTheme="majorHAnsi"/>
          <w:sz w:val="24"/>
        </w:rPr>
        <w:t>These numbers do not indicate an economy cooling off. While they were influenced by the return of striking General Motors workers to their jobs, November hiring gains were spread across several categories</w:t>
      </w:r>
      <w:r w:rsidRPr="00D95DF2">
        <w:rPr>
          <w:rStyle w:val="st"/>
          <w:rFonts w:asciiTheme="majorHAnsi" w:hAnsiTheme="majorHAnsi"/>
          <w:sz w:val="24"/>
        </w:rPr>
        <w:t>.</w:t>
      </w:r>
      <w:r w:rsidRPr="008C6A92">
        <w:rPr>
          <w:rStyle w:val="st"/>
          <w:rFonts w:asciiTheme="majorHAnsi" w:hAnsiTheme="majorHAnsi"/>
          <w:sz w:val="24"/>
          <w:vertAlign w:val="superscript"/>
        </w:rPr>
        <w:t>3</w:t>
      </w:r>
      <w:r w:rsidRPr="00ED56E3">
        <w:rPr>
          <w:rStyle w:val="st"/>
          <w:rFonts w:asciiTheme="majorHAnsi" w:hAnsiTheme="majorHAnsi"/>
          <w:sz w:val="24"/>
        </w:rPr>
        <w:t xml:space="preserve">  </w:t>
      </w:r>
    </w:p>
    <w:p w:rsidR="005A4FD6" w:rsidRPr="0043614C" w:rsidRDefault="00CE02CA" w:rsidP="005A4FD6">
      <w:pPr>
        <w:spacing w:line="276" w:lineRule="auto"/>
        <w:jc w:val="both"/>
        <w:rPr>
          <w:rStyle w:val="st"/>
          <w:rFonts w:asciiTheme="majorHAnsi" w:hAnsiTheme="majorHAnsi"/>
          <w:sz w:val="8"/>
        </w:rPr>
      </w:pPr>
    </w:p>
    <w:p w:rsidR="005A4FD6" w:rsidRPr="00E24345" w:rsidRDefault="00CE02CA" w:rsidP="005A4FD6">
      <w:pPr>
        <w:spacing w:line="276" w:lineRule="auto"/>
        <w:jc w:val="both"/>
        <w:rPr>
          <w:rFonts w:asciiTheme="majorHAnsi" w:hAnsiTheme="majorHAnsi"/>
          <w:b/>
          <w:caps/>
          <w:color w:val="E88E0A"/>
          <w:sz w:val="28"/>
        </w:rPr>
      </w:pPr>
      <w:r w:rsidRPr="00D13D93">
        <w:rPr>
          <w:rFonts w:asciiTheme="majorHAnsi" w:hAnsiTheme="majorHAnsi"/>
          <w:b/>
          <w:caps/>
          <w:color w:val="E88E0A"/>
          <w:sz w:val="28"/>
        </w:rPr>
        <w:t>Markets Might Wait Well Into 2020 for a China Trade Deal</w:t>
      </w:r>
    </w:p>
    <w:p w:rsidR="00D13D93" w:rsidRPr="00D13D93" w:rsidRDefault="00CE02CA" w:rsidP="00D13D93">
      <w:pPr>
        <w:spacing w:line="276" w:lineRule="auto"/>
        <w:jc w:val="both"/>
        <w:rPr>
          <w:rStyle w:val="st"/>
          <w:rFonts w:asciiTheme="majorHAnsi" w:hAnsiTheme="majorHAnsi"/>
          <w:sz w:val="24"/>
        </w:rPr>
      </w:pPr>
      <w:r w:rsidRPr="00D13D93">
        <w:rPr>
          <w:rStyle w:val="st"/>
          <w:rFonts w:asciiTheme="majorHAnsi" w:hAnsiTheme="majorHAnsi"/>
          <w:sz w:val="24"/>
        </w:rPr>
        <w:t xml:space="preserve">The U.S.-China trade dispute has gone on for 21 months. Wall Street would like to see a new phase-one trade agreement signed this month, but the timeline could lengthen. On Tuesday, President Trump </w:t>
      </w:r>
      <w:r w:rsidRPr="00D13D93">
        <w:rPr>
          <w:rStyle w:val="st"/>
          <w:rFonts w:asciiTheme="majorHAnsi" w:hAnsiTheme="majorHAnsi"/>
          <w:sz w:val="24"/>
        </w:rPr>
        <w:t xml:space="preserve">said </w:t>
      </w:r>
      <w:r>
        <w:rPr>
          <w:rStyle w:val="st"/>
          <w:rFonts w:asciiTheme="majorHAnsi" w:hAnsiTheme="majorHAnsi"/>
          <w:sz w:val="24"/>
        </w:rPr>
        <w:t xml:space="preserve">that </w:t>
      </w:r>
      <w:r w:rsidRPr="00D13D93">
        <w:rPr>
          <w:rStyle w:val="st"/>
          <w:rFonts w:asciiTheme="majorHAnsi" w:hAnsiTheme="majorHAnsi"/>
          <w:sz w:val="24"/>
        </w:rPr>
        <w:t>he was considering the option of waiting until after the 2020 election to sign off on such a pact.</w:t>
      </w:r>
    </w:p>
    <w:p w:rsidR="005A4FD6" w:rsidRPr="00ED56E3" w:rsidRDefault="00CE02CA" w:rsidP="00D13D93">
      <w:pPr>
        <w:spacing w:line="276" w:lineRule="auto"/>
        <w:jc w:val="both"/>
        <w:rPr>
          <w:rStyle w:val="st"/>
          <w:rFonts w:asciiTheme="majorHAnsi" w:hAnsiTheme="majorHAnsi"/>
          <w:sz w:val="24"/>
        </w:rPr>
      </w:pPr>
      <w:r w:rsidRPr="00D13D93">
        <w:rPr>
          <w:rStyle w:val="st"/>
          <w:rFonts w:asciiTheme="majorHAnsi" w:hAnsiTheme="majorHAnsi"/>
          <w:sz w:val="24"/>
        </w:rPr>
        <w:t>On December 15, the U.S. is slated to impose a new set of tariffs on a</w:t>
      </w:r>
      <w:r>
        <w:rPr>
          <w:rStyle w:val="st"/>
          <w:rFonts w:asciiTheme="majorHAnsi" w:hAnsiTheme="majorHAnsi"/>
          <w:sz w:val="24"/>
        </w:rPr>
        <w:t>round</w:t>
      </w:r>
      <w:r w:rsidRPr="00D13D93">
        <w:rPr>
          <w:rStyle w:val="st"/>
          <w:rFonts w:asciiTheme="majorHAnsi" w:hAnsiTheme="majorHAnsi"/>
          <w:sz w:val="24"/>
        </w:rPr>
        <w:t xml:space="preserve"> $160 billion of Chinese products. Tech companies are eyeing this date with concern</w:t>
      </w:r>
      <w:r w:rsidRPr="00D95DF2">
        <w:rPr>
          <w:rStyle w:val="st"/>
          <w:rFonts w:asciiTheme="majorHAnsi" w:hAnsiTheme="majorHAnsi"/>
          <w:sz w:val="24"/>
        </w:rPr>
        <w:t>.</w:t>
      </w:r>
      <w:r w:rsidRPr="00D13D93">
        <w:rPr>
          <w:rStyle w:val="st"/>
          <w:rFonts w:asciiTheme="majorHAnsi" w:hAnsiTheme="majorHAnsi"/>
          <w:sz w:val="24"/>
          <w:vertAlign w:val="superscript"/>
        </w:rPr>
        <w:t>4</w:t>
      </w:r>
    </w:p>
    <w:p w:rsidR="005A4FD6" w:rsidRPr="0043614C" w:rsidRDefault="00CE02CA" w:rsidP="005A4FD6">
      <w:pPr>
        <w:spacing w:line="276" w:lineRule="auto"/>
        <w:jc w:val="both"/>
        <w:rPr>
          <w:rStyle w:val="st"/>
          <w:rFonts w:asciiTheme="majorHAnsi" w:hAnsiTheme="majorHAnsi"/>
          <w:sz w:val="4"/>
        </w:rPr>
      </w:pPr>
    </w:p>
    <w:p w:rsidR="005A4FD6" w:rsidRPr="00E24345" w:rsidRDefault="00CE02CA" w:rsidP="005A4FD6">
      <w:pPr>
        <w:spacing w:line="276" w:lineRule="auto"/>
        <w:jc w:val="both"/>
        <w:rPr>
          <w:rFonts w:asciiTheme="majorHAnsi" w:hAnsiTheme="majorHAnsi"/>
          <w:b/>
          <w:caps/>
          <w:color w:val="E88E0A"/>
          <w:sz w:val="28"/>
        </w:rPr>
      </w:pPr>
      <w:r>
        <w:rPr>
          <w:rFonts w:asciiTheme="majorHAnsi" w:hAnsiTheme="majorHAnsi"/>
          <w:b/>
          <w:caps/>
          <w:color w:val="E88E0A"/>
          <w:sz w:val="28"/>
        </w:rPr>
        <w:t xml:space="preserve">FINAL </w:t>
      </w:r>
      <w:r>
        <w:rPr>
          <w:rFonts w:asciiTheme="majorHAnsi" w:hAnsiTheme="majorHAnsi"/>
          <w:b/>
          <w:caps/>
          <w:color w:val="E88E0A"/>
          <w:sz w:val="28"/>
        </w:rPr>
        <w:t>THOUGHT</w:t>
      </w:r>
    </w:p>
    <w:p w:rsidR="005A4FD6" w:rsidRDefault="00CE02CA" w:rsidP="005A4FD6">
      <w:pPr>
        <w:spacing w:line="276" w:lineRule="auto"/>
        <w:jc w:val="both"/>
        <w:rPr>
          <w:rStyle w:val="st"/>
          <w:rFonts w:asciiTheme="majorHAnsi" w:hAnsiTheme="majorHAnsi"/>
          <w:sz w:val="24"/>
          <w:vertAlign w:val="superscript"/>
        </w:rPr>
      </w:pPr>
      <w:r w:rsidRPr="00FE1AF3">
        <w:rPr>
          <w:rStyle w:val="st"/>
          <w:rFonts w:asciiTheme="majorHAnsi" w:hAnsiTheme="majorHAnsi"/>
          <w:sz w:val="24"/>
        </w:rPr>
        <w:t xml:space="preserve">Holiday shopping is critical to the economy, accounting for </w:t>
      </w:r>
      <w:r>
        <w:rPr>
          <w:rStyle w:val="st"/>
          <w:rFonts w:asciiTheme="majorHAnsi" w:hAnsiTheme="majorHAnsi"/>
          <w:sz w:val="24"/>
        </w:rPr>
        <w:t xml:space="preserve">about </w:t>
      </w:r>
      <w:r w:rsidRPr="00FE1AF3">
        <w:rPr>
          <w:rStyle w:val="st"/>
          <w:rFonts w:asciiTheme="majorHAnsi" w:hAnsiTheme="majorHAnsi"/>
          <w:sz w:val="24"/>
        </w:rPr>
        <w:t xml:space="preserve">20% of annual retail sales. This year’s calendar, however, does not favor retailers. The </w:t>
      </w:r>
      <w:r w:rsidRPr="00FE1AF3">
        <w:rPr>
          <w:rStyle w:val="st"/>
          <w:rFonts w:asciiTheme="majorHAnsi" w:hAnsiTheme="majorHAnsi"/>
          <w:sz w:val="24"/>
        </w:rPr>
        <w:t>20</w:t>
      </w:r>
      <w:r>
        <w:rPr>
          <w:rStyle w:val="st"/>
          <w:rFonts w:asciiTheme="majorHAnsi" w:hAnsiTheme="majorHAnsi"/>
          <w:sz w:val="24"/>
        </w:rPr>
        <w:t>19</w:t>
      </w:r>
      <w:r w:rsidRPr="00FE1AF3">
        <w:rPr>
          <w:rStyle w:val="st"/>
          <w:rFonts w:asciiTheme="majorHAnsi" w:hAnsiTheme="majorHAnsi"/>
          <w:sz w:val="24"/>
        </w:rPr>
        <w:t xml:space="preserve"> holiday shopping season is six days shorter than last year’s, as Thanksgiving fell on November 28. So, expect traders to keep close tabs on the pace of holiday spending, even with consumer confidence indices and stock benchmarks at high levels</w:t>
      </w:r>
      <w:r w:rsidRPr="00EC38D4">
        <w:rPr>
          <w:rStyle w:val="st"/>
          <w:rFonts w:asciiTheme="majorHAnsi" w:hAnsiTheme="majorHAnsi"/>
          <w:sz w:val="24"/>
        </w:rPr>
        <w:t>.</w:t>
      </w:r>
      <w:r w:rsidRPr="00FE1AF3">
        <w:rPr>
          <w:rStyle w:val="st"/>
          <w:rFonts w:asciiTheme="majorHAnsi" w:hAnsiTheme="majorHAnsi"/>
          <w:sz w:val="24"/>
          <w:vertAlign w:val="superscript"/>
        </w:rPr>
        <w:t>5</w:t>
      </w:r>
    </w:p>
    <w:p w:rsidR="005A4FD6" w:rsidRDefault="00CE02C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CE02CA" w:rsidP="005A4FD6">
      <w:pPr>
        <w:spacing w:line="276" w:lineRule="auto"/>
        <w:jc w:val="center"/>
        <w:rPr>
          <w:rStyle w:val="st"/>
          <w:rFonts w:asciiTheme="majorHAnsi" w:hAnsiTheme="majorHAnsi"/>
          <w:color w:val="E88E0A"/>
          <w:sz w:val="4"/>
        </w:rPr>
      </w:pPr>
    </w:p>
    <w:p w:rsidR="005A4FD6" w:rsidRPr="0043614C" w:rsidRDefault="00CE02CA"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 xml:space="preserve">T </w:t>
      </w:r>
      <w:r w:rsidRPr="00552AA9">
        <w:rPr>
          <w:rStyle w:val="st"/>
          <w:rFonts w:asciiTheme="majorHAnsi" w:hAnsiTheme="majorHAnsi"/>
          <w:color w:val="E88E0A"/>
        </w:rPr>
        <w:t>I P</w:t>
      </w:r>
      <w:r>
        <w:rPr>
          <w:rStyle w:val="st"/>
          <w:rFonts w:asciiTheme="majorHAnsi" w:hAnsiTheme="majorHAnsi"/>
          <w:color w:val="E88E0A"/>
        </w:rPr>
        <w:t xml:space="preserve">   O F   T H E   W E E K</w:t>
      </w:r>
      <w:r>
        <w:rPr>
          <w:rStyle w:val="st"/>
          <w:rFonts w:asciiTheme="majorHAnsi" w:hAnsiTheme="majorHAnsi"/>
          <w:color w:val="E88E0A"/>
        </w:rPr>
        <w:br/>
      </w:r>
    </w:p>
    <w:p w:rsidR="005A4FD6" w:rsidRDefault="00CE02CA"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5A4FD6" w:rsidRPr="00EA0505" w:rsidRDefault="00CE02CA" w:rsidP="005A4FD6">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Searching for a </w:t>
      </w:r>
      <w:r w:rsidRPr="00586F1A">
        <w:rPr>
          <w:rStyle w:val="st"/>
          <w:rFonts w:asciiTheme="majorHAnsi" w:hAnsiTheme="majorHAnsi"/>
          <w:b/>
          <w:bCs/>
          <w:i/>
          <w:sz w:val="28"/>
        </w:rPr>
        <w:t>cheap airfare</w:t>
      </w:r>
      <w:r>
        <w:rPr>
          <w:rStyle w:val="st"/>
          <w:rFonts w:asciiTheme="majorHAnsi" w:hAnsiTheme="majorHAnsi"/>
          <w:i/>
          <w:sz w:val="28"/>
        </w:rPr>
        <w:t xml:space="preserve">? Instead of just relying on results from a search engine, go a step further and check the </w:t>
      </w:r>
      <w:r w:rsidRPr="00586F1A">
        <w:rPr>
          <w:rStyle w:val="st"/>
          <w:rFonts w:asciiTheme="majorHAnsi" w:hAnsiTheme="majorHAnsi"/>
          <w:b/>
          <w:bCs/>
          <w:i/>
          <w:sz w:val="28"/>
        </w:rPr>
        <w:t>websites</w:t>
      </w:r>
      <w:r>
        <w:rPr>
          <w:rStyle w:val="st"/>
          <w:rFonts w:asciiTheme="majorHAnsi" w:hAnsiTheme="majorHAnsi"/>
          <w:i/>
          <w:sz w:val="28"/>
        </w:rPr>
        <w:t xml:space="preserve"> of </w:t>
      </w:r>
      <w:r w:rsidRPr="00586F1A">
        <w:rPr>
          <w:rStyle w:val="st"/>
          <w:rFonts w:asciiTheme="majorHAnsi" w:hAnsiTheme="majorHAnsi"/>
          <w:b/>
          <w:bCs/>
          <w:i/>
          <w:sz w:val="28"/>
        </w:rPr>
        <w:t>discount air carriers</w:t>
      </w:r>
      <w:r>
        <w:rPr>
          <w:rStyle w:val="st"/>
          <w:rFonts w:asciiTheme="majorHAnsi" w:hAnsiTheme="majorHAnsi"/>
          <w:i/>
          <w:sz w:val="28"/>
        </w:rPr>
        <w:t>. Sometimes, their fares do not show up on the popular flight search si</w:t>
      </w:r>
      <w:r>
        <w:rPr>
          <w:rStyle w:val="st"/>
          <w:rFonts w:asciiTheme="majorHAnsi" w:hAnsiTheme="majorHAnsi"/>
          <w:i/>
          <w:sz w:val="28"/>
        </w:rPr>
        <w:t>tes.</w:t>
      </w:r>
    </w:p>
    <w:p w:rsidR="005A4FD6" w:rsidRPr="0043614C" w:rsidRDefault="00CE02CA" w:rsidP="005A4FD6">
      <w:pPr>
        <w:spacing w:line="276" w:lineRule="auto"/>
        <w:jc w:val="center"/>
        <w:rPr>
          <w:rStyle w:val="st"/>
          <w:rFonts w:asciiTheme="majorHAnsi" w:hAnsiTheme="majorHAnsi"/>
          <w:i/>
          <w:color w:val="E88E0A"/>
          <w:sz w:val="4"/>
        </w:rPr>
      </w:pPr>
    </w:p>
    <w:p w:rsidR="005A4FD6" w:rsidRDefault="00CE02C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CE02CA" w:rsidP="005A4FD6">
      <w:pPr>
        <w:spacing w:line="276" w:lineRule="auto"/>
        <w:rPr>
          <w:rFonts w:asciiTheme="majorHAnsi" w:hAnsiTheme="majorHAnsi"/>
          <w:b/>
          <w:color w:val="E88E0A"/>
          <w:spacing w:val="-2"/>
          <w:sz w:val="6"/>
        </w:rPr>
      </w:pPr>
    </w:p>
    <w:p w:rsidR="005A4FD6" w:rsidRDefault="00CE02CA"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3E57D4" w:rsidRPr="003E57D4" w:rsidRDefault="00CE02CA" w:rsidP="003E57D4">
      <w:pPr>
        <w:spacing w:line="240" w:lineRule="auto"/>
        <w:rPr>
          <w:rFonts w:asciiTheme="majorHAnsi" w:hAnsiTheme="majorHAnsi"/>
          <w:b/>
          <w:color w:val="000000" w:themeColor="text1"/>
          <w:spacing w:val="-2"/>
          <w:sz w:val="24"/>
        </w:rPr>
      </w:pPr>
      <w:bookmarkStart w:id="0" w:name="_Hlk3729023"/>
      <w:r w:rsidRPr="003E57D4">
        <w:rPr>
          <w:rFonts w:asciiTheme="majorHAnsi" w:hAnsiTheme="majorHAnsi"/>
          <w:b/>
          <w:color w:val="000000" w:themeColor="text1"/>
          <w:spacing w:val="-2"/>
          <w:sz w:val="24"/>
        </w:rPr>
        <w:t xml:space="preserve">Wednesday: </w:t>
      </w:r>
      <w:r w:rsidRPr="003E57D4">
        <w:rPr>
          <w:rFonts w:asciiTheme="majorHAnsi" w:hAnsiTheme="majorHAnsi"/>
          <w:bCs/>
          <w:color w:val="000000" w:themeColor="text1"/>
          <w:spacing w:val="-2"/>
          <w:sz w:val="24"/>
        </w:rPr>
        <w:t>The Federal Reserve makes its latest monetary policy statement, followed by a press conference featuring Fed Chairman Jerome Powell; also, the November Consumer Price Index appears.</w:t>
      </w:r>
    </w:p>
    <w:p w:rsidR="005A4FD6" w:rsidRPr="003E57D4" w:rsidRDefault="00CE02CA" w:rsidP="003E57D4">
      <w:pPr>
        <w:spacing w:line="240" w:lineRule="auto"/>
        <w:rPr>
          <w:rFonts w:asciiTheme="majorHAnsi" w:eastAsia="Times New Roman" w:hAnsiTheme="majorHAnsi"/>
          <w:bCs/>
          <w:color w:val="000000" w:themeColor="text1"/>
          <w:spacing w:val="-2"/>
          <w:sz w:val="24"/>
          <w:szCs w:val="20"/>
        </w:rPr>
      </w:pPr>
      <w:r w:rsidRPr="003E57D4">
        <w:rPr>
          <w:rFonts w:asciiTheme="majorHAnsi" w:hAnsiTheme="majorHAnsi"/>
          <w:b/>
          <w:color w:val="000000" w:themeColor="text1"/>
          <w:spacing w:val="-2"/>
          <w:sz w:val="24"/>
        </w:rPr>
        <w:t xml:space="preserve">Thursday: </w:t>
      </w:r>
      <w:r w:rsidRPr="003E57D4">
        <w:rPr>
          <w:rFonts w:asciiTheme="majorHAnsi" w:hAnsiTheme="majorHAnsi"/>
          <w:bCs/>
          <w:color w:val="000000" w:themeColor="text1"/>
          <w:spacing w:val="-2"/>
          <w:sz w:val="24"/>
        </w:rPr>
        <w:t xml:space="preserve">The </w:t>
      </w:r>
      <w:r w:rsidRPr="003E57D4">
        <w:rPr>
          <w:rFonts w:asciiTheme="majorHAnsi" w:hAnsiTheme="majorHAnsi"/>
          <w:bCs/>
          <w:color w:val="000000" w:themeColor="text1"/>
          <w:spacing w:val="-2"/>
          <w:sz w:val="24"/>
        </w:rPr>
        <w:t>Department of Commerce releases its November retail sales report.</w:t>
      </w:r>
    </w:p>
    <w:bookmarkEnd w:id="0"/>
    <w:p w:rsidR="005A4FD6" w:rsidRPr="000525F2" w:rsidRDefault="00CE02CA"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w:t>
      </w:r>
      <w:r>
        <w:rPr>
          <w:rFonts w:eastAsia="Times New Roman"/>
          <w:color w:val="000000"/>
          <w:sz w:val="18"/>
          <w:szCs w:val="20"/>
        </w:rPr>
        <w:t>December 6, 2019</w:t>
      </w:r>
    </w:p>
    <w:p w:rsidR="005A4FD6" w:rsidRPr="0043614C" w:rsidRDefault="00CE02CA" w:rsidP="005A4FD6">
      <w:pPr>
        <w:spacing w:line="240" w:lineRule="auto"/>
        <w:jc w:val="both"/>
        <w:rPr>
          <w:rFonts w:asciiTheme="majorHAnsi" w:hAnsiTheme="majorHAnsi"/>
          <w:color w:val="000000" w:themeColor="text1"/>
          <w:spacing w:val="-2"/>
          <w:sz w:val="24"/>
        </w:rPr>
      </w:pPr>
      <w:r w:rsidRPr="00BF0E6C">
        <w:rPr>
          <w:rFonts w:eastAsia="Times New Roman"/>
          <w:color w:val="000000"/>
          <w:sz w:val="18"/>
          <w:szCs w:val="20"/>
        </w:rPr>
        <w:t>The Econoday economic calendar lists upcoming U.S. economic data releases (including key economic indicators), Federal Reserve policy meetings, and speakin</w:t>
      </w:r>
      <w:r w:rsidRPr="00BF0E6C">
        <w:rPr>
          <w:rFonts w:eastAsia="Times New Roman"/>
          <w:color w:val="000000"/>
          <w:sz w:val="18"/>
          <w:szCs w:val="20"/>
        </w:rPr>
        <w:t>g engagements of Federal Reserve officials. The content is developed from sources believed to be providing accurate information. The forecasts or forward-looking statements are based on assumptions and may not materialize. The forecasts also are subject to</w:t>
      </w:r>
      <w:r w:rsidRPr="00BF0E6C">
        <w:rPr>
          <w:rFonts w:eastAsia="Times New Roman"/>
          <w:color w:val="000000"/>
          <w:sz w:val="18"/>
          <w:szCs w:val="20"/>
        </w:rPr>
        <w:t xml:space="preserve"> revision</w:t>
      </w:r>
      <w:r w:rsidRPr="000525F2">
        <w:rPr>
          <w:rFonts w:eastAsia="Times New Roman"/>
          <w:color w:val="000000"/>
          <w:sz w:val="18"/>
          <w:szCs w:val="20"/>
        </w:rPr>
        <w:t>.</w:t>
      </w:r>
    </w:p>
    <w:p w:rsidR="005A4FD6" w:rsidRPr="0043614C" w:rsidRDefault="00CE02CA" w:rsidP="005A4FD6">
      <w:pPr>
        <w:spacing w:line="276" w:lineRule="auto"/>
        <w:rPr>
          <w:rFonts w:asciiTheme="majorHAnsi" w:hAnsiTheme="majorHAnsi"/>
          <w:color w:val="808080"/>
          <w:spacing w:val="-2"/>
          <w:sz w:val="4"/>
        </w:rPr>
      </w:pPr>
    </w:p>
    <w:p w:rsidR="005A4FD6" w:rsidRDefault="00CE02CA"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3E57D4" w:rsidRPr="003E57D4" w:rsidRDefault="00CE02CA" w:rsidP="003E57D4">
      <w:pPr>
        <w:spacing w:line="240" w:lineRule="auto"/>
        <w:rPr>
          <w:rFonts w:asciiTheme="majorHAnsi" w:hAnsiTheme="majorHAnsi"/>
          <w:b/>
          <w:color w:val="000000" w:themeColor="text1"/>
          <w:spacing w:val="-2"/>
          <w:sz w:val="24"/>
        </w:rPr>
      </w:pPr>
      <w:r w:rsidRPr="003E57D4">
        <w:rPr>
          <w:rFonts w:asciiTheme="majorHAnsi" w:hAnsiTheme="majorHAnsi"/>
          <w:b/>
          <w:color w:val="000000" w:themeColor="text1"/>
          <w:spacing w:val="-2"/>
          <w:sz w:val="24"/>
        </w:rPr>
        <w:t xml:space="preserve">Tuesday: </w:t>
      </w:r>
      <w:r w:rsidRPr="003E57D4">
        <w:rPr>
          <w:rFonts w:asciiTheme="majorHAnsi" w:hAnsiTheme="majorHAnsi"/>
          <w:bCs/>
          <w:color w:val="000000" w:themeColor="text1"/>
          <w:spacing w:val="-2"/>
          <w:sz w:val="24"/>
        </w:rPr>
        <w:t>AutoZone (AZO)</w:t>
      </w:r>
    </w:p>
    <w:p w:rsidR="003E57D4" w:rsidRPr="003E57D4" w:rsidRDefault="00CE02CA" w:rsidP="003E57D4">
      <w:pPr>
        <w:spacing w:line="240" w:lineRule="auto"/>
        <w:rPr>
          <w:rFonts w:asciiTheme="majorHAnsi" w:hAnsiTheme="majorHAnsi"/>
          <w:bCs/>
          <w:color w:val="000000" w:themeColor="text1"/>
          <w:spacing w:val="-2"/>
          <w:sz w:val="24"/>
        </w:rPr>
      </w:pPr>
      <w:r w:rsidRPr="003E57D4">
        <w:rPr>
          <w:rFonts w:asciiTheme="majorHAnsi" w:hAnsiTheme="majorHAnsi"/>
          <w:b/>
          <w:color w:val="000000" w:themeColor="text1"/>
          <w:spacing w:val="-2"/>
          <w:sz w:val="24"/>
        </w:rPr>
        <w:t xml:space="preserve">Wednesday: </w:t>
      </w:r>
      <w:r w:rsidRPr="003E57D4">
        <w:rPr>
          <w:rFonts w:asciiTheme="majorHAnsi" w:hAnsiTheme="majorHAnsi"/>
          <w:bCs/>
          <w:color w:val="000000" w:themeColor="text1"/>
          <w:spacing w:val="-2"/>
          <w:sz w:val="24"/>
        </w:rPr>
        <w:t>Lululemon Athletica (LULU)</w:t>
      </w:r>
    </w:p>
    <w:p w:rsidR="00534997" w:rsidRPr="00C0649C" w:rsidRDefault="00CE02CA" w:rsidP="003E57D4">
      <w:pPr>
        <w:spacing w:line="240" w:lineRule="auto"/>
        <w:rPr>
          <w:rFonts w:asciiTheme="majorHAnsi" w:eastAsia="Times New Roman" w:hAnsiTheme="majorHAnsi"/>
          <w:color w:val="000000" w:themeColor="text1"/>
          <w:spacing w:val="-2"/>
          <w:sz w:val="24"/>
          <w:szCs w:val="20"/>
        </w:rPr>
      </w:pPr>
      <w:r w:rsidRPr="003E57D4">
        <w:rPr>
          <w:rFonts w:asciiTheme="majorHAnsi" w:hAnsiTheme="majorHAnsi"/>
          <w:b/>
          <w:color w:val="000000" w:themeColor="text1"/>
          <w:spacing w:val="-2"/>
          <w:sz w:val="24"/>
        </w:rPr>
        <w:t xml:space="preserve">Thursday: </w:t>
      </w:r>
      <w:r w:rsidRPr="003E57D4">
        <w:rPr>
          <w:rFonts w:asciiTheme="majorHAnsi" w:hAnsiTheme="majorHAnsi"/>
          <w:bCs/>
          <w:color w:val="000000" w:themeColor="text1"/>
          <w:spacing w:val="-2"/>
          <w:sz w:val="24"/>
        </w:rPr>
        <w:t>Adobe Systems (ADBE), Broadcom (AVGO), Costco (COST)</w:t>
      </w:r>
    </w:p>
    <w:p w:rsidR="005A4FD6" w:rsidRPr="000525F2" w:rsidRDefault="00CE02CA"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lastRenderedPageBreak/>
        <w:t xml:space="preserve">Source: </w:t>
      </w:r>
      <w:r>
        <w:rPr>
          <w:rFonts w:eastAsia="Times New Roman"/>
          <w:color w:val="000000"/>
          <w:sz w:val="18"/>
          <w:szCs w:val="20"/>
        </w:rPr>
        <w:t>Zacks</w:t>
      </w:r>
      <w:r w:rsidRPr="000525F2">
        <w:rPr>
          <w:rFonts w:eastAsia="Times New Roman"/>
          <w:color w:val="000000"/>
          <w:sz w:val="18"/>
          <w:szCs w:val="20"/>
        </w:rPr>
        <w:t xml:space="preserve">.com, </w:t>
      </w:r>
      <w:r>
        <w:rPr>
          <w:rFonts w:eastAsia="Times New Roman"/>
          <w:color w:val="000000"/>
          <w:sz w:val="18"/>
          <w:szCs w:val="20"/>
        </w:rPr>
        <w:t>December 6, 2019</w:t>
      </w:r>
    </w:p>
    <w:p w:rsidR="005A4FD6" w:rsidRPr="000525F2" w:rsidRDefault="00CE02CA"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Companies mentioned are for </w:t>
      </w:r>
      <w:r w:rsidRPr="000525F2">
        <w:rPr>
          <w:rFonts w:eastAsia="Times New Roman"/>
          <w:color w:val="000000"/>
          <w:sz w:val="18"/>
          <w:szCs w:val="20"/>
        </w:rPr>
        <w:t>informational 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investments will fluctuate as market conditions change. When sold, investments may be worth more or less than their original cost. Companies may reschedule when they report earnings without notic</w:t>
      </w:r>
      <w:r>
        <w:rPr>
          <w:rFonts w:eastAsia="Times New Roman"/>
          <w:color w:val="000000"/>
          <w:sz w:val="18"/>
          <w:szCs w:val="20"/>
        </w:rPr>
        <w:t>e.</w:t>
      </w:r>
    </w:p>
    <w:p w:rsidR="005A4FD6" w:rsidRPr="0043614C" w:rsidRDefault="00CE02CA" w:rsidP="005A4FD6">
      <w:pPr>
        <w:spacing w:line="276" w:lineRule="auto"/>
        <w:rPr>
          <w:rFonts w:asciiTheme="majorHAnsi" w:hAnsiTheme="majorHAnsi"/>
          <w:color w:val="808080"/>
          <w:spacing w:val="-2"/>
          <w:sz w:val="4"/>
        </w:rPr>
      </w:pPr>
    </w:p>
    <w:p w:rsidR="005A4FD6" w:rsidRDefault="00CE02C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CE02CA" w:rsidP="005A4FD6">
      <w:pPr>
        <w:spacing w:line="276" w:lineRule="auto"/>
        <w:jc w:val="center"/>
        <w:rPr>
          <w:rStyle w:val="st"/>
          <w:rFonts w:asciiTheme="majorHAnsi" w:hAnsiTheme="majorHAnsi"/>
          <w:color w:val="E88E0A"/>
          <w:sz w:val="4"/>
        </w:rPr>
      </w:pPr>
    </w:p>
    <w:p w:rsidR="005A4FD6" w:rsidRPr="00B2579B" w:rsidRDefault="00CE02CA"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5A4FD6" w:rsidRPr="0043614C" w:rsidRDefault="00CE02CA" w:rsidP="005A4FD6">
      <w:pPr>
        <w:spacing w:line="276" w:lineRule="auto"/>
        <w:jc w:val="center"/>
        <w:rPr>
          <w:rStyle w:val="st"/>
          <w:rFonts w:asciiTheme="majorHAnsi" w:hAnsiTheme="majorHAnsi"/>
          <w:sz w:val="4"/>
        </w:rPr>
      </w:pPr>
    </w:p>
    <w:p w:rsidR="005A4FD6" w:rsidRDefault="00CE02CA"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5A4FD6" w:rsidRPr="00234A75" w:rsidRDefault="00CE02CA"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3E57D4">
        <w:rPr>
          <w:rStyle w:val="st"/>
          <w:rFonts w:asciiTheme="majorHAnsi" w:hAnsiTheme="majorHAnsi"/>
          <w:i/>
          <w:sz w:val="36"/>
        </w:rPr>
        <w:t xml:space="preserve">All life is an </w:t>
      </w:r>
      <w:r w:rsidRPr="009F263C">
        <w:rPr>
          <w:rStyle w:val="st"/>
          <w:rFonts w:asciiTheme="majorHAnsi" w:hAnsiTheme="majorHAnsi"/>
          <w:b/>
          <w:bCs/>
          <w:i/>
          <w:sz w:val="36"/>
        </w:rPr>
        <w:t>experiment</w:t>
      </w:r>
      <w:r w:rsidRPr="003E57D4">
        <w:rPr>
          <w:rStyle w:val="st"/>
          <w:rFonts w:asciiTheme="majorHAnsi" w:hAnsiTheme="majorHAnsi"/>
          <w:i/>
          <w:sz w:val="36"/>
        </w:rPr>
        <w:t xml:space="preserve">. The </w:t>
      </w:r>
      <w:r w:rsidRPr="009F263C">
        <w:rPr>
          <w:rStyle w:val="st"/>
          <w:rFonts w:asciiTheme="majorHAnsi" w:hAnsiTheme="majorHAnsi"/>
          <w:b/>
          <w:bCs/>
          <w:i/>
          <w:sz w:val="36"/>
        </w:rPr>
        <w:t>more</w:t>
      </w:r>
      <w:r w:rsidRPr="003E57D4">
        <w:rPr>
          <w:rStyle w:val="st"/>
          <w:rFonts w:asciiTheme="majorHAnsi" w:hAnsiTheme="majorHAnsi"/>
          <w:i/>
          <w:sz w:val="36"/>
        </w:rPr>
        <w:t xml:space="preserve"> experiments you make</w:t>
      </w:r>
      <w:r>
        <w:rPr>
          <w:rStyle w:val="st"/>
          <w:rFonts w:asciiTheme="majorHAnsi" w:hAnsiTheme="majorHAnsi"/>
          <w:i/>
          <w:sz w:val="36"/>
        </w:rPr>
        <w:t>,</w:t>
      </w:r>
      <w:r w:rsidRPr="003E57D4">
        <w:rPr>
          <w:rStyle w:val="st"/>
          <w:rFonts w:asciiTheme="majorHAnsi" w:hAnsiTheme="majorHAnsi"/>
          <w:i/>
          <w:sz w:val="36"/>
        </w:rPr>
        <w:t xml:space="preserve"> the </w:t>
      </w:r>
      <w:r w:rsidRPr="009F263C">
        <w:rPr>
          <w:rStyle w:val="st"/>
          <w:rFonts w:asciiTheme="majorHAnsi" w:hAnsiTheme="majorHAnsi"/>
          <w:b/>
          <w:bCs/>
          <w:i/>
          <w:sz w:val="36"/>
        </w:rPr>
        <w:t>better</w:t>
      </w:r>
      <w:r w:rsidRPr="004F6F29">
        <w:rPr>
          <w:rStyle w:val="st"/>
          <w:rFonts w:asciiTheme="majorHAnsi" w:hAnsiTheme="majorHAnsi"/>
          <w:i/>
          <w:sz w:val="36"/>
        </w:rPr>
        <w:t>.</w:t>
      </w:r>
      <w:r w:rsidRPr="00234A75">
        <w:rPr>
          <w:rStyle w:val="st"/>
          <w:rFonts w:asciiTheme="majorHAnsi" w:hAnsiTheme="majorHAnsi"/>
          <w:i/>
          <w:sz w:val="36"/>
        </w:rPr>
        <w:t>”</w:t>
      </w:r>
    </w:p>
    <w:p w:rsidR="005A4FD6" w:rsidRPr="00552AA9" w:rsidRDefault="00CE02CA" w:rsidP="005A4FD6">
      <w:pPr>
        <w:spacing w:line="276" w:lineRule="auto"/>
        <w:jc w:val="center"/>
        <w:rPr>
          <w:rStyle w:val="st"/>
          <w:rFonts w:asciiTheme="majorHAnsi" w:hAnsiTheme="majorHAnsi"/>
          <w:sz w:val="24"/>
        </w:rPr>
      </w:pPr>
      <w:r>
        <w:rPr>
          <w:rStyle w:val="st"/>
          <w:rFonts w:asciiTheme="majorHAnsi" w:hAnsiTheme="majorHAnsi"/>
          <w:i/>
          <w:color w:val="E88E0A"/>
        </w:rPr>
        <w:t>RALPH WALDO EMERSON</w:t>
      </w:r>
    </w:p>
    <w:p w:rsidR="005A4FD6" w:rsidRPr="0043614C" w:rsidRDefault="00CE02CA" w:rsidP="005A4FD6">
      <w:pPr>
        <w:spacing w:line="276" w:lineRule="auto"/>
        <w:jc w:val="center"/>
        <w:rPr>
          <w:rStyle w:val="st"/>
          <w:rFonts w:asciiTheme="majorHAnsi" w:hAnsiTheme="majorHAnsi"/>
          <w:i/>
          <w:color w:val="E88E0A"/>
          <w:sz w:val="4"/>
        </w:rPr>
      </w:pPr>
    </w:p>
    <w:p w:rsidR="005A4FD6" w:rsidRDefault="00CE02C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CE02CA" w:rsidP="005A4FD6">
      <w:pPr>
        <w:spacing w:line="276" w:lineRule="auto"/>
        <w:rPr>
          <w:rStyle w:val="st"/>
          <w:rFonts w:asciiTheme="majorHAnsi" w:hAnsiTheme="majorHAnsi"/>
          <w:sz w:val="4"/>
        </w:rPr>
      </w:pPr>
    </w:p>
    <w:p w:rsidR="005A4FD6" w:rsidRPr="001162D1" w:rsidRDefault="00CE02CA"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5A4FD6" w:rsidRDefault="00CE02C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CE02CA" w:rsidP="005A4FD6">
      <w:pPr>
        <w:spacing w:line="276" w:lineRule="auto"/>
        <w:jc w:val="center"/>
        <w:rPr>
          <w:rStyle w:val="st"/>
          <w:rFonts w:asciiTheme="majorHAnsi" w:hAnsiTheme="majorHAnsi"/>
          <w:color w:val="E88E0A"/>
          <w:sz w:val="4"/>
        </w:rPr>
      </w:pPr>
    </w:p>
    <w:p w:rsidR="005A4FD6" w:rsidRPr="00B2579B" w:rsidRDefault="00CE02CA"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5A4FD6" w:rsidRPr="0043614C" w:rsidRDefault="00CE02CA" w:rsidP="005A4FD6">
      <w:pPr>
        <w:spacing w:line="276" w:lineRule="auto"/>
        <w:jc w:val="center"/>
        <w:rPr>
          <w:rStyle w:val="st"/>
          <w:rFonts w:asciiTheme="majorHAnsi" w:hAnsiTheme="majorHAnsi"/>
          <w:sz w:val="4"/>
        </w:rPr>
      </w:pPr>
    </w:p>
    <w:p w:rsidR="005A4FD6" w:rsidRDefault="00CE02CA"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5A4FD6" w:rsidRPr="00EA0505" w:rsidRDefault="00CE02CA" w:rsidP="005A4FD6">
      <w:pPr>
        <w:spacing w:line="276" w:lineRule="auto"/>
        <w:jc w:val="center"/>
        <w:rPr>
          <w:rStyle w:val="st"/>
          <w:rFonts w:asciiTheme="majorHAnsi" w:hAnsiTheme="majorHAnsi"/>
          <w:b/>
          <w:i/>
          <w:sz w:val="36"/>
        </w:rPr>
      </w:pPr>
      <w:r>
        <w:rPr>
          <w:rStyle w:val="st"/>
          <w:rFonts w:asciiTheme="majorHAnsi" w:hAnsiTheme="majorHAnsi"/>
          <w:i/>
          <w:sz w:val="36"/>
        </w:rPr>
        <w:t xml:space="preserve">Suppose you have </w:t>
      </w:r>
      <w:r w:rsidRPr="009F263C">
        <w:rPr>
          <w:rStyle w:val="st"/>
          <w:rFonts w:asciiTheme="majorHAnsi" w:hAnsiTheme="majorHAnsi"/>
          <w:b/>
          <w:bCs/>
          <w:i/>
          <w:sz w:val="36"/>
        </w:rPr>
        <w:t>two</w:t>
      </w:r>
      <w:r w:rsidRPr="009F263C">
        <w:rPr>
          <w:rStyle w:val="st"/>
          <w:rFonts w:asciiTheme="majorHAnsi" w:hAnsiTheme="majorHAnsi"/>
          <w:i/>
          <w:sz w:val="36"/>
        </w:rPr>
        <w:t xml:space="preserve"> twins, </w:t>
      </w:r>
      <w:r w:rsidRPr="009F263C">
        <w:rPr>
          <w:rStyle w:val="st"/>
          <w:rFonts w:asciiTheme="majorHAnsi" w:hAnsiTheme="majorHAnsi"/>
          <w:b/>
          <w:bCs/>
          <w:i/>
          <w:sz w:val="36"/>
        </w:rPr>
        <w:t>three</w:t>
      </w:r>
      <w:r w:rsidRPr="009F263C">
        <w:rPr>
          <w:rStyle w:val="st"/>
          <w:rFonts w:asciiTheme="majorHAnsi" w:hAnsiTheme="majorHAnsi"/>
          <w:i/>
          <w:sz w:val="36"/>
        </w:rPr>
        <w:t xml:space="preserve"> triplets</w:t>
      </w:r>
      <w:r>
        <w:rPr>
          <w:rStyle w:val="st"/>
          <w:rFonts w:asciiTheme="majorHAnsi" w:hAnsiTheme="majorHAnsi"/>
          <w:i/>
          <w:sz w:val="36"/>
        </w:rPr>
        <w:t>,</w:t>
      </w:r>
      <w:r w:rsidRPr="009F263C">
        <w:rPr>
          <w:rStyle w:val="st"/>
          <w:rFonts w:asciiTheme="majorHAnsi" w:hAnsiTheme="majorHAnsi"/>
          <w:i/>
          <w:sz w:val="36"/>
        </w:rPr>
        <w:t xml:space="preserve"> and </w:t>
      </w:r>
      <w:r w:rsidRPr="009F263C">
        <w:rPr>
          <w:rStyle w:val="st"/>
          <w:rFonts w:asciiTheme="majorHAnsi" w:hAnsiTheme="majorHAnsi"/>
          <w:b/>
          <w:bCs/>
          <w:i/>
          <w:sz w:val="36"/>
        </w:rPr>
        <w:t>four</w:t>
      </w:r>
      <w:r w:rsidRPr="009F263C">
        <w:rPr>
          <w:rStyle w:val="st"/>
          <w:rFonts w:asciiTheme="majorHAnsi" w:hAnsiTheme="majorHAnsi"/>
          <w:i/>
          <w:sz w:val="36"/>
        </w:rPr>
        <w:t xml:space="preserve"> quadruplets</w:t>
      </w:r>
      <w:r>
        <w:rPr>
          <w:rStyle w:val="st"/>
          <w:rFonts w:asciiTheme="majorHAnsi" w:hAnsiTheme="majorHAnsi"/>
          <w:i/>
          <w:sz w:val="36"/>
        </w:rPr>
        <w:t>.</w:t>
      </w:r>
      <w:r w:rsidRPr="009F263C">
        <w:rPr>
          <w:rStyle w:val="st"/>
          <w:rFonts w:asciiTheme="majorHAnsi" w:hAnsiTheme="majorHAnsi"/>
          <w:i/>
          <w:sz w:val="36"/>
        </w:rPr>
        <w:t xml:space="preserve"> </w:t>
      </w:r>
      <w:r>
        <w:rPr>
          <w:rStyle w:val="st"/>
          <w:rFonts w:asciiTheme="majorHAnsi" w:hAnsiTheme="majorHAnsi"/>
          <w:i/>
          <w:sz w:val="36"/>
        </w:rPr>
        <w:t>H</w:t>
      </w:r>
      <w:r w:rsidRPr="009F263C">
        <w:rPr>
          <w:rStyle w:val="st"/>
          <w:rFonts w:asciiTheme="majorHAnsi" w:hAnsiTheme="majorHAnsi"/>
          <w:i/>
          <w:sz w:val="36"/>
        </w:rPr>
        <w:t xml:space="preserve">ow many </w:t>
      </w:r>
      <w:r w:rsidRPr="009F263C">
        <w:rPr>
          <w:rStyle w:val="st"/>
          <w:rFonts w:asciiTheme="majorHAnsi" w:hAnsiTheme="majorHAnsi"/>
          <w:i/>
          <w:sz w:val="36"/>
        </w:rPr>
        <w:t>people do you have</w:t>
      </w:r>
      <w:r w:rsidRPr="003B2B01">
        <w:rPr>
          <w:rStyle w:val="st"/>
          <w:rFonts w:asciiTheme="majorHAnsi" w:hAnsiTheme="majorHAnsi"/>
          <w:i/>
          <w:sz w:val="36"/>
        </w:rPr>
        <w:t>?</w:t>
      </w:r>
    </w:p>
    <w:p w:rsidR="005A4FD6" w:rsidRPr="0043614C" w:rsidRDefault="00CE02CA" w:rsidP="005A4FD6">
      <w:pPr>
        <w:spacing w:line="276" w:lineRule="auto"/>
        <w:jc w:val="center"/>
        <w:rPr>
          <w:rStyle w:val="st"/>
          <w:rFonts w:asciiTheme="majorHAnsi" w:hAnsiTheme="majorHAnsi"/>
          <w:i/>
          <w:color w:val="A6A6A6" w:themeColor="background1" w:themeShade="A6"/>
          <w:sz w:val="4"/>
        </w:rPr>
      </w:pPr>
    </w:p>
    <w:p w:rsidR="005A4FD6" w:rsidRPr="001162D1" w:rsidRDefault="00CE02CA"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9F263C">
        <w:rPr>
          <w:rStyle w:val="st"/>
          <w:rFonts w:asciiTheme="majorHAnsi" w:hAnsiTheme="majorHAnsi"/>
          <w:i/>
          <w:color w:val="646464"/>
        </w:rPr>
        <w:t>I follow and lead as you pass. Dress yourself in black, my darkness lasts. I flee the light, but without the sun, your view of me would be gone. Now tell me, what am I</w:t>
      </w:r>
      <w:r w:rsidRPr="001162D1">
        <w:rPr>
          <w:rStyle w:val="st"/>
          <w:rFonts w:asciiTheme="majorHAnsi" w:hAnsiTheme="majorHAnsi"/>
          <w:i/>
          <w:color w:val="646464"/>
        </w:rPr>
        <w:t>?</w:t>
      </w:r>
    </w:p>
    <w:p w:rsidR="005A4FD6" w:rsidRPr="001162D1" w:rsidRDefault="00CE02CA"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Your shadow</w:t>
      </w:r>
      <w:r>
        <w:rPr>
          <w:rStyle w:val="st"/>
          <w:rFonts w:asciiTheme="majorHAnsi" w:hAnsiTheme="majorHAnsi"/>
          <w:i/>
          <w:color w:val="646464"/>
        </w:rPr>
        <w:t>.</w:t>
      </w:r>
    </w:p>
    <w:p w:rsidR="005A4FD6" w:rsidRPr="0043614C" w:rsidRDefault="00CE02CA" w:rsidP="005A4FD6">
      <w:pPr>
        <w:spacing w:line="276" w:lineRule="auto"/>
        <w:jc w:val="center"/>
        <w:rPr>
          <w:rStyle w:val="st"/>
          <w:rFonts w:asciiTheme="majorHAnsi" w:hAnsiTheme="majorHAnsi"/>
          <w:i/>
          <w:color w:val="A6A6A6" w:themeColor="background1" w:themeShade="A6"/>
          <w:sz w:val="4"/>
        </w:rPr>
      </w:pPr>
    </w:p>
    <w:p w:rsidR="005A4FD6" w:rsidRDefault="00CE02CA"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CE02CA"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w:t>
      </w:r>
      <w:r>
        <w:rPr>
          <w:rFonts w:asciiTheme="majorHAnsi" w:hAnsiTheme="majorHAnsi" w:cs="Times New Roman"/>
          <w:sz w:val="24"/>
          <w:szCs w:val="32"/>
        </w:rPr>
        <w:t>o our mailing list.)</w:t>
      </w:r>
    </w:p>
    <w:p w:rsidR="00237981" w:rsidRDefault="00CE02CA"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CE02CA" w:rsidP="00571E5C">
      <w:pPr>
        <w:spacing w:line="276" w:lineRule="auto"/>
        <w:jc w:val="both"/>
        <w:rPr>
          <w:rFonts w:asciiTheme="majorHAnsi" w:hAnsiTheme="majorHAnsi"/>
          <w:color w:val="A6A6A6" w:themeColor="background1" w:themeShade="A6"/>
          <w:sz w:val="2"/>
          <w:szCs w:val="16"/>
        </w:rPr>
      </w:pPr>
    </w:p>
    <w:p w:rsidR="00CE02CA" w:rsidRDefault="00CE02CA" w:rsidP="00CE02CA">
      <w:pPr>
        <w:autoSpaceDE w:val="0"/>
        <w:autoSpaceDN w:val="0"/>
        <w:adjustRightInd w:val="0"/>
        <w:rPr>
          <w:rFonts w:ascii="Times New Roman" w:hAnsi="Times New Roman" w:cs="Times New Roman"/>
          <w:sz w:val="16"/>
          <w:szCs w:val="16"/>
        </w:rPr>
      </w:pPr>
      <w:bookmarkStart w:id="1" w:name="_Hlk2950709"/>
      <w:bookmarkStart w:id="2" w:name="_Hlk5367224"/>
      <w:bookmarkStart w:id="3" w:name="_Hlk1133051"/>
      <w:r>
        <w:rPr>
          <w:rFonts w:ascii="Times New Roman" w:hAnsi="Times New Roman" w:cs="Times New Roman"/>
          <w:sz w:val="16"/>
          <w:szCs w:val="16"/>
        </w:rPr>
        <w:t xml:space="preserve">Securities offered through Kestra Investment Services, LLC (Kestra IS), a member FINRA/SIPC.  Investment advisory services offered through Kestra Advisory Services, LLC (Kestra AS), </w:t>
      </w:r>
      <w:proofErr w:type="gramStart"/>
      <w:r>
        <w:rPr>
          <w:rFonts w:ascii="Times New Roman" w:hAnsi="Times New Roman" w:cs="Times New Roman"/>
          <w:sz w:val="16"/>
          <w:szCs w:val="16"/>
        </w:rPr>
        <w:t>an</w:t>
      </w:r>
      <w:proofErr w:type="gramEnd"/>
      <w:r>
        <w:rPr>
          <w:rFonts w:ascii="Times New Roman" w:hAnsi="Times New Roman" w:cs="Times New Roman"/>
          <w:sz w:val="16"/>
          <w:szCs w:val="16"/>
        </w:rPr>
        <w:t xml:space="preserve"> affiliate of Kestra IS.  Levine Group, LLC is not affiliated with Kestra IS or Kestra AS.</w:t>
      </w:r>
    </w:p>
    <w:p w:rsidR="009F263C" w:rsidRPr="002543AC" w:rsidRDefault="00CE02CA" w:rsidP="009F263C">
      <w:pPr>
        <w:spacing w:line="276" w:lineRule="auto"/>
        <w:rPr>
          <w:rFonts w:asciiTheme="majorHAnsi" w:hAnsiTheme="majorHAnsi" w:cs="Arial"/>
          <w:color w:val="646464"/>
          <w:sz w:val="16"/>
          <w:szCs w:val="16"/>
        </w:rPr>
      </w:pPr>
      <w:bookmarkStart w:id="4" w:name="_GoBack"/>
      <w:bookmarkEnd w:id="4"/>
      <w:r w:rsidRPr="002543AC">
        <w:rPr>
          <w:rFonts w:asciiTheme="majorHAnsi" w:hAnsiTheme="majorHAnsi" w:cs="Arial"/>
          <w:color w:val="646464"/>
          <w:sz w:val="16"/>
          <w:szCs w:val="16"/>
        </w:rPr>
        <w:t>CITATIONS:</w:t>
      </w:r>
    </w:p>
    <w:p w:rsidR="009F263C" w:rsidRDefault="00CE02CA" w:rsidP="009F263C">
      <w:pPr>
        <w:spacing w:after="0" w:line="240" w:lineRule="auto"/>
        <w:rPr>
          <w:noProof/>
        </w:rPr>
      </w:pPr>
      <w:bookmarkStart w:id="5" w:name="_Hlk7787319"/>
      <w:r>
        <w:rPr>
          <w:rFonts w:asciiTheme="majorHAnsi" w:hAnsiTheme="majorHAnsi" w:cs="Arial"/>
          <w:color w:val="767171" w:themeColor="background2" w:themeShade="80"/>
          <w:sz w:val="16"/>
        </w:rPr>
        <w:t xml:space="preserve">1 </w:t>
      </w:r>
      <w:r w:rsidRPr="008E589A">
        <w:rPr>
          <w:rFonts w:asciiTheme="majorHAnsi" w:hAnsiTheme="majorHAnsi" w:cs="Arial"/>
          <w:color w:val="767171" w:themeColor="background2" w:themeShade="80"/>
          <w:sz w:val="16"/>
        </w:rPr>
        <w:t xml:space="preserve">- </w:t>
      </w:r>
      <w:bookmarkStart w:id="6"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12/6</w:t>
      </w:r>
      <w:r w:rsidRPr="008E589A">
        <w:rPr>
          <w:rFonts w:asciiTheme="majorHAnsi" w:hAnsiTheme="majorHAnsi" w:cs="Arial"/>
          <w:color w:val="767171" w:themeColor="background2" w:themeShade="80"/>
          <w:sz w:val="16"/>
        </w:rPr>
        <w:t>/19]</w:t>
      </w:r>
    </w:p>
    <w:p w:rsidR="009F263C" w:rsidRPr="00B76BEE" w:rsidRDefault="00CE02CA" w:rsidP="00B76BEE">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r w:rsidRPr="00FA6B4E">
        <w:rPr>
          <w:rFonts w:asciiTheme="majorHAnsi" w:hAnsiTheme="majorHAnsi" w:cs="Calibri"/>
          <w:color w:val="767171" w:themeColor="background2" w:themeShade="80"/>
          <w:sz w:val="16"/>
          <w:szCs w:val="16"/>
        </w:rPr>
        <w:t xml:space="preserve">quotes.wsj.com/index/XX/MSCI%20GLOBAL/990300/historical-prices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12/6</w:t>
      </w:r>
      <w:r w:rsidRPr="008E589A">
        <w:rPr>
          <w:rFonts w:asciiTheme="majorHAnsi" w:hAnsiTheme="majorHAnsi" w:cs="Calibri"/>
          <w:color w:val="767171" w:themeColor="background2" w:themeShade="80"/>
          <w:sz w:val="16"/>
          <w:szCs w:val="16"/>
        </w:rPr>
        <w:t>/19]</w:t>
      </w:r>
    </w:p>
    <w:p w:rsidR="009F263C" w:rsidRDefault="00CE02CA" w:rsidP="009F263C">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3 - </w:t>
      </w:r>
      <w:r w:rsidRPr="00FB754D">
        <w:rPr>
          <w:rFonts w:asciiTheme="majorHAnsi" w:hAnsiTheme="majorHAnsi" w:cs="Arial"/>
          <w:color w:val="767171" w:themeColor="background2" w:themeShade="80"/>
          <w:sz w:val="16"/>
        </w:rPr>
        <w:t xml:space="preserve">cnbc.com/2019/12/06/us-nonfarm-payrolls-november-2019.html </w:t>
      </w:r>
      <w:r>
        <w:rPr>
          <w:rFonts w:asciiTheme="majorHAnsi" w:hAnsiTheme="majorHAnsi" w:cs="Arial"/>
          <w:color w:val="767171" w:themeColor="background2" w:themeShade="80"/>
          <w:sz w:val="16"/>
        </w:rPr>
        <w:t>[12/6/19]</w:t>
      </w:r>
    </w:p>
    <w:p w:rsidR="009F263C" w:rsidRDefault="00CE02CA" w:rsidP="009F263C">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4 - </w:t>
      </w:r>
      <w:r w:rsidRPr="00697936">
        <w:rPr>
          <w:rFonts w:asciiTheme="majorHAnsi" w:hAnsiTheme="majorHAnsi" w:cs="Arial"/>
          <w:color w:val="767171" w:themeColor="background2" w:themeShade="80"/>
          <w:sz w:val="16"/>
        </w:rPr>
        <w:t>washingtonpost.com/us-policy/2019/12/03/trump-says-trade-deal-with-china-could-wait-until-after-election/</w:t>
      </w:r>
      <w:r>
        <w:rPr>
          <w:rFonts w:asciiTheme="majorHAnsi" w:hAnsiTheme="majorHAnsi" w:cs="Arial"/>
          <w:color w:val="767171" w:themeColor="background2" w:themeShade="80"/>
          <w:sz w:val="16"/>
        </w:rPr>
        <w:t xml:space="preserve"> [12/3/19]</w:t>
      </w:r>
    </w:p>
    <w:p w:rsidR="009F263C" w:rsidRPr="00C149E1" w:rsidRDefault="00CE02CA" w:rsidP="009F263C">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5</w:t>
      </w:r>
      <w:r w:rsidRPr="00C149E1">
        <w:rPr>
          <w:rFonts w:asciiTheme="majorHAnsi" w:hAnsiTheme="majorHAnsi" w:cs="Calibri"/>
          <w:color w:val="767171" w:themeColor="background2" w:themeShade="80"/>
          <w:sz w:val="16"/>
          <w:szCs w:val="16"/>
        </w:rPr>
        <w:t xml:space="preserve"> - </w:t>
      </w:r>
      <w:r w:rsidRPr="00B76BEE">
        <w:rPr>
          <w:rFonts w:asciiTheme="majorHAnsi" w:hAnsiTheme="majorHAnsi" w:cs="Calibri"/>
          <w:color w:val="767171" w:themeColor="background2" w:themeShade="80"/>
          <w:sz w:val="16"/>
          <w:szCs w:val="16"/>
        </w:rPr>
        <w:t xml:space="preserve">bit.ly/38ejx8o </w:t>
      </w:r>
      <w:r w:rsidRPr="00C149E1">
        <w:rPr>
          <w:rFonts w:asciiTheme="majorHAnsi" w:hAnsiTheme="majorHAnsi" w:cs="Calibri"/>
          <w:color w:val="767171" w:themeColor="background2" w:themeShade="80"/>
          <w:sz w:val="16"/>
          <w:szCs w:val="16"/>
        </w:rPr>
        <w:t>[11/</w:t>
      </w:r>
      <w:r>
        <w:rPr>
          <w:rFonts w:asciiTheme="majorHAnsi" w:hAnsiTheme="majorHAnsi" w:cs="Calibri"/>
          <w:color w:val="767171" w:themeColor="background2" w:themeShade="80"/>
          <w:sz w:val="16"/>
          <w:szCs w:val="16"/>
        </w:rPr>
        <w:t>26</w:t>
      </w:r>
      <w:r w:rsidRPr="00C149E1">
        <w:rPr>
          <w:rFonts w:asciiTheme="majorHAnsi" w:hAnsiTheme="majorHAnsi" w:cs="Calibri"/>
          <w:color w:val="767171" w:themeColor="background2" w:themeShade="80"/>
          <w:sz w:val="16"/>
          <w:szCs w:val="16"/>
        </w:rPr>
        <w:t>/19]</w:t>
      </w:r>
    </w:p>
    <w:p w:rsidR="009F263C" w:rsidRDefault="00CE02CA" w:rsidP="009F263C">
      <w:pPr>
        <w:spacing w:after="0" w:line="240" w:lineRule="auto"/>
        <w:rPr>
          <w:rFonts w:asciiTheme="majorHAnsi" w:hAnsiTheme="majorHAnsi" w:cs="Arial"/>
          <w:color w:val="767171" w:themeColor="background2" w:themeShade="80"/>
          <w:sz w:val="16"/>
        </w:rPr>
      </w:pPr>
    </w:p>
    <w:p w:rsidR="009F263C" w:rsidRPr="002543AC" w:rsidRDefault="00CE02CA" w:rsidP="009F263C">
      <w:pPr>
        <w:spacing w:line="276" w:lineRule="auto"/>
        <w:rPr>
          <w:rFonts w:asciiTheme="majorHAnsi" w:hAnsiTheme="majorHAnsi" w:cs="Arial"/>
          <w:color w:val="646464"/>
          <w:sz w:val="16"/>
          <w:szCs w:val="16"/>
        </w:rPr>
      </w:pPr>
      <w:bookmarkStart w:id="7" w:name="_Hlk2950788"/>
      <w:bookmarkStart w:id="8" w:name="_Hlk5367252"/>
      <w:bookmarkEnd w:id="1"/>
      <w:bookmarkEnd w:id="2"/>
      <w:bookmarkEnd w:id="5"/>
      <w:r w:rsidRPr="002543AC">
        <w:rPr>
          <w:rFonts w:asciiTheme="majorHAnsi" w:hAnsiTheme="majorHAnsi" w:cs="Arial"/>
          <w:color w:val="646464"/>
          <w:sz w:val="16"/>
          <w:szCs w:val="16"/>
        </w:rPr>
        <w:t>CHART CITATIONS:</w:t>
      </w:r>
    </w:p>
    <w:p w:rsidR="009F263C" w:rsidRDefault="00CE02CA" w:rsidP="009F263C">
      <w:pPr>
        <w:spacing w:after="0" w:line="240" w:lineRule="auto"/>
        <w:rPr>
          <w:rFonts w:asciiTheme="majorHAnsi" w:hAnsiTheme="majorHAnsi" w:cs="Arial"/>
          <w:color w:val="767171" w:themeColor="background2" w:themeShade="80"/>
          <w:sz w:val="16"/>
        </w:rPr>
      </w:pPr>
      <w:bookmarkStart w:id="9"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12/6</w:t>
      </w:r>
      <w:r w:rsidRPr="008E589A">
        <w:rPr>
          <w:rFonts w:asciiTheme="majorHAnsi" w:hAnsiTheme="majorHAnsi" w:cs="Arial"/>
          <w:color w:val="767171" w:themeColor="background2" w:themeShade="80"/>
          <w:sz w:val="16"/>
        </w:rPr>
        <w:t>/19]</w:t>
      </w:r>
    </w:p>
    <w:p w:rsidR="009F263C" w:rsidRPr="00B76BEE" w:rsidRDefault="00CE02CA" w:rsidP="009F263C">
      <w:pPr>
        <w:spacing w:after="0" w:line="240" w:lineRule="auto"/>
        <w:rPr>
          <w:rFonts w:asciiTheme="majorHAnsi" w:hAnsiTheme="majorHAnsi" w:cs="Calibri"/>
          <w:color w:val="767171" w:themeColor="background2" w:themeShade="80"/>
          <w:sz w:val="16"/>
          <w:szCs w:val="16"/>
        </w:rPr>
      </w:pPr>
      <w:r w:rsidRPr="00FA6B4E">
        <w:rPr>
          <w:rFonts w:asciiTheme="majorHAnsi" w:hAnsiTheme="majorHAnsi" w:cs="Calibri"/>
          <w:color w:val="767171" w:themeColor="background2" w:themeShade="80"/>
          <w:sz w:val="16"/>
          <w:szCs w:val="16"/>
        </w:rPr>
        <w:t xml:space="preserve">quotes.wsj.com/index/XX/MSCI%20GLOBAL/990300/historical-prices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12/6</w:t>
      </w:r>
      <w:r w:rsidRPr="008E589A">
        <w:rPr>
          <w:rFonts w:asciiTheme="majorHAnsi" w:hAnsiTheme="majorHAnsi" w:cs="Calibri"/>
          <w:color w:val="767171" w:themeColor="background2" w:themeShade="80"/>
          <w:sz w:val="16"/>
          <w:szCs w:val="16"/>
        </w:rPr>
        <w:t>/19]</w:t>
      </w:r>
    </w:p>
    <w:p w:rsidR="009F263C" w:rsidRDefault="00CE02CA" w:rsidP="009F263C">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[12/6/19]</w:t>
      </w:r>
    </w:p>
    <w:bookmarkEnd w:id="9"/>
    <w:p w:rsidR="009F263C" w:rsidRPr="008E589A" w:rsidRDefault="00CE02CA" w:rsidP="009F263C">
      <w:pPr>
        <w:spacing w:after="0" w:line="240" w:lineRule="auto"/>
        <w:rPr>
          <w:rFonts w:asciiTheme="majorHAnsi" w:hAnsiTheme="majorHAnsi" w:cs="Arial"/>
          <w:color w:val="767171" w:themeColor="background2" w:themeShade="80"/>
          <w:sz w:val="16"/>
        </w:rPr>
      </w:pPr>
      <w:r w:rsidRPr="00097099">
        <w:rPr>
          <w:rFonts w:asciiTheme="majorHAnsi" w:hAnsiTheme="majorHAnsi" w:cs="Arial"/>
          <w:color w:val="767171" w:themeColor="background2" w:themeShade="80"/>
          <w:sz w:val="16"/>
        </w:rPr>
        <w:t xml:space="preserve">treasury.gov/resource-center/data-chart-center/interest-rates/Pages/TextView.aspx?data=yieldYear&amp;year=2019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12/6</w:t>
      </w:r>
      <w:r w:rsidRPr="008E589A">
        <w:rPr>
          <w:rFonts w:asciiTheme="majorHAnsi" w:hAnsiTheme="majorHAnsi" w:cs="Arial"/>
          <w:color w:val="767171" w:themeColor="background2" w:themeShade="80"/>
          <w:sz w:val="16"/>
        </w:rPr>
        <w:t>/19]</w:t>
      </w:r>
    </w:p>
    <w:p w:rsidR="007916FF" w:rsidRPr="00E55C73" w:rsidRDefault="00CE02CA" w:rsidP="00B76BEE">
      <w:pPr>
        <w:spacing w:after="0" w:line="240" w:lineRule="auto"/>
        <w:rPr>
          <w:noProof/>
          <w:color w:val="767171" w:themeColor="background2" w:themeShade="80"/>
        </w:rPr>
      </w:pPr>
      <w:bookmarkStart w:id="10" w:name="_Hlk7787450"/>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12/6</w:t>
      </w:r>
      <w:r w:rsidRPr="008E589A">
        <w:rPr>
          <w:rFonts w:asciiTheme="majorHAnsi" w:hAnsiTheme="majorHAnsi" w:cs="Arial"/>
          <w:color w:val="767171" w:themeColor="background2" w:themeShade="80"/>
          <w:sz w:val="16"/>
        </w:rPr>
        <w:t>/19]</w:t>
      </w:r>
      <w:bookmarkEnd w:id="3"/>
      <w:bookmarkEnd w:id="7"/>
      <w:bookmarkEnd w:id="8"/>
      <w:bookmarkEnd w:id="10"/>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CA"/>
    <w:rsid w:val="00CE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2F42E-F2BE-49E3-BCBA-807577C7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1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2019-12-09T18:51:00Z</dcterms:created>
  <dcterms:modified xsi:type="dcterms:W3CDTF">2019-12-09T18:51:00Z</dcterms:modified>
</cp:coreProperties>
</file>