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2C" w:rsidRDefault="00671D2C" w:rsidP="00671D2C">
      <w:pPr>
        <w:rPr>
          <w:sz w:val="28"/>
        </w:rPr>
      </w:pPr>
      <w:r>
        <w:rPr>
          <w:rFonts w:ascii="Arial" w:hAnsi="Arial"/>
          <w:noProof/>
          <w:sz w:val="16"/>
        </w:rPr>
        <mc:AlternateContent>
          <mc:Choice Requires="wps">
            <w:drawing>
              <wp:anchor distT="0" distB="0" distL="114300" distR="114300" simplePos="0" relativeHeight="251659264" behindDoc="0" locked="0" layoutInCell="0" allowOverlap="1" wp14:anchorId="36304BDE" wp14:editId="75DB485B">
                <wp:simplePos x="0" y="0"/>
                <wp:positionH relativeFrom="column">
                  <wp:posOffset>0</wp:posOffset>
                </wp:positionH>
                <wp:positionV relativeFrom="paragraph">
                  <wp:posOffset>158750</wp:posOffset>
                </wp:positionV>
                <wp:extent cx="5944235" cy="635"/>
                <wp:effectExtent l="25400" t="31750" r="37465" b="4381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C9682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" o:allowincell="f" strokeweight="2pt">
                <v:stroke startarrowwidth="narrow" startarrowlength="short" endarrowwidth="narrow" endarrowlength="short"/>
                <v:shadow color="black" opacity="49150f" offset=".74833mm,.74833mm"/>
              </v:line>
            </w:pict>
          </mc:Fallback>
        </mc:AlternateContent>
      </w:r>
    </w:p>
    <w:p w:rsidR="00671D2C" w:rsidRPr="00C12F03" w:rsidRDefault="00671D2C" w:rsidP="00671D2C">
      <w:pPr>
        <w:jc w:val="center"/>
        <w:rPr>
          <w:rFonts w:asciiTheme="minorHAnsi" w:hAnsiTheme="minorHAnsi" w:cstheme="minorHAnsi"/>
          <w:sz w:val="56"/>
        </w:rPr>
      </w:pPr>
      <w:r w:rsidRPr="00C12F03">
        <w:rPr>
          <w:rFonts w:asciiTheme="minorHAnsi" w:hAnsiTheme="minorHAnsi" w:cstheme="minorHAnsi"/>
          <w:b/>
          <w:noProof/>
          <w:sz w:val="16"/>
        </w:rPr>
        <mc:AlternateContent>
          <mc:Choice Requires="wps">
            <w:drawing>
              <wp:anchor distT="0" distB="0" distL="114300" distR="114300" simplePos="0" relativeHeight="251660288" behindDoc="0" locked="0" layoutInCell="0" allowOverlap="1" wp14:anchorId="72642685" wp14:editId="0726A0A6">
                <wp:simplePos x="0" y="0"/>
                <wp:positionH relativeFrom="column">
                  <wp:posOffset>0</wp:posOffset>
                </wp:positionH>
                <wp:positionV relativeFrom="paragraph">
                  <wp:posOffset>497205</wp:posOffset>
                </wp:positionV>
                <wp:extent cx="5944235" cy="635"/>
                <wp:effectExtent l="25400" t="27305" r="37465" b="355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F1BE0"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5pt" to="468.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" o:allowincell="f" strokeweight="2pt">
                <v:stroke startarrowwidth="narrow" startarrowlength="short" endarrowwidth="narrow" endarrowlength="short"/>
                <v:shadow color="black" opacity="49150f" offset=".74833mm,.74833mm"/>
              </v:line>
            </w:pict>
          </mc:Fallback>
        </mc:AlternateContent>
      </w:r>
      <w:r w:rsidRPr="00C12F03">
        <w:rPr>
          <w:rFonts w:asciiTheme="minorHAnsi" w:hAnsiTheme="minorHAnsi" w:cstheme="minorHAnsi"/>
          <w:b/>
          <w:sz w:val="56"/>
        </w:rPr>
        <w:t>NEWS</w:t>
      </w:r>
    </w:p>
    <w:p w:rsidR="00671D2C" w:rsidRPr="00C12F03" w:rsidRDefault="00671D2C" w:rsidP="00671D2C">
      <w:pPr>
        <w:rPr>
          <w:rFonts w:asciiTheme="minorHAnsi" w:hAnsiTheme="minorHAnsi" w:cstheme="minorHAnsi"/>
          <w:sz w:val="24"/>
        </w:rPr>
      </w:pPr>
    </w:p>
    <w:p w:rsidR="00671D2C" w:rsidRPr="00C12F03" w:rsidRDefault="00671D2C" w:rsidP="00671D2C">
      <w:pPr>
        <w:rPr>
          <w:rFonts w:asciiTheme="minorHAnsi" w:hAnsiTheme="minorHAnsi" w:cstheme="minorHAnsi"/>
          <w:sz w:val="12"/>
        </w:rPr>
      </w:pPr>
    </w:p>
    <w:tbl>
      <w:tblPr>
        <w:tblW w:w="0" w:type="auto"/>
        <w:tblLayout w:type="fixed"/>
        <w:tblLook w:val="0000" w:firstRow="0" w:lastRow="0" w:firstColumn="0" w:lastColumn="0" w:noHBand="0" w:noVBand="0"/>
      </w:tblPr>
      <w:tblGrid>
        <w:gridCol w:w="6138"/>
        <w:gridCol w:w="3438"/>
      </w:tblGrid>
      <w:tr w:rsidR="00671D2C" w:rsidRPr="00C12F03" w:rsidTr="00C12F03">
        <w:trPr>
          <w:trHeight w:val="80"/>
        </w:trPr>
        <w:tc>
          <w:tcPr>
            <w:tcW w:w="6138" w:type="dxa"/>
          </w:tcPr>
          <w:p w:rsidR="00671D2C" w:rsidRPr="00C12F03" w:rsidRDefault="00671D2C" w:rsidP="00A33A0C">
            <w:pPr>
              <w:rPr>
                <w:rFonts w:asciiTheme="minorHAnsi" w:hAnsiTheme="minorHAnsi" w:cstheme="minorHAnsi"/>
                <w:sz w:val="24"/>
              </w:rPr>
            </w:pPr>
            <w:r w:rsidRPr="00C12F03">
              <w:rPr>
                <w:rFonts w:asciiTheme="minorHAnsi" w:hAnsiTheme="minorHAnsi" w:cstheme="minorHAnsi"/>
                <w:sz w:val="24"/>
              </w:rPr>
              <w:t xml:space="preserve">CONTACT:    </w:t>
            </w:r>
            <w:r w:rsidR="00C12F03">
              <w:rPr>
                <w:rFonts w:asciiTheme="minorHAnsi" w:hAnsiTheme="minorHAnsi" w:cstheme="minorHAnsi"/>
                <w:sz w:val="24"/>
              </w:rPr>
              <w:t xml:space="preserve">  </w:t>
            </w:r>
            <w:r w:rsidRPr="00C12F03">
              <w:rPr>
                <w:rFonts w:asciiTheme="minorHAnsi" w:hAnsiTheme="minorHAnsi" w:cstheme="minorHAnsi"/>
                <w:sz w:val="24"/>
              </w:rPr>
              <w:t>ALISON BAILIN</w:t>
            </w:r>
          </w:p>
          <w:p w:rsidR="00671D2C" w:rsidRPr="00C12F03" w:rsidRDefault="00671D2C" w:rsidP="00A33A0C">
            <w:pPr>
              <w:rPr>
                <w:rFonts w:asciiTheme="minorHAnsi" w:hAnsiTheme="minorHAnsi" w:cstheme="minorHAnsi"/>
                <w:sz w:val="24"/>
              </w:rPr>
            </w:pPr>
            <w:r w:rsidRPr="00C12F03">
              <w:rPr>
                <w:rFonts w:asciiTheme="minorHAnsi" w:hAnsiTheme="minorHAnsi" w:cstheme="minorHAnsi"/>
                <w:sz w:val="24"/>
              </w:rPr>
              <w:t xml:space="preserve">                        </w:t>
            </w:r>
            <w:hyperlink r:id="rId7" w:history="1">
              <w:r w:rsidR="00D369F0" w:rsidRPr="00C12F03">
                <w:rPr>
                  <w:rStyle w:val="Hyperlink"/>
                  <w:rFonts w:asciiTheme="minorHAnsi" w:hAnsiTheme="minorHAnsi" w:cstheme="minorHAnsi"/>
                  <w:sz w:val="24"/>
                </w:rPr>
                <w:t>ABAILIN@HMAPR.COM</w:t>
              </w:r>
            </w:hyperlink>
          </w:p>
          <w:p w:rsidR="00D369F0" w:rsidRPr="00C12F03" w:rsidRDefault="00D369F0" w:rsidP="00A33A0C">
            <w:pPr>
              <w:rPr>
                <w:rFonts w:asciiTheme="minorHAnsi" w:hAnsiTheme="minorHAnsi" w:cstheme="minorHAnsi"/>
                <w:sz w:val="24"/>
              </w:rPr>
            </w:pPr>
            <w:r w:rsidRPr="00C12F03">
              <w:rPr>
                <w:rFonts w:asciiTheme="minorHAnsi" w:hAnsiTheme="minorHAnsi" w:cstheme="minorHAnsi"/>
                <w:sz w:val="24"/>
              </w:rPr>
              <w:t xml:space="preserve">                        602-957-8881</w:t>
            </w:r>
          </w:p>
        </w:tc>
        <w:tc>
          <w:tcPr>
            <w:tcW w:w="3438" w:type="dxa"/>
          </w:tcPr>
          <w:p w:rsidR="00671D2C" w:rsidRPr="00C12F03" w:rsidRDefault="00C12DB2" w:rsidP="00A33A0C">
            <w:pPr>
              <w:rPr>
                <w:rFonts w:asciiTheme="minorHAnsi" w:hAnsiTheme="minorHAnsi" w:cstheme="minorHAnsi"/>
                <w:sz w:val="24"/>
              </w:rPr>
            </w:pPr>
            <w:r>
              <w:rPr>
                <w:rFonts w:asciiTheme="minorHAnsi" w:hAnsiTheme="minorHAnsi" w:cstheme="minorHAnsi"/>
                <w:sz w:val="24"/>
              </w:rPr>
              <w:t>MARCH XX, 2019</w:t>
            </w:r>
          </w:p>
          <w:p w:rsidR="00671D2C" w:rsidRPr="00C12F03" w:rsidRDefault="00671D2C" w:rsidP="00A33A0C">
            <w:pPr>
              <w:rPr>
                <w:rFonts w:asciiTheme="minorHAnsi" w:hAnsiTheme="minorHAnsi" w:cstheme="minorHAnsi"/>
                <w:sz w:val="24"/>
              </w:rPr>
            </w:pPr>
          </w:p>
        </w:tc>
      </w:tr>
    </w:tbl>
    <w:p w:rsidR="00671D2C" w:rsidRPr="00086AC1" w:rsidRDefault="00671D2C" w:rsidP="00086AC1">
      <w:pPr>
        <w:tabs>
          <w:tab w:val="right" w:pos="9360"/>
        </w:tabs>
        <w:rPr>
          <w:sz w:val="24"/>
        </w:rPr>
      </w:pPr>
      <w:r>
        <w:rPr>
          <w:sz w:val="24"/>
        </w:rPr>
        <w:tab/>
      </w:r>
    </w:p>
    <w:p w:rsidR="00C12F03" w:rsidRPr="009A38A5" w:rsidRDefault="00C12F03" w:rsidP="00C12F03">
      <w:pPr>
        <w:jc w:val="center"/>
        <w:rPr>
          <w:rFonts w:asciiTheme="minorHAnsi" w:hAnsiTheme="minorHAnsi" w:cstheme="minorHAnsi"/>
          <w:b/>
          <w:sz w:val="22"/>
          <w:szCs w:val="22"/>
        </w:rPr>
      </w:pPr>
      <w:r w:rsidRPr="009A38A5">
        <w:rPr>
          <w:rFonts w:asciiTheme="minorHAnsi" w:hAnsiTheme="minorHAnsi" w:cstheme="minorHAnsi"/>
          <w:b/>
          <w:i/>
          <w:sz w:val="22"/>
          <w:szCs w:val="22"/>
        </w:rPr>
        <w:t xml:space="preserve">Barron’s </w:t>
      </w:r>
      <w:r w:rsidRPr="009A38A5">
        <w:rPr>
          <w:rFonts w:asciiTheme="minorHAnsi" w:hAnsiTheme="minorHAnsi" w:cstheme="minorHAnsi"/>
          <w:b/>
          <w:sz w:val="22"/>
          <w:szCs w:val="22"/>
        </w:rPr>
        <w:t xml:space="preserve">Names Trevor Wilde among Top </w:t>
      </w:r>
      <w:r w:rsidR="00A82DED">
        <w:rPr>
          <w:rFonts w:asciiTheme="minorHAnsi" w:hAnsiTheme="minorHAnsi" w:cstheme="minorHAnsi"/>
          <w:b/>
          <w:sz w:val="22"/>
          <w:szCs w:val="22"/>
        </w:rPr>
        <w:t>5</w:t>
      </w:r>
      <w:r w:rsidRPr="009A38A5">
        <w:rPr>
          <w:rFonts w:asciiTheme="minorHAnsi" w:hAnsiTheme="minorHAnsi" w:cstheme="minorHAnsi"/>
          <w:b/>
          <w:sz w:val="22"/>
          <w:szCs w:val="22"/>
        </w:rPr>
        <w:t xml:space="preserve"> Advisors in Arizona; </w:t>
      </w:r>
    </w:p>
    <w:p w:rsidR="00C12F03" w:rsidRPr="009A38A5" w:rsidRDefault="00C12F03" w:rsidP="00C12F03">
      <w:pPr>
        <w:jc w:val="center"/>
        <w:rPr>
          <w:rFonts w:asciiTheme="minorHAnsi" w:hAnsiTheme="minorHAnsi" w:cstheme="minorHAnsi"/>
          <w:b/>
          <w:sz w:val="22"/>
          <w:szCs w:val="22"/>
        </w:rPr>
      </w:pPr>
      <w:r w:rsidRPr="009A38A5">
        <w:rPr>
          <w:rFonts w:asciiTheme="minorHAnsi" w:hAnsiTheme="minorHAnsi" w:cstheme="minorHAnsi"/>
          <w:b/>
          <w:sz w:val="22"/>
          <w:szCs w:val="22"/>
        </w:rPr>
        <w:t xml:space="preserve">Ranking Marks </w:t>
      </w:r>
      <w:r w:rsidR="009A38A5" w:rsidRPr="009A38A5">
        <w:rPr>
          <w:rFonts w:asciiTheme="minorHAnsi" w:hAnsiTheme="minorHAnsi" w:cstheme="minorHAnsi"/>
          <w:b/>
          <w:sz w:val="22"/>
          <w:szCs w:val="22"/>
        </w:rPr>
        <w:t>11</w:t>
      </w:r>
      <w:r w:rsidRPr="009A38A5">
        <w:rPr>
          <w:rFonts w:asciiTheme="minorHAnsi" w:hAnsiTheme="minorHAnsi" w:cstheme="minorHAnsi"/>
          <w:b/>
          <w:sz w:val="22"/>
          <w:szCs w:val="22"/>
          <w:vertAlign w:val="superscript"/>
        </w:rPr>
        <w:t>th</w:t>
      </w:r>
      <w:r w:rsidRPr="009A38A5">
        <w:rPr>
          <w:rFonts w:asciiTheme="minorHAnsi" w:hAnsiTheme="minorHAnsi" w:cstheme="minorHAnsi"/>
          <w:b/>
          <w:sz w:val="22"/>
          <w:szCs w:val="22"/>
        </w:rPr>
        <w:t xml:space="preserve"> Consecutive Year Firm and Wilde Recognized</w:t>
      </w:r>
    </w:p>
    <w:p w:rsidR="00C12F03" w:rsidRPr="009A38A5" w:rsidRDefault="00C12F03" w:rsidP="00C12F03">
      <w:pPr>
        <w:jc w:val="center"/>
        <w:rPr>
          <w:rFonts w:asciiTheme="minorHAnsi" w:hAnsiTheme="minorHAnsi" w:cstheme="minorHAnsi"/>
          <w:sz w:val="22"/>
          <w:szCs w:val="22"/>
        </w:rPr>
      </w:pPr>
    </w:p>
    <w:p w:rsidR="00C12F03" w:rsidRPr="009A38A5" w:rsidRDefault="00C12F03" w:rsidP="00C12F03">
      <w:pPr>
        <w:rPr>
          <w:rFonts w:asciiTheme="minorHAnsi" w:hAnsiTheme="minorHAnsi" w:cstheme="minorHAnsi"/>
          <w:sz w:val="22"/>
          <w:szCs w:val="22"/>
        </w:rPr>
      </w:pPr>
      <w:r w:rsidRPr="009A38A5">
        <w:rPr>
          <w:rFonts w:asciiTheme="minorHAnsi" w:hAnsiTheme="minorHAnsi" w:cstheme="minorHAnsi"/>
          <w:sz w:val="22"/>
          <w:szCs w:val="22"/>
        </w:rPr>
        <w:t xml:space="preserve">Scottsdale, ARIZ. (March </w:t>
      </w:r>
      <w:r w:rsidR="009A38A5" w:rsidRPr="009A38A5">
        <w:rPr>
          <w:rFonts w:asciiTheme="minorHAnsi" w:hAnsiTheme="minorHAnsi" w:cstheme="minorHAnsi"/>
          <w:sz w:val="22"/>
          <w:szCs w:val="22"/>
        </w:rPr>
        <w:t>XX, 2019</w:t>
      </w:r>
      <w:r w:rsidRPr="009A38A5">
        <w:rPr>
          <w:rFonts w:asciiTheme="minorHAnsi" w:hAnsiTheme="minorHAnsi" w:cstheme="minorHAnsi"/>
          <w:sz w:val="22"/>
          <w:szCs w:val="22"/>
        </w:rPr>
        <w:t xml:space="preserve">) – Wilde Wealth Management Group, which is an award-winning independent </w:t>
      </w:r>
      <w:r w:rsidR="00A82DED">
        <w:rPr>
          <w:rFonts w:asciiTheme="minorHAnsi" w:hAnsiTheme="minorHAnsi" w:cstheme="minorHAnsi"/>
          <w:sz w:val="22"/>
          <w:szCs w:val="22"/>
        </w:rPr>
        <w:t>financial advisory firm</w:t>
      </w:r>
      <w:r w:rsidRPr="009A38A5">
        <w:rPr>
          <w:rFonts w:asciiTheme="minorHAnsi" w:hAnsiTheme="minorHAnsi" w:cstheme="minorHAnsi"/>
          <w:sz w:val="22"/>
          <w:szCs w:val="22"/>
        </w:rPr>
        <w:t xml:space="preserve"> that provides comprehensive retirement, investment, real estate, insurance, legal and tax planning services all under one roof, is pleased to announce that Barron’s has named managing principle Trevor Wilde to its annual list of </w:t>
      </w:r>
      <w:hyperlink r:id="rId8" w:history="1">
        <w:r w:rsidRPr="009A38A5">
          <w:rPr>
            <w:rStyle w:val="Hyperlink"/>
            <w:rFonts w:asciiTheme="minorHAnsi" w:hAnsiTheme="minorHAnsi" w:cstheme="minorHAnsi"/>
            <w:sz w:val="22"/>
            <w:szCs w:val="22"/>
          </w:rPr>
          <w:t>top 1,200 advisors nationwide</w:t>
        </w:r>
      </w:hyperlink>
      <w:r w:rsidRPr="009A38A5">
        <w:rPr>
          <w:rFonts w:asciiTheme="minorHAnsi" w:hAnsiTheme="minorHAnsi" w:cstheme="minorHAnsi"/>
          <w:sz w:val="22"/>
          <w:szCs w:val="22"/>
        </w:rPr>
        <w:t xml:space="preserve"> and </w:t>
      </w:r>
      <w:r w:rsidR="009A38A5">
        <w:rPr>
          <w:rFonts w:asciiTheme="minorHAnsi" w:hAnsiTheme="minorHAnsi" w:cstheme="minorHAnsi"/>
          <w:sz w:val="22"/>
          <w:szCs w:val="22"/>
        </w:rPr>
        <w:t>fourth overall</w:t>
      </w:r>
      <w:r w:rsidRPr="009A38A5">
        <w:rPr>
          <w:rFonts w:asciiTheme="minorHAnsi" w:hAnsiTheme="minorHAnsi" w:cstheme="minorHAnsi"/>
          <w:sz w:val="22"/>
          <w:szCs w:val="22"/>
        </w:rPr>
        <w:t xml:space="preserve"> in Arizona. This is Wilde’s 1</w:t>
      </w:r>
      <w:r w:rsidR="009A38A5" w:rsidRPr="009A38A5">
        <w:rPr>
          <w:rFonts w:asciiTheme="minorHAnsi" w:hAnsiTheme="minorHAnsi" w:cstheme="minorHAnsi"/>
          <w:sz w:val="22"/>
          <w:szCs w:val="22"/>
        </w:rPr>
        <w:t>1</w:t>
      </w:r>
      <w:r w:rsidRPr="009A38A5">
        <w:rPr>
          <w:rFonts w:asciiTheme="minorHAnsi" w:hAnsiTheme="minorHAnsi" w:cstheme="minorHAnsi"/>
          <w:sz w:val="22"/>
          <w:szCs w:val="22"/>
          <w:vertAlign w:val="superscript"/>
        </w:rPr>
        <w:t>th</w:t>
      </w:r>
      <w:r w:rsidRPr="009A38A5">
        <w:rPr>
          <w:rFonts w:asciiTheme="minorHAnsi" w:hAnsiTheme="minorHAnsi" w:cstheme="minorHAnsi"/>
          <w:sz w:val="22"/>
          <w:szCs w:val="22"/>
        </w:rPr>
        <w:t xml:space="preserve"> consecutive year being honored and highest ranking to date. </w:t>
      </w:r>
      <w:r w:rsidR="00C70D01" w:rsidRPr="009A38A5">
        <w:rPr>
          <w:rFonts w:asciiTheme="minorHAnsi" w:hAnsiTheme="minorHAnsi" w:cstheme="minorHAnsi"/>
          <w:sz w:val="22"/>
          <w:szCs w:val="22"/>
        </w:rPr>
        <w:t xml:space="preserve"> </w:t>
      </w:r>
    </w:p>
    <w:p w:rsidR="00C12F03" w:rsidRPr="009A38A5" w:rsidRDefault="00C12F03" w:rsidP="00C12F03">
      <w:pPr>
        <w:rPr>
          <w:rFonts w:asciiTheme="minorHAnsi" w:hAnsiTheme="minorHAnsi" w:cstheme="minorHAnsi"/>
          <w:sz w:val="22"/>
          <w:szCs w:val="22"/>
        </w:rPr>
      </w:pPr>
    </w:p>
    <w:p w:rsidR="009A38A5" w:rsidRDefault="009A38A5" w:rsidP="009A38A5">
      <w:pPr>
        <w:rPr>
          <w:rFonts w:asciiTheme="minorHAnsi" w:hAnsiTheme="minorHAnsi" w:cstheme="minorHAnsi"/>
          <w:sz w:val="22"/>
          <w:szCs w:val="22"/>
        </w:rPr>
      </w:pPr>
      <w:r>
        <w:rPr>
          <w:rFonts w:asciiTheme="minorHAnsi" w:hAnsiTheme="minorHAnsi" w:cstheme="minorHAnsi"/>
          <w:sz w:val="22"/>
          <w:szCs w:val="22"/>
        </w:rPr>
        <w:t>“</w:t>
      </w:r>
      <w:r w:rsidRPr="009A38A5">
        <w:rPr>
          <w:rFonts w:asciiTheme="minorHAnsi" w:hAnsiTheme="minorHAnsi" w:cstheme="minorHAnsi"/>
          <w:sz w:val="22"/>
          <w:szCs w:val="22"/>
        </w:rPr>
        <w:t>This honor comes in</w:t>
      </w:r>
      <w:r>
        <w:rPr>
          <w:rFonts w:asciiTheme="minorHAnsi" w:hAnsiTheme="minorHAnsi" w:cstheme="minorHAnsi"/>
          <w:sz w:val="22"/>
          <w:szCs w:val="22"/>
        </w:rPr>
        <w:t xml:space="preserve"> great part due to</w:t>
      </w:r>
      <w:r w:rsidRPr="009A38A5">
        <w:rPr>
          <w:rFonts w:asciiTheme="minorHAnsi" w:hAnsiTheme="minorHAnsi" w:cstheme="minorHAnsi"/>
          <w:sz w:val="22"/>
          <w:szCs w:val="22"/>
        </w:rPr>
        <w:t xml:space="preserve"> our client relationships</w:t>
      </w:r>
      <w:r>
        <w:rPr>
          <w:rFonts w:asciiTheme="minorHAnsi" w:hAnsiTheme="minorHAnsi" w:cstheme="minorHAnsi"/>
          <w:sz w:val="22"/>
          <w:szCs w:val="22"/>
        </w:rPr>
        <w:t>, something our entire firm is focused on,” says Wilde, “</w:t>
      </w:r>
      <w:r w:rsidRPr="009A38A5">
        <w:rPr>
          <w:rFonts w:asciiTheme="minorHAnsi" w:hAnsiTheme="minorHAnsi" w:cstheme="minorHAnsi"/>
          <w:sz w:val="22"/>
          <w:szCs w:val="22"/>
        </w:rPr>
        <w:t xml:space="preserve">Some clients have been a part of our firm for </w:t>
      </w:r>
      <w:r>
        <w:rPr>
          <w:rFonts w:asciiTheme="minorHAnsi" w:hAnsiTheme="minorHAnsi" w:cstheme="minorHAnsi"/>
          <w:sz w:val="22"/>
          <w:szCs w:val="22"/>
        </w:rPr>
        <w:t>two months</w:t>
      </w:r>
      <w:r w:rsidRPr="009A38A5">
        <w:rPr>
          <w:rFonts w:asciiTheme="minorHAnsi" w:hAnsiTheme="minorHAnsi" w:cstheme="minorHAnsi"/>
          <w:sz w:val="22"/>
          <w:szCs w:val="22"/>
        </w:rPr>
        <w:t xml:space="preserve">, while others for </w:t>
      </w:r>
      <w:r>
        <w:rPr>
          <w:rFonts w:asciiTheme="minorHAnsi" w:hAnsiTheme="minorHAnsi" w:cstheme="minorHAnsi"/>
          <w:sz w:val="22"/>
          <w:szCs w:val="22"/>
        </w:rPr>
        <w:t>two decades or more</w:t>
      </w:r>
      <w:r w:rsidRPr="009A38A5">
        <w:rPr>
          <w:rFonts w:asciiTheme="minorHAnsi" w:hAnsiTheme="minorHAnsi" w:cstheme="minorHAnsi"/>
          <w:sz w:val="22"/>
          <w:szCs w:val="22"/>
        </w:rPr>
        <w:t>.  We are so grateful for their continued trust in our partnership.</w:t>
      </w:r>
      <w:r>
        <w:rPr>
          <w:rFonts w:asciiTheme="minorHAnsi" w:hAnsiTheme="minorHAnsi" w:cstheme="minorHAnsi"/>
          <w:sz w:val="22"/>
          <w:szCs w:val="22"/>
        </w:rPr>
        <w:t>”</w:t>
      </w:r>
    </w:p>
    <w:p w:rsidR="009A38A5" w:rsidRPr="009A38A5" w:rsidRDefault="009A38A5" w:rsidP="009A38A5">
      <w:pPr>
        <w:rPr>
          <w:rFonts w:asciiTheme="minorHAnsi" w:hAnsiTheme="minorHAnsi" w:cstheme="minorHAnsi"/>
          <w:sz w:val="22"/>
          <w:szCs w:val="22"/>
        </w:rPr>
      </w:pPr>
    </w:p>
    <w:p w:rsidR="00C12F03" w:rsidRPr="009A38A5" w:rsidRDefault="00C12F03" w:rsidP="00C12F03">
      <w:pPr>
        <w:rPr>
          <w:rFonts w:asciiTheme="minorHAnsi" w:hAnsiTheme="minorHAnsi" w:cstheme="minorHAnsi"/>
          <w:sz w:val="22"/>
          <w:szCs w:val="22"/>
        </w:rPr>
      </w:pPr>
      <w:r w:rsidRPr="009A38A5">
        <w:rPr>
          <w:rFonts w:asciiTheme="minorHAnsi" w:hAnsiTheme="minorHAnsi" w:cstheme="minorHAnsi"/>
          <w:sz w:val="22"/>
          <w:szCs w:val="22"/>
        </w:rPr>
        <w:t>According to Barron’s the rankings are based on data provided by over 4,000 of the nation's most productive advisors. Factors included in the rankings: assets under management, revenue produced for the firm, regulatory record, quality of practice and philanthropic work</w:t>
      </w:r>
      <w:r w:rsidR="00C70D01" w:rsidRPr="009A38A5">
        <w:rPr>
          <w:rFonts w:asciiTheme="minorHAnsi" w:hAnsiTheme="minorHAnsi" w:cstheme="minorHAnsi"/>
          <w:sz w:val="22"/>
          <w:szCs w:val="22"/>
        </w:rPr>
        <w:t xml:space="preserve">.  The report names the top advisors in each state, with the number of ranking spots determined by each state’s population and wealth.  In total, Barron’s included 30 advisors from across Arizona in its report. </w:t>
      </w:r>
      <w:r w:rsidR="00026944" w:rsidRPr="009A38A5">
        <w:rPr>
          <w:rFonts w:asciiTheme="minorHAnsi" w:hAnsiTheme="minorHAnsi" w:cstheme="minorHAnsi"/>
          <w:sz w:val="22"/>
          <w:szCs w:val="22"/>
        </w:rPr>
        <w:t xml:space="preserve"> </w:t>
      </w:r>
    </w:p>
    <w:p w:rsidR="009A38A5" w:rsidRDefault="009A38A5" w:rsidP="009A38A5">
      <w:pPr>
        <w:rPr>
          <w:rFonts w:asciiTheme="minorHAnsi" w:hAnsiTheme="minorHAnsi" w:cstheme="minorHAnsi"/>
          <w:sz w:val="22"/>
          <w:szCs w:val="22"/>
        </w:rPr>
      </w:pPr>
    </w:p>
    <w:p w:rsidR="009A38A5" w:rsidRPr="009A38A5" w:rsidRDefault="009A38A5" w:rsidP="009A38A5">
      <w:pPr>
        <w:rPr>
          <w:rFonts w:asciiTheme="minorHAnsi" w:hAnsiTheme="minorHAnsi" w:cstheme="minorHAnsi"/>
          <w:sz w:val="22"/>
          <w:szCs w:val="22"/>
        </w:rPr>
      </w:pPr>
      <w:r w:rsidRPr="009A38A5">
        <w:rPr>
          <w:rFonts w:asciiTheme="minorHAnsi" w:hAnsiTheme="minorHAnsi" w:cstheme="minorHAnsi"/>
          <w:sz w:val="22"/>
          <w:szCs w:val="22"/>
        </w:rPr>
        <w:t xml:space="preserve">As co-founder and managing principal of Wilde Wealth Management, Trevor Wilde – an Investment Advisor Representative who holds the Accredited Investment Fiduciary (AIF®) designation, which is the mark of commitment to a standard of investment fiduciary excellence – leads one of the most dynamic and diverse wealth management firms in the nation. </w:t>
      </w:r>
    </w:p>
    <w:p w:rsidR="009A38A5" w:rsidRPr="009A38A5" w:rsidRDefault="009A38A5" w:rsidP="00C12F03">
      <w:pPr>
        <w:rPr>
          <w:rFonts w:asciiTheme="minorHAnsi" w:hAnsiTheme="minorHAnsi" w:cstheme="minorHAnsi"/>
          <w:sz w:val="22"/>
          <w:szCs w:val="22"/>
        </w:rPr>
      </w:pPr>
    </w:p>
    <w:p w:rsidR="009A38A5" w:rsidRDefault="009A38A5" w:rsidP="009A38A5">
      <w:pPr>
        <w:rPr>
          <w:rFonts w:asciiTheme="minorHAnsi" w:hAnsiTheme="minorHAnsi" w:cstheme="minorHAnsi"/>
          <w:sz w:val="22"/>
          <w:szCs w:val="22"/>
        </w:rPr>
      </w:pPr>
      <w:r w:rsidRPr="009A38A5">
        <w:rPr>
          <w:rFonts w:asciiTheme="minorHAnsi" w:hAnsiTheme="minorHAnsi" w:cstheme="minorHAnsi"/>
          <w:sz w:val="22"/>
          <w:szCs w:val="22"/>
        </w:rPr>
        <w:t>“Our philanthropic work</w:t>
      </w:r>
      <w:r>
        <w:rPr>
          <w:rFonts w:asciiTheme="minorHAnsi" w:hAnsiTheme="minorHAnsi" w:cstheme="minorHAnsi"/>
          <w:sz w:val="22"/>
          <w:szCs w:val="22"/>
        </w:rPr>
        <w:t xml:space="preserve"> – via our </w:t>
      </w:r>
      <w:r w:rsidRPr="009A38A5">
        <w:rPr>
          <w:rFonts w:asciiTheme="minorHAnsi" w:hAnsiTheme="minorHAnsi" w:cstheme="minorHAnsi"/>
          <w:sz w:val="22"/>
          <w:szCs w:val="22"/>
        </w:rPr>
        <w:t xml:space="preserve">Wilde for Arizona™ Community Outreach Program </w:t>
      </w:r>
      <w:r>
        <w:rPr>
          <w:rFonts w:asciiTheme="minorHAnsi" w:hAnsiTheme="minorHAnsi" w:cstheme="minorHAnsi"/>
          <w:sz w:val="22"/>
          <w:szCs w:val="22"/>
        </w:rPr>
        <w:t xml:space="preserve">– is something we are especially proud of. And it </w:t>
      </w:r>
      <w:r w:rsidRPr="009A38A5">
        <w:rPr>
          <w:rFonts w:asciiTheme="minorHAnsi" w:hAnsiTheme="minorHAnsi" w:cstheme="minorHAnsi"/>
          <w:sz w:val="22"/>
          <w:szCs w:val="22"/>
        </w:rPr>
        <w:t>wouldn’t be as successful as it has been without the backing of our generous clients and dedicated staff</w:t>
      </w:r>
      <w:r>
        <w:rPr>
          <w:rFonts w:asciiTheme="minorHAnsi" w:hAnsiTheme="minorHAnsi" w:cstheme="minorHAnsi"/>
          <w:sz w:val="22"/>
          <w:szCs w:val="22"/>
        </w:rPr>
        <w:t>,” says Wilde. “</w:t>
      </w:r>
      <w:r w:rsidRPr="009A38A5">
        <w:rPr>
          <w:rFonts w:asciiTheme="minorHAnsi" w:hAnsiTheme="minorHAnsi" w:cstheme="minorHAnsi"/>
          <w:sz w:val="22"/>
          <w:szCs w:val="22"/>
        </w:rPr>
        <w:t>We’re so proud to be able to give back to the community we’ve served since 1991, and with the help of our staff and clien</w:t>
      </w:r>
      <w:r>
        <w:rPr>
          <w:rFonts w:asciiTheme="minorHAnsi" w:hAnsiTheme="minorHAnsi" w:cstheme="minorHAnsi"/>
          <w:sz w:val="22"/>
          <w:szCs w:val="22"/>
        </w:rPr>
        <w:t>ts our impact grows each year.”</w:t>
      </w:r>
    </w:p>
    <w:p w:rsidR="009A38A5" w:rsidRDefault="009A38A5" w:rsidP="009A38A5">
      <w:pPr>
        <w:rPr>
          <w:rFonts w:asciiTheme="minorHAnsi" w:hAnsiTheme="minorHAnsi" w:cstheme="minorHAnsi"/>
          <w:sz w:val="22"/>
          <w:szCs w:val="22"/>
        </w:rPr>
      </w:pPr>
    </w:p>
    <w:p w:rsidR="009A38A5" w:rsidRPr="009A38A5" w:rsidRDefault="009A38A5" w:rsidP="009A38A5">
      <w:pPr>
        <w:rPr>
          <w:rFonts w:asciiTheme="minorHAnsi" w:hAnsiTheme="minorHAnsi" w:cstheme="minorHAnsi"/>
          <w:sz w:val="22"/>
          <w:szCs w:val="22"/>
        </w:rPr>
      </w:pPr>
      <w:r w:rsidRPr="009A38A5">
        <w:rPr>
          <w:rFonts w:asciiTheme="minorHAnsi" w:hAnsiTheme="minorHAnsi" w:cstheme="minorHAnsi"/>
          <w:sz w:val="22"/>
          <w:szCs w:val="22"/>
        </w:rPr>
        <w:lastRenderedPageBreak/>
        <w:t>In 2018</w:t>
      </w:r>
      <w:r>
        <w:rPr>
          <w:rFonts w:asciiTheme="minorHAnsi" w:hAnsiTheme="minorHAnsi" w:cstheme="minorHAnsi"/>
          <w:sz w:val="22"/>
          <w:szCs w:val="22"/>
        </w:rPr>
        <w:t xml:space="preserve"> alone, according to Wilde, the firm was </w:t>
      </w:r>
      <w:r w:rsidR="00A82DED">
        <w:rPr>
          <w:rFonts w:asciiTheme="minorHAnsi" w:hAnsiTheme="minorHAnsi" w:cstheme="minorHAnsi"/>
          <w:sz w:val="22"/>
          <w:szCs w:val="22"/>
        </w:rPr>
        <w:t>able</w:t>
      </w:r>
      <w:r>
        <w:rPr>
          <w:rFonts w:asciiTheme="minorHAnsi" w:hAnsiTheme="minorHAnsi" w:cstheme="minorHAnsi"/>
          <w:sz w:val="22"/>
          <w:szCs w:val="22"/>
        </w:rPr>
        <w:t xml:space="preserve"> </w:t>
      </w:r>
      <w:r w:rsidRPr="009A38A5">
        <w:rPr>
          <w:rFonts w:asciiTheme="minorHAnsi" w:hAnsiTheme="minorHAnsi" w:cstheme="minorHAnsi"/>
          <w:sz w:val="22"/>
          <w:szCs w:val="22"/>
        </w:rPr>
        <w:t xml:space="preserve">to impact Toys for Tots, St. Mary’s Food Bank, </w:t>
      </w:r>
      <w:proofErr w:type="gramStart"/>
      <w:r w:rsidRPr="009A38A5">
        <w:rPr>
          <w:rFonts w:asciiTheme="minorHAnsi" w:hAnsiTheme="minorHAnsi" w:cstheme="minorHAnsi"/>
          <w:sz w:val="22"/>
          <w:szCs w:val="22"/>
        </w:rPr>
        <w:t>Cell</w:t>
      </w:r>
      <w:proofErr w:type="gramEnd"/>
      <w:r w:rsidRPr="009A38A5">
        <w:rPr>
          <w:rFonts w:asciiTheme="minorHAnsi" w:hAnsiTheme="minorHAnsi" w:cstheme="minorHAnsi"/>
          <w:sz w:val="22"/>
          <w:szCs w:val="22"/>
        </w:rPr>
        <w:t xml:space="preserve"> Phones for Soldiers, Soldiers’ Angels, Shriner’s Hospitals for Children, Child Crisis Arizona and Feed My Starving Children. </w:t>
      </w:r>
    </w:p>
    <w:p w:rsidR="00C12F03" w:rsidRPr="009A38A5" w:rsidRDefault="00C12F03" w:rsidP="00C12F03">
      <w:pPr>
        <w:rPr>
          <w:rFonts w:asciiTheme="minorHAnsi" w:hAnsiTheme="minorHAnsi" w:cstheme="minorHAnsi"/>
          <w:sz w:val="22"/>
          <w:szCs w:val="22"/>
        </w:rPr>
      </w:pPr>
    </w:p>
    <w:p w:rsidR="00F251AE" w:rsidRPr="009A38A5" w:rsidRDefault="00F251AE" w:rsidP="00F251AE">
      <w:pPr>
        <w:rPr>
          <w:rFonts w:asciiTheme="minorHAnsi" w:hAnsiTheme="minorHAnsi" w:cstheme="minorHAnsi"/>
          <w:sz w:val="22"/>
          <w:szCs w:val="22"/>
        </w:rPr>
      </w:pPr>
      <w:r w:rsidRPr="009A38A5">
        <w:rPr>
          <w:rFonts w:asciiTheme="minorHAnsi" w:hAnsiTheme="minorHAnsi" w:cstheme="minorHAnsi"/>
          <w:sz w:val="22"/>
          <w:szCs w:val="22"/>
        </w:rPr>
        <w:t xml:space="preserve">Wilde began his work in the industry in earnest in 2000, initially at a large firm primarily focused on retirement planning and investments. Eager to offer a deeper breadth of expertise and strategic planning to his clients, Wilde partnered with his father Bill in 2003 to found </w:t>
      </w:r>
      <w:r w:rsidR="00A82DED">
        <w:rPr>
          <w:rFonts w:asciiTheme="minorHAnsi" w:hAnsiTheme="minorHAnsi" w:cstheme="minorHAnsi"/>
          <w:sz w:val="22"/>
          <w:szCs w:val="22"/>
        </w:rPr>
        <w:t xml:space="preserve">an independent practice, </w:t>
      </w:r>
      <w:r w:rsidRPr="009A38A5">
        <w:rPr>
          <w:rFonts w:asciiTheme="minorHAnsi" w:hAnsiTheme="minorHAnsi" w:cstheme="minorHAnsi"/>
          <w:sz w:val="22"/>
          <w:szCs w:val="22"/>
        </w:rPr>
        <w:t xml:space="preserve">Wilde Wealth Management Group. Their mission was two-fold: to offer boutique, customized investment planning advice, and to offer clients expanded in-house service offerings from fellow independent specialists in the fields of legal, taxes, risk management, family services, real estate and insurance. </w:t>
      </w:r>
    </w:p>
    <w:p w:rsidR="00F251AE" w:rsidRPr="009A38A5" w:rsidRDefault="00F251AE" w:rsidP="00F251AE">
      <w:pPr>
        <w:rPr>
          <w:rFonts w:asciiTheme="minorHAnsi" w:hAnsiTheme="minorHAnsi" w:cstheme="minorHAnsi"/>
          <w:sz w:val="22"/>
          <w:szCs w:val="22"/>
        </w:rPr>
      </w:pPr>
    </w:p>
    <w:p w:rsidR="00C12DB2" w:rsidRDefault="00F251AE" w:rsidP="00C12DB2">
      <w:pPr>
        <w:rPr>
          <w:rFonts w:asciiTheme="minorHAnsi" w:hAnsiTheme="minorHAnsi" w:cstheme="minorHAnsi"/>
          <w:sz w:val="22"/>
          <w:szCs w:val="22"/>
        </w:rPr>
      </w:pPr>
      <w:r w:rsidRPr="009A38A5">
        <w:rPr>
          <w:rFonts w:asciiTheme="minorHAnsi" w:hAnsiTheme="minorHAnsi" w:cstheme="minorHAnsi"/>
          <w:sz w:val="22"/>
          <w:szCs w:val="22"/>
        </w:rPr>
        <w:t xml:space="preserve">Over the past two decades, Wilde, who earned his Master’s degree in Business Administration from the University of Phoenix, has helped grow the firm across Arizona and throughout the Southwest. </w:t>
      </w:r>
      <w:r w:rsidR="00C12DB2">
        <w:rPr>
          <w:rFonts w:asciiTheme="minorHAnsi" w:hAnsiTheme="minorHAnsi" w:cstheme="minorHAnsi"/>
          <w:sz w:val="22"/>
          <w:szCs w:val="22"/>
        </w:rPr>
        <w:t>In 2019, Wilde will be expanding into the Tucson market. This comes on the heels of recently expanding</w:t>
      </w:r>
      <w:r w:rsidR="00C12DB2" w:rsidRPr="009A38A5">
        <w:rPr>
          <w:rFonts w:asciiTheme="minorHAnsi" w:hAnsiTheme="minorHAnsi" w:cstheme="minorHAnsi"/>
          <w:sz w:val="22"/>
          <w:szCs w:val="22"/>
        </w:rPr>
        <w:t xml:space="preserve"> its Southeast Valley presence by moving its Tempe office to a new 2700-squa</w:t>
      </w:r>
      <w:r w:rsidR="00C12DB2">
        <w:rPr>
          <w:rFonts w:asciiTheme="minorHAnsi" w:hAnsiTheme="minorHAnsi" w:cstheme="minorHAnsi"/>
          <w:sz w:val="22"/>
          <w:szCs w:val="22"/>
        </w:rPr>
        <w:t>re-foot space to accommodate</w:t>
      </w:r>
      <w:r w:rsidR="00C12DB2" w:rsidRPr="009A38A5">
        <w:rPr>
          <w:rFonts w:asciiTheme="minorHAnsi" w:hAnsiTheme="minorHAnsi" w:cstheme="minorHAnsi"/>
          <w:sz w:val="22"/>
          <w:szCs w:val="22"/>
        </w:rPr>
        <w:t xml:space="preserve"> growth.</w:t>
      </w:r>
      <w:r w:rsidR="00C12DB2">
        <w:rPr>
          <w:rFonts w:asciiTheme="minorHAnsi" w:hAnsiTheme="minorHAnsi" w:cstheme="minorHAnsi"/>
          <w:sz w:val="22"/>
          <w:szCs w:val="22"/>
        </w:rPr>
        <w:t xml:space="preserve"> These offices join the headquarter office in Scottsdale as well as offices in both Glendale and Payson</w:t>
      </w:r>
      <w:r w:rsidR="00A82DED">
        <w:rPr>
          <w:rFonts w:asciiTheme="minorHAnsi" w:hAnsiTheme="minorHAnsi" w:cstheme="minorHAnsi"/>
          <w:sz w:val="22"/>
          <w:szCs w:val="22"/>
        </w:rPr>
        <w:t>, and a Midwest office in Terre Haute, IN</w:t>
      </w:r>
      <w:r w:rsidR="00C12DB2">
        <w:rPr>
          <w:rFonts w:asciiTheme="minorHAnsi" w:hAnsiTheme="minorHAnsi" w:cstheme="minorHAnsi"/>
          <w:sz w:val="22"/>
          <w:szCs w:val="22"/>
        </w:rPr>
        <w:t xml:space="preserve">. </w:t>
      </w:r>
    </w:p>
    <w:p w:rsidR="00C12DB2" w:rsidRDefault="00C12DB2" w:rsidP="00F251AE">
      <w:pPr>
        <w:rPr>
          <w:rFonts w:asciiTheme="minorHAnsi" w:hAnsiTheme="minorHAnsi" w:cstheme="minorHAnsi"/>
          <w:sz w:val="22"/>
          <w:szCs w:val="22"/>
        </w:rPr>
      </w:pPr>
    </w:p>
    <w:p w:rsidR="00C12DB2" w:rsidRDefault="00C12DB2" w:rsidP="009A38A5">
      <w:pPr>
        <w:rPr>
          <w:rFonts w:asciiTheme="minorHAnsi" w:hAnsiTheme="minorHAnsi" w:cstheme="minorHAnsi"/>
          <w:sz w:val="22"/>
          <w:szCs w:val="22"/>
        </w:rPr>
      </w:pPr>
      <w:r>
        <w:rPr>
          <w:rFonts w:asciiTheme="minorHAnsi" w:hAnsiTheme="minorHAnsi" w:cstheme="minorHAnsi"/>
          <w:sz w:val="22"/>
          <w:szCs w:val="22"/>
        </w:rPr>
        <w:t>“</w:t>
      </w:r>
      <w:r w:rsidR="00F251AE" w:rsidRPr="009A38A5">
        <w:rPr>
          <w:rFonts w:asciiTheme="minorHAnsi" w:hAnsiTheme="minorHAnsi" w:cstheme="minorHAnsi"/>
          <w:sz w:val="22"/>
          <w:szCs w:val="22"/>
        </w:rPr>
        <w:t>Together, the team is able to not only take all the pieces of a client’s financial puzzle and organize them, but use them to build a solid foundation that will serve not just the client, but his/her</w:t>
      </w:r>
      <w:r>
        <w:rPr>
          <w:rFonts w:asciiTheme="minorHAnsi" w:hAnsiTheme="minorHAnsi" w:cstheme="minorHAnsi"/>
          <w:sz w:val="22"/>
          <w:szCs w:val="22"/>
        </w:rPr>
        <w:t xml:space="preserve"> family for generations to come,” says Wilde, who in 2018 was honored as among the Most Admired Leaders in Arizona by the </w:t>
      </w:r>
      <w:r w:rsidR="00A82DED">
        <w:rPr>
          <w:rFonts w:asciiTheme="minorHAnsi" w:hAnsiTheme="minorHAnsi" w:cstheme="minorHAnsi"/>
          <w:i/>
          <w:sz w:val="22"/>
          <w:szCs w:val="22"/>
        </w:rPr>
        <w:t>Phoenix B</w:t>
      </w:r>
      <w:r w:rsidRPr="00C12DB2">
        <w:rPr>
          <w:rFonts w:asciiTheme="minorHAnsi" w:hAnsiTheme="minorHAnsi" w:cstheme="minorHAnsi"/>
          <w:i/>
          <w:sz w:val="22"/>
          <w:szCs w:val="22"/>
        </w:rPr>
        <w:t>usiness Journal</w:t>
      </w:r>
      <w:r>
        <w:rPr>
          <w:rFonts w:asciiTheme="minorHAnsi" w:hAnsiTheme="minorHAnsi" w:cstheme="minorHAnsi"/>
          <w:sz w:val="22"/>
          <w:szCs w:val="22"/>
        </w:rPr>
        <w:t>, and</w:t>
      </w:r>
      <w:r w:rsidRPr="009A38A5">
        <w:rPr>
          <w:rFonts w:asciiTheme="minorHAnsi" w:hAnsiTheme="minorHAnsi" w:cstheme="minorHAnsi"/>
          <w:sz w:val="22"/>
          <w:szCs w:val="22"/>
        </w:rPr>
        <w:t xml:space="preserve"> has been among the Top 15 Advisors out of more than 1,200 Cetera Advisors annually since 2012</w:t>
      </w:r>
      <w:r>
        <w:rPr>
          <w:rFonts w:asciiTheme="minorHAnsi" w:hAnsiTheme="minorHAnsi" w:cstheme="minorHAnsi"/>
          <w:sz w:val="22"/>
          <w:szCs w:val="22"/>
        </w:rPr>
        <w:t xml:space="preserve">. </w:t>
      </w:r>
    </w:p>
    <w:p w:rsidR="00C12DB2" w:rsidRDefault="00C12DB2" w:rsidP="009A38A5">
      <w:pPr>
        <w:rPr>
          <w:rFonts w:asciiTheme="minorHAnsi" w:hAnsiTheme="minorHAnsi" w:cstheme="minorHAnsi"/>
          <w:sz w:val="22"/>
          <w:szCs w:val="22"/>
        </w:rPr>
      </w:pPr>
    </w:p>
    <w:p w:rsidR="009A38A5" w:rsidRDefault="009A38A5" w:rsidP="00F251AE">
      <w:pPr>
        <w:rPr>
          <w:rFonts w:asciiTheme="minorHAnsi" w:hAnsiTheme="minorHAnsi" w:cstheme="minorHAnsi"/>
          <w:sz w:val="22"/>
          <w:szCs w:val="22"/>
        </w:rPr>
      </w:pPr>
      <w:r>
        <w:rPr>
          <w:rFonts w:asciiTheme="minorHAnsi" w:hAnsiTheme="minorHAnsi" w:cstheme="minorHAnsi"/>
          <w:sz w:val="22"/>
          <w:szCs w:val="22"/>
        </w:rPr>
        <w:t xml:space="preserve">For more, visit </w:t>
      </w:r>
      <w:hyperlink r:id="rId9" w:history="1">
        <w:r w:rsidRPr="009B5E53">
          <w:rPr>
            <w:rStyle w:val="Hyperlink"/>
            <w:rFonts w:asciiTheme="minorHAnsi" w:hAnsiTheme="minorHAnsi" w:cstheme="minorHAnsi"/>
            <w:sz w:val="22"/>
            <w:szCs w:val="22"/>
          </w:rPr>
          <w:t>www.wildewealth.com</w:t>
        </w:r>
      </w:hyperlink>
      <w:r>
        <w:rPr>
          <w:rFonts w:asciiTheme="minorHAnsi" w:hAnsiTheme="minorHAnsi" w:cstheme="minorHAnsi"/>
          <w:sz w:val="22"/>
          <w:szCs w:val="22"/>
        </w:rPr>
        <w:t xml:space="preserve">. </w:t>
      </w:r>
    </w:p>
    <w:p w:rsidR="009A38A5" w:rsidRPr="00016D9E" w:rsidRDefault="009A38A5" w:rsidP="00F251AE">
      <w:pPr>
        <w:rPr>
          <w:rFonts w:asciiTheme="minorHAnsi" w:hAnsiTheme="minorHAnsi" w:cstheme="minorHAnsi"/>
        </w:rPr>
      </w:pPr>
    </w:p>
    <w:p w:rsidR="00A82DED" w:rsidRPr="00016D9E" w:rsidRDefault="009A38A5" w:rsidP="009A38A5">
      <w:pPr>
        <w:shd w:val="clear" w:color="auto" w:fill="FFFFFF"/>
        <w:jc w:val="center"/>
        <w:rPr>
          <w:rFonts w:asciiTheme="minorHAnsi" w:hAnsiTheme="minorHAnsi" w:cstheme="minorHAnsi"/>
          <w:color w:val="373737"/>
          <w:sz w:val="19"/>
          <w:szCs w:val="19"/>
        </w:rPr>
      </w:pPr>
      <w:r w:rsidRPr="00016D9E">
        <w:rPr>
          <w:rFonts w:asciiTheme="minorHAnsi" w:hAnsiTheme="minorHAnsi" w:cstheme="minorHAnsi"/>
          <w:color w:val="373737"/>
          <w:sz w:val="19"/>
          <w:szCs w:val="19"/>
        </w:rPr>
        <w:t>Securities and advisory services offered through Cetera Advisors LLC, member FINRA/SIPC</w:t>
      </w:r>
      <w:r w:rsidR="00A82DED" w:rsidRPr="00016D9E">
        <w:rPr>
          <w:rFonts w:asciiTheme="minorHAnsi" w:hAnsiTheme="minorHAnsi" w:cstheme="minorHAnsi"/>
          <w:color w:val="373737"/>
          <w:sz w:val="19"/>
          <w:szCs w:val="19"/>
        </w:rPr>
        <w:t xml:space="preserve">, </w:t>
      </w:r>
      <w:r w:rsidR="00016D9E" w:rsidRPr="00016D9E">
        <w:rPr>
          <w:rFonts w:asciiTheme="minorHAnsi" w:hAnsiTheme="minorHAnsi" w:cstheme="minorHAnsi"/>
          <w:color w:val="373737"/>
          <w:sz w:val="19"/>
          <w:szCs w:val="19"/>
        </w:rPr>
        <w:t xml:space="preserve">          </w:t>
      </w:r>
      <w:r w:rsidR="00016D9E">
        <w:rPr>
          <w:rFonts w:asciiTheme="minorHAnsi" w:hAnsiTheme="minorHAnsi" w:cstheme="minorHAnsi"/>
          <w:color w:val="373737"/>
          <w:sz w:val="19"/>
          <w:szCs w:val="19"/>
        </w:rPr>
        <w:t xml:space="preserve">                  </w:t>
      </w:r>
      <w:bookmarkStart w:id="0" w:name="_GoBack"/>
      <w:bookmarkEnd w:id="0"/>
      <w:r w:rsidR="00016D9E" w:rsidRPr="00016D9E">
        <w:rPr>
          <w:rFonts w:asciiTheme="minorHAnsi" w:hAnsiTheme="minorHAnsi" w:cstheme="minorHAnsi"/>
          <w:color w:val="373737"/>
          <w:sz w:val="19"/>
          <w:szCs w:val="19"/>
        </w:rPr>
        <w:t xml:space="preserve">                 </w:t>
      </w:r>
      <w:r w:rsidR="00A82DED" w:rsidRPr="00016D9E">
        <w:rPr>
          <w:rFonts w:asciiTheme="minorHAnsi" w:hAnsiTheme="minorHAnsi" w:cstheme="minorHAnsi"/>
          <w:color w:val="373737"/>
          <w:sz w:val="19"/>
          <w:szCs w:val="19"/>
        </w:rPr>
        <w:t>an Investment Adviser Representative and a broker-dealer.</w:t>
      </w:r>
      <w:r w:rsidRPr="00016D9E">
        <w:rPr>
          <w:rFonts w:asciiTheme="minorHAnsi" w:hAnsiTheme="minorHAnsi" w:cstheme="minorHAnsi"/>
          <w:color w:val="373737"/>
          <w:sz w:val="19"/>
          <w:szCs w:val="19"/>
        </w:rPr>
        <w:t xml:space="preserve"> </w:t>
      </w:r>
    </w:p>
    <w:p w:rsidR="009A38A5" w:rsidRPr="00016D9E" w:rsidRDefault="00262AF4" w:rsidP="009A38A5">
      <w:pPr>
        <w:shd w:val="clear" w:color="auto" w:fill="FFFFFF"/>
        <w:jc w:val="center"/>
        <w:rPr>
          <w:rFonts w:asciiTheme="minorHAnsi" w:hAnsiTheme="minorHAnsi" w:cstheme="minorHAnsi"/>
          <w:color w:val="373737"/>
          <w:sz w:val="19"/>
          <w:szCs w:val="19"/>
        </w:rPr>
      </w:pPr>
      <w:r w:rsidRPr="00016D9E">
        <w:rPr>
          <w:rFonts w:asciiTheme="minorHAnsi" w:hAnsiTheme="minorHAnsi" w:cstheme="minorHAnsi"/>
          <w:color w:val="373737"/>
          <w:sz w:val="19"/>
          <w:szCs w:val="19"/>
        </w:rPr>
        <w:t>Cetera is under separate ownership from any other named entity.</w:t>
      </w:r>
    </w:p>
    <w:p w:rsidR="009A38A5" w:rsidRPr="00016D9E" w:rsidRDefault="009A38A5" w:rsidP="009A38A5">
      <w:pPr>
        <w:shd w:val="clear" w:color="auto" w:fill="FFFFFF"/>
        <w:jc w:val="center"/>
        <w:rPr>
          <w:rFonts w:asciiTheme="minorHAnsi" w:hAnsiTheme="minorHAnsi" w:cstheme="minorHAnsi"/>
          <w:color w:val="373737"/>
          <w:sz w:val="19"/>
          <w:szCs w:val="19"/>
        </w:rPr>
      </w:pPr>
      <w:r w:rsidRPr="00016D9E">
        <w:rPr>
          <w:rFonts w:asciiTheme="minorHAnsi" w:hAnsiTheme="minorHAnsi" w:cstheme="minorHAnsi"/>
          <w:color w:val="373737"/>
          <w:sz w:val="19"/>
          <w:szCs w:val="19"/>
        </w:rPr>
        <w:t>Please be advised that we cannot accept trades via email.</w:t>
      </w:r>
    </w:p>
    <w:p w:rsidR="00016D9E" w:rsidRDefault="00016D9E" w:rsidP="009A38A5">
      <w:pPr>
        <w:shd w:val="clear" w:color="auto" w:fill="FFFFFF"/>
        <w:jc w:val="center"/>
        <w:rPr>
          <w:rFonts w:asciiTheme="minorHAnsi" w:hAnsiTheme="minorHAnsi" w:cstheme="minorHAnsi"/>
          <w:color w:val="373737"/>
          <w:sz w:val="16"/>
          <w:szCs w:val="16"/>
        </w:rPr>
      </w:pPr>
    </w:p>
    <w:p w:rsidR="00016D9E" w:rsidRPr="00016D9E" w:rsidRDefault="00016D9E" w:rsidP="009A38A5">
      <w:pPr>
        <w:shd w:val="clear" w:color="auto" w:fill="FFFFFF"/>
        <w:jc w:val="center"/>
        <w:rPr>
          <w:rFonts w:asciiTheme="minorHAnsi" w:hAnsiTheme="minorHAnsi" w:cstheme="minorHAnsi"/>
          <w:color w:val="373737"/>
          <w:sz w:val="16"/>
          <w:szCs w:val="16"/>
        </w:rPr>
      </w:pPr>
      <w:r>
        <w:rPr>
          <w:rFonts w:asciiTheme="minorHAnsi" w:hAnsiTheme="minorHAnsi" w:cstheme="minorHAnsi"/>
          <w:color w:val="373737"/>
          <w:sz w:val="16"/>
          <w:szCs w:val="16"/>
        </w:rPr>
        <w:t>Over 4,000 advisors who wish to be ranked fill out a 102-question survey about their practice, data is then verified and then applied to a ranking formula.  The ranking reflects the volume of assets overseen by the advisors and their teams, revenues generated for the firms, and the quality of the advisors’ practices.  The scoring system assigns a top score of 100 and rates the rest by comparing them with the top-ranked advisor.  Listing in this publication and/or award is not a guarantee of future investment success.  This recognition should not be considered as an endorsement of the advisor by any client.</w:t>
      </w:r>
    </w:p>
    <w:p w:rsidR="009A38A5" w:rsidRPr="00595069" w:rsidRDefault="009A38A5" w:rsidP="009A38A5">
      <w:pPr>
        <w:rPr>
          <w:rFonts w:asciiTheme="minorHAnsi" w:hAnsiTheme="minorHAnsi" w:cstheme="minorHAnsi"/>
          <w:sz w:val="22"/>
          <w:szCs w:val="22"/>
        </w:rPr>
      </w:pPr>
    </w:p>
    <w:p w:rsidR="009A38A5" w:rsidRPr="00595069" w:rsidRDefault="009A38A5" w:rsidP="009A38A5">
      <w:pPr>
        <w:rPr>
          <w:rFonts w:asciiTheme="minorHAnsi" w:hAnsiTheme="minorHAnsi" w:cstheme="minorHAnsi"/>
          <w:sz w:val="22"/>
          <w:szCs w:val="22"/>
        </w:rPr>
      </w:pPr>
    </w:p>
    <w:p w:rsidR="009A38A5" w:rsidRPr="00595069" w:rsidRDefault="009A38A5" w:rsidP="009A38A5">
      <w:pPr>
        <w:jc w:val="center"/>
        <w:rPr>
          <w:rFonts w:asciiTheme="minorHAnsi" w:hAnsiTheme="minorHAnsi" w:cstheme="minorHAnsi"/>
          <w:sz w:val="22"/>
          <w:szCs w:val="22"/>
        </w:rPr>
      </w:pPr>
      <w:r w:rsidRPr="00595069">
        <w:rPr>
          <w:rFonts w:asciiTheme="minorHAnsi" w:hAnsiTheme="minorHAnsi" w:cstheme="minorHAnsi"/>
          <w:sz w:val="22"/>
          <w:szCs w:val="22"/>
        </w:rPr>
        <w:t>-XXX-</w:t>
      </w:r>
    </w:p>
    <w:p w:rsidR="009A38A5" w:rsidRPr="009A38A5" w:rsidRDefault="009A38A5" w:rsidP="00F251AE">
      <w:pPr>
        <w:rPr>
          <w:rFonts w:asciiTheme="minorHAnsi" w:hAnsiTheme="minorHAnsi" w:cstheme="minorHAnsi"/>
          <w:sz w:val="22"/>
          <w:szCs w:val="22"/>
        </w:rPr>
      </w:pPr>
    </w:p>
    <w:p w:rsidR="00F251AE" w:rsidRPr="009A38A5" w:rsidRDefault="00F251AE" w:rsidP="00F251AE">
      <w:pPr>
        <w:rPr>
          <w:rFonts w:asciiTheme="minorHAnsi" w:hAnsiTheme="minorHAnsi" w:cstheme="minorHAnsi"/>
          <w:sz w:val="22"/>
          <w:szCs w:val="22"/>
        </w:rPr>
      </w:pPr>
    </w:p>
    <w:p w:rsidR="00F251AE" w:rsidRPr="009A38A5" w:rsidRDefault="00F251AE" w:rsidP="00F251AE">
      <w:pPr>
        <w:rPr>
          <w:rFonts w:asciiTheme="minorHAnsi" w:hAnsiTheme="minorHAnsi" w:cstheme="minorHAnsi"/>
          <w:sz w:val="22"/>
          <w:szCs w:val="22"/>
        </w:rPr>
      </w:pPr>
    </w:p>
    <w:p w:rsidR="00C70D01" w:rsidRPr="009A38A5" w:rsidRDefault="00C70D01" w:rsidP="00F251AE">
      <w:pPr>
        <w:rPr>
          <w:rFonts w:asciiTheme="minorHAnsi" w:hAnsiTheme="minorHAnsi" w:cstheme="minorHAnsi"/>
          <w:sz w:val="22"/>
          <w:szCs w:val="22"/>
        </w:rPr>
      </w:pPr>
    </w:p>
    <w:p w:rsidR="00F251AE" w:rsidRPr="009A38A5" w:rsidRDefault="00F251AE" w:rsidP="00F251AE">
      <w:pPr>
        <w:rPr>
          <w:rFonts w:asciiTheme="minorHAnsi" w:hAnsiTheme="minorHAnsi" w:cstheme="minorHAnsi"/>
          <w:sz w:val="22"/>
          <w:szCs w:val="22"/>
        </w:rPr>
      </w:pPr>
    </w:p>
    <w:p w:rsidR="00AF7658" w:rsidRPr="009A38A5" w:rsidRDefault="00AF7658" w:rsidP="00C12F03">
      <w:pPr>
        <w:jc w:val="center"/>
        <w:rPr>
          <w:rFonts w:asciiTheme="minorHAnsi" w:hAnsiTheme="minorHAnsi" w:cstheme="minorHAnsi"/>
          <w:sz w:val="22"/>
          <w:szCs w:val="22"/>
        </w:rPr>
      </w:pPr>
    </w:p>
    <w:sectPr w:rsidR="00AF7658" w:rsidRPr="009A38A5" w:rsidSect="00C55B7E">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DC" w:rsidRDefault="00496C06">
      <w:r>
        <w:separator/>
      </w:r>
    </w:p>
  </w:endnote>
  <w:endnote w:type="continuationSeparator" w:id="0">
    <w:p w:rsidR="00635DDC" w:rsidRDefault="0049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DC" w:rsidRDefault="00496C06">
      <w:r>
        <w:separator/>
      </w:r>
    </w:p>
  </w:footnote>
  <w:footnote w:type="continuationSeparator" w:id="0">
    <w:p w:rsidR="00635DDC" w:rsidRDefault="00496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7E" w:rsidRDefault="004F211B">
    <w:pPr>
      <w:pStyle w:val="Header"/>
    </w:pPr>
    <w:r>
      <w:rPr>
        <w:noProof/>
      </w:rPr>
      <w:drawing>
        <wp:anchor distT="0" distB="0" distL="114300" distR="114300" simplePos="0" relativeHeight="251659264" behindDoc="1" locked="0" layoutInCell="1" allowOverlap="1" wp14:anchorId="692393C3" wp14:editId="14E89DCC">
          <wp:simplePos x="0" y="0"/>
          <wp:positionH relativeFrom="column">
            <wp:posOffset>-908685</wp:posOffset>
          </wp:positionH>
          <wp:positionV relativeFrom="paragraph">
            <wp:posOffset>-228600</wp:posOffset>
          </wp:positionV>
          <wp:extent cx="7303135" cy="986790"/>
          <wp:effectExtent l="0" t="0" r="12065" b="3810"/>
          <wp:wrapThrough wrapText="bothSides">
            <wp:wrapPolygon edited="0">
              <wp:start x="0" y="0"/>
              <wp:lineTo x="0" y="21127"/>
              <wp:lineTo x="21561" y="21127"/>
              <wp:lineTo x="21561" y="0"/>
              <wp:lineTo x="0" y="0"/>
            </wp:wrapPolygon>
          </wp:wrapThrough>
          <wp:docPr id="1" name="Picture 1" descr="Client Files:HMA:HM15047_business_system:hma2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 Files:HMA:HM15047_business_system:hma2_syst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3135" cy="986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2C"/>
    <w:rsid w:val="00016D9E"/>
    <w:rsid w:val="00026944"/>
    <w:rsid w:val="00086AC1"/>
    <w:rsid w:val="000D54C3"/>
    <w:rsid w:val="0016032E"/>
    <w:rsid w:val="00262AF4"/>
    <w:rsid w:val="002A124E"/>
    <w:rsid w:val="00436C11"/>
    <w:rsid w:val="00496C06"/>
    <w:rsid w:val="004F211B"/>
    <w:rsid w:val="00635DDC"/>
    <w:rsid w:val="00671D2C"/>
    <w:rsid w:val="00813476"/>
    <w:rsid w:val="009A38A5"/>
    <w:rsid w:val="00A65648"/>
    <w:rsid w:val="00A82DED"/>
    <w:rsid w:val="00AF7658"/>
    <w:rsid w:val="00C12DB2"/>
    <w:rsid w:val="00C12F03"/>
    <w:rsid w:val="00C70D01"/>
    <w:rsid w:val="00D369F0"/>
    <w:rsid w:val="00E45530"/>
    <w:rsid w:val="00F2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28DB6-BBE0-480C-8E49-06D6C699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2C"/>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671D2C"/>
    <w:rPr>
      <w:rFonts w:eastAsiaTheme="minorEastAsia"/>
      <w:sz w:val="24"/>
      <w:szCs w:val="24"/>
    </w:rPr>
  </w:style>
  <w:style w:type="character" w:styleId="Hyperlink">
    <w:name w:val="Hyperlink"/>
    <w:basedOn w:val="DefaultParagraphFont"/>
    <w:uiPriority w:val="99"/>
    <w:unhideWhenUsed/>
    <w:rsid w:val="00671D2C"/>
    <w:rPr>
      <w:color w:val="0000FF"/>
      <w:u w:val="single"/>
    </w:rPr>
  </w:style>
  <w:style w:type="character" w:styleId="CommentReference">
    <w:name w:val="annotation reference"/>
    <w:basedOn w:val="DefaultParagraphFont"/>
    <w:uiPriority w:val="99"/>
    <w:semiHidden/>
    <w:unhideWhenUsed/>
    <w:rsid w:val="00496C06"/>
    <w:rPr>
      <w:sz w:val="16"/>
      <w:szCs w:val="16"/>
    </w:rPr>
  </w:style>
  <w:style w:type="paragraph" w:styleId="CommentText">
    <w:name w:val="annotation text"/>
    <w:basedOn w:val="Normal"/>
    <w:link w:val="CommentTextChar"/>
    <w:uiPriority w:val="99"/>
    <w:semiHidden/>
    <w:unhideWhenUsed/>
    <w:rsid w:val="00496C06"/>
  </w:style>
  <w:style w:type="character" w:customStyle="1" w:styleId="CommentTextChar">
    <w:name w:val="Comment Text Char"/>
    <w:basedOn w:val="DefaultParagraphFont"/>
    <w:link w:val="CommentText"/>
    <w:uiPriority w:val="99"/>
    <w:semiHidden/>
    <w:rsid w:val="00496C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6C06"/>
    <w:rPr>
      <w:b/>
      <w:bCs/>
    </w:rPr>
  </w:style>
  <w:style w:type="character" w:customStyle="1" w:styleId="CommentSubjectChar">
    <w:name w:val="Comment Subject Char"/>
    <w:basedOn w:val="CommentTextChar"/>
    <w:link w:val="CommentSubject"/>
    <w:uiPriority w:val="99"/>
    <w:semiHidden/>
    <w:rsid w:val="00496C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6C06"/>
    <w:rPr>
      <w:rFonts w:ascii="Tahoma" w:hAnsi="Tahoma" w:cs="Tahoma"/>
      <w:sz w:val="16"/>
      <w:szCs w:val="16"/>
    </w:rPr>
  </w:style>
  <w:style w:type="character" w:customStyle="1" w:styleId="BalloonTextChar">
    <w:name w:val="Balloon Text Char"/>
    <w:basedOn w:val="DefaultParagraphFont"/>
    <w:link w:val="BalloonText"/>
    <w:uiPriority w:val="99"/>
    <w:semiHidden/>
    <w:rsid w:val="00496C06"/>
    <w:rPr>
      <w:rFonts w:ascii="Tahoma" w:eastAsia="Times New Roman" w:hAnsi="Tahoma" w:cs="Tahoma"/>
      <w:sz w:val="16"/>
      <w:szCs w:val="16"/>
    </w:rPr>
  </w:style>
  <w:style w:type="paragraph" w:styleId="ListParagraph">
    <w:name w:val="List Paragraph"/>
    <w:basedOn w:val="Normal"/>
    <w:uiPriority w:val="34"/>
    <w:qFormat/>
    <w:rsid w:val="009A38A5"/>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016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report/top-financial-advisors/1000/2019" TargetMode="External"/><Relationship Id="rId3" Type="http://schemas.openxmlformats.org/officeDocument/2006/relationships/settings" Target="settings.xml"/><Relationship Id="rId7" Type="http://schemas.openxmlformats.org/officeDocument/2006/relationships/hyperlink" Target="mailto:ABAILIN@HMAP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ldew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6695-FCE4-4E16-AB93-EA0ED501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Norris</dc:creator>
  <cp:lastModifiedBy>Stephanie Kotula</cp:lastModifiedBy>
  <cp:revision>2</cp:revision>
  <dcterms:created xsi:type="dcterms:W3CDTF">2019-03-12T16:07:00Z</dcterms:created>
  <dcterms:modified xsi:type="dcterms:W3CDTF">2019-03-12T16:07:00Z</dcterms:modified>
</cp:coreProperties>
</file>