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6" w:left="0" w:firstLine="0"/>
        <w:jc w:val="center"/>
        <w:rPr>
          <w:rFonts w:ascii="Times New Roman" w:hAnsi="Times New Roman" w:cs="Times New Roman" w:eastAsia="Times New Roman"/>
          <w:b/>
          <w:color w:val="0000FF"/>
          <w:spacing w:val="0"/>
          <w:position w:val="0"/>
          <w:sz w:val="32"/>
          <w:shd w:fill="auto" w:val="clear"/>
        </w:rPr>
      </w:pPr>
      <w:r>
        <w:rPr>
          <w:rFonts w:ascii="Times New Roman" w:hAnsi="Times New Roman" w:cs="Times New Roman" w:eastAsia="Times New Roman"/>
          <w:b/>
          <w:color w:val="0000FF"/>
          <w:spacing w:val="0"/>
          <w:position w:val="0"/>
          <w:sz w:val="32"/>
          <w:shd w:fill="auto" w:val="clear"/>
        </w:rPr>
        <w:t xml:space="preserve">Horizon Wealth Management</w:t>
      </w:r>
    </w:p>
    <w:p>
      <w:pPr>
        <w:spacing w:before="0" w:after="0" w:line="240"/>
        <w:ind w:right="-36" w:left="0" w:firstLine="0"/>
        <w:jc w:val="center"/>
        <w:rPr>
          <w:rFonts w:ascii="Times New Roman" w:hAnsi="Times New Roman" w:cs="Times New Roman" w:eastAsia="Times New Roman"/>
          <w:b/>
          <w:color w:val="0000FF"/>
          <w:spacing w:val="0"/>
          <w:position w:val="0"/>
          <w:sz w:val="32"/>
          <w:shd w:fill="auto" w:val="clear"/>
        </w:rPr>
      </w:pPr>
      <w:r>
        <w:rPr>
          <w:rFonts w:ascii="Times New Roman" w:hAnsi="Times New Roman" w:cs="Times New Roman" w:eastAsia="Times New Roman"/>
          <w:b/>
          <w:color w:val="0000FF"/>
          <w:spacing w:val="0"/>
          <w:position w:val="0"/>
          <w:sz w:val="32"/>
          <w:shd w:fill="auto" w:val="clear"/>
        </w:rPr>
        <w:t xml:space="preserve">Weekly Market Commentary</w:t>
      </w:r>
    </w:p>
    <w:p>
      <w:pPr>
        <w:spacing w:before="0" w:after="0" w:line="240"/>
        <w:ind w:right="-36" w:left="0" w:firstLine="0"/>
        <w:jc w:val="center"/>
        <w:rPr>
          <w:rFonts w:ascii="Times New Roman" w:hAnsi="Times New Roman" w:cs="Times New Roman" w:eastAsia="Times New Roman"/>
          <w:b/>
          <w:color w:val="0000FF"/>
          <w:spacing w:val="0"/>
          <w:position w:val="0"/>
          <w:sz w:val="32"/>
          <w:shd w:fill="auto" w:val="clear"/>
        </w:rPr>
      </w:pPr>
      <w:r>
        <w:rPr>
          <w:rFonts w:ascii="Times New Roman" w:hAnsi="Times New Roman" w:cs="Times New Roman" w:eastAsia="Times New Roman"/>
          <w:b/>
          <w:color w:val="0000FF"/>
          <w:spacing w:val="0"/>
          <w:position w:val="0"/>
          <w:sz w:val="32"/>
          <w:shd w:fill="auto" w:val="clear"/>
        </w:rPr>
        <w:t xml:space="preserve">February 18, 2020</w:t>
      </w:r>
    </w:p>
    <w:p>
      <w:pPr>
        <w:spacing w:before="0" w:after="0" w:line="240"/>
        <w:ind w:right="-36" w:left="0" w:firstLine="0"/>
        <w:jc w:val="left"/>
        <w:rPr>
          <w:rFonts w:ascii="Times New Roman" w:hAnsi="Times New Roman" w:cs="Times New Roman" w:eastAsia="Times New Roman"/>
          <w:color w:val="0000FF"/>
          <w:spacing w:val="0"/>
          <w:position w:val="0"/>
          <w:sz w:val="24"/>
          <w:shd w:fill="auto" w:val="clear"/>
        </w:rPr>
      </w:pPr>
    </w:p>
    <w:p>
      <w:pPr>
        <w:spacing w:before="0" w:after="0" w:line="240"/>
        <w:ind w:right="-36" w:left="0" w:firstLine="0"/>
        <w:jc w:val="left"/>
        <w:rPr>
          <w:rFonts w:ascii="Times New Roman" w:hAnsi="Times New Roman" w:cs="Times New Roman" w:eastAsia="Times New Roman"/>
          <w:b/>
          <w:color w:val="0000FF"/>
          <w:spacing w:val="0"/>
          <w:position w:val="0"/>
          <w:sz w:val="28"/>
          <w:shd w:fill="auto" w:val="clear"/>
        </w:rPr>
      </w:pPr>
      <w:r>
        <w:rPr>
          <w:rFonts w:ascii="Times New Roman" w:hAnsi="Times New Roman" w:cs="Times New Roman" w:eastAsia="Times New Roman"/>
          <w:b/>
          <w:color w:val="0000FF"/>
          <w:spacing w:val="0"/>
          <w:position w:val="0"/>
          <w:sz w:val="28"/>
          <w:shd w:fill="auto" w:val="clear"/>
        </w:rPr>
        <w:t xml:space="preserve">The Markets</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Many stock markets around the world moved higher last week.</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Investors’ optimism in the face of economic headwinds has confounded some in the financial services industry. Laurence Fletcher and Jennifer Ablan of </w:t>
      </w:r>
      <w:r>
        <w:rPr>
          <w:rFonts w:ascii="Times New Roman" w:hAnsi="Times New Roman" w:cs="Times New Roman" w:eastAsia="Times New Roman"/>
          <w:i/>
          <w:color w:val="auto"/>
          <w:spacing w:val="0"/>
          <w:position w:val="0"/>
          <w:sz w:val="24"/>
          <w:shd w:fill="auto" w:val="clear"/>
        </w:rPr>
        <w:t xml:space="preserve">Financial Times</w:t>
      </w:r>
      <w:r>
        <w:rPr>
          <w:rFonts w:ascii="Times New Roman" w:hAnsi="Times New Roman" w:cs="Times New Roman" w:eastAsia="Times New Roman"/>
          <w:color w:val="auto"/>
          <w:spacing w:val="0"/>
          <w:position w:val="0"/>
          <w:sz w:val="24"/>
          <w:shd w:fill="auto" w:val="clear"/>
        </w:rPr>
        <w:t xml:space="preserve"> cited several money managers who believe investors have become complacent. One theory is investors’ buy-the-dip mentality has become so firmly ingrained that any price drop is seen as a buying opportunity, regardless of share price valuation.</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theory is investors remain confident in the face of declining economic growth expectations because they expect central bankers to save the day:</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684"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“Key stock markets are hovering close to record highs even while the death count from the China-centered virus rises and travel in, out, and around the country remains heavily restricted, hurting the outlook for domestic and international companies. Regardless, stumbles in stocks are quickly reversed. To some traders, this is proof that investors believe major central banks will pump more stimulus into the financial system.”</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Ben Levisohn of </w:t>
      </w:r>
      <w:r>
        <w:rPr>
          <w:rFonts w:ascii="Times New Roman" w:hAnsi="Times New Roman" w:cs="Times New Roman" w:eastAsia="Times New Roman"/>
          <w:i/>
          <w:color w:val="auto"/>
          <w:spacing w:val="0"/>
          <w:position w:val="0"/>
          <w:sz w:val="24"/>
          <w:shd w:fill="auto" w:val="clear"/>
        </w:rPr>
        <w:t xml:space="preserve">Barron’s</w:t>
      </w:r>
      <w:r>
        <w:rPr>
          <w:rFonts w:ascii="Times New Roman" w:hAnsi="Times New Roman" w:cs="Times New Roman" w:eastAsia="Times New Roman"/>
          <w:color w:val="auto"/>
          <w:spacing w:val="0"/>
          <w:position w:val="0"/>
          <w:sz w:val="24"/>
          <w:shd w:fill="auto" w:val="clear"/>
        </w:rPr>
        <w:t xml:space="preserve"> doesn’t think investors in U.S. stocks are complacent. He wrote: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74"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[investors have] decided to stay invested in U.S. stocks, but compare it with the other options. Emerging market stocks near the epicenter of the outbreak? Treasury notes with yields of just 1.59 percent? Cash? But, they haven’t sat idly by, either. They’ve dumped the stocks most exposed to coronavirus and to a slowing economy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things like energy, cruise lines, airlines, steel.”</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Treasury bond markets are telling a less optimistic story than stock markets. The U.S. treasury bond yield curve has flattened in recent weeks. On Friday, 3-month treasuries were yielding 1.58 percent while 10-year treasuries yielded 1.59 percent. When there is little difference between yields for short- and long-term maturities, the yield curve is considered to be flat.</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Historically, the slope of the yield curve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 line that shows yields for Treasuries of different maturities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is believed to provide insight to what may be ahead for economic growth. Normal yield curves may indicate expansion ahead, while inverted yield curves suggest recession may be looming. Flat yield curves suggest a transition is underway.</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tbl>
      <w:tblPr/>
      <w:tblGrid>
        <w:gridCol w:w="3578"/>
        <w:gridCol w:w="1043"/>
        <w:gridCol w:w="887"/>
        <w:gridCol w:w="913"/>
        <w:gridCol w:w="864"/>
        <w:gridCol w:w="900"/>
        <w:gridCol w:w="950"/>
      </w:tblGrid>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Data as of 2/14/20</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1-Week</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Y-T-D</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1-Year</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3-Year</w:t>
            </w: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5-Year</w:t>
            </w:r>
          </w:p>
        </w:tc>
        <w:tc>
          <w:tcPr>
            <w:tcW w:w="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10-Year</w:t>
            </w:r>
          </w:p>
        </w:tc>
      </w:tr>
      <w:tr>
        <w:trPr>
          <w:trHeight w:val="215" w:hRule="auto"/>
          <w:jc w:val="left"/>
        </w:trPr>
        <w:tc>
          <w:tcPr>
            <w:tcW w:w="357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Standard &amp; Poor's 500 (Domestic Stocks)</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w:t>
            </w:r>
          </w:p>
        </w:tc>
        <w:tc>
          <w:tcPr>
            <w:tcW w:w="887"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4.6%</w:t>
            </w:r>
          </w:p>
        </w:tc>
        <w:tc>
          <w:tcPr>
            <w:tcW w:w="91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23.1%</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13.1%</w:t>
            </w:r>
          </w:p>
        </w:tc>
        <w:tc>
          <w:tcPr>
            <w:tcW w:w="90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10.0%</w:t>
            </w:r>
          </w:p>
        </w:tc>
        <w:tc>
          <w:tcPr>
            <w:tcW w:w="95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11.9%</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Dow Jones Global ex-U.S.</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0.4</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-0.4</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10.10</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5.4</w:t>
            </w: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10-year Treasury Note (Yield Only)</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w:t>
            </w:r>
          </w:p>
        </w:tc>
        <w:tc>
          <w:tcPr>
            <w:tcW w:w="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3.7</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Gold (per ounce)</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0.6</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3.8</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20.6</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8.7</w:t>
            </w: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5.2</w:t>
            </w:r>
          </w:p>
        </w:tc>
        <w:tc>
          <w:tcPr>
            <w:tcW w:w="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3.7</w:t>
            </w:r>
          </w:p>
        </w:tc>
      </w:tr>
      <w:tr>
        <w:trPr>
          <w:trHeight w:val="255" w:hRule="auto"/>
          <w:jc w:val="left"/>
        </w:trPr>
        <w:tc>
          <w:tcPr>
            <w:tcW w:w="357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Bloomberg Commodity Index</w:t>
            </w:r>
          </w:p>
        </w:tc>
        <w:tc>
          <w:tcPr>
            <w:tcW w:w="104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0.8</w:t>
            </w:r>
          </w:p>
        </w:tc>
        <w:tc>
          <w:tcPr>
            <w:tcW w:w="8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-6.8</w:t>
            </w:r>
          </w:p>
        </w:tc>
        <w:tc>
          <w:tcPr>
            <w:tcW w:w="91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-5.7</w:t>
            </w:r>
          </w:p>
        </w:tc>
        <w:tc>
          <w:tcPr>
            <w:tcW w:w="864"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-5.3</w:t>
            </w:r>
          </w:p>
        </w:tc>
        <w:tc>
          <w:tcPr>
            <w:tcW w:w="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-6.2</w:t>
            </w:r>
          </w:p>
        </w:tc>
        <w:tc>
          <w:tcPr>
            <w:tcW w:w="9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36"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-5.6</w:t>
            </w:r>
          </w:p>
        </w:tc>
      </w:tr>
    </w:tbl>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Sources: Yahoo! Finance, MarketWatch, djindexes.com, London Bullion Market Association.</w:t>
      </w:r>
    </w:p>
    <w:p>
      <w:pPr>
        <w:spacing w:before="0" w:after="0" w:line="240"/>
        <w:ind w:right="414" w:left="9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Past performance is no guarantee of future results. Indices are unmanaged and cannot be invested into directly. N/A means not applicable.</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0000FF"/>
          <w:spacing w:val="0"/>
          <w:position w:val="0"/>
          <w:sz w:val="24"/>
          <w:shd w:fill="auto" w:val="clear"/>
        </w:rPr>
        <w:t xml:space="preserve">what’s your favorite remedy for a Hangover?</w:t>
      </w:r>
      <w:r>
        <w:rPr>
          <w:rFonts w:ascii="Times New Roman" w:hAnsi="Times New Roman" w:cs="Times New Roman" w:eastAsia="Times New Roman"/>
          <w:color w:val="00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Consuming too much alcohol comes with an unwelcome side effect: the hangover. Symptoms of a hangover typically include dehydration, fatigue, vertigo, headache, nausea, and muscle aches.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If you’ve ever had one you may understand the growing market for hangover treatments.</w:t>
      </w:r>
    </w:p>
    <w:p>
      <w:pPr>
        <w:spacing w:before="0" w:after="0" w:line="240"/>
        <w:ind w:right="-36"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By one estimate, Americans experience 2.6 billion hangovers each year. That may be why market research analysts think hangover remedies have the potential to become a billion-dollar industry. </w:t>
      </w:r>
      <w:r>
        <w:rPr>
          <w:rFonts w:ascii="Times New Roman" w:hAnsi="Times New Roman" w:cs="Times New Roman" w:eastAsia="Times New Roman"/>
          <w:i/>
          <w:color w:val="000000"/>
          <w:spacing w:val="0"/>
          <w:position w:val="0"/>
          <w:sz w:val="24"/>
          <w:shd w:fill="auto" w:val="clear"/>
        </w:rPr>
        <w:t xml:space="preserve">The Washington Post</w:t>
      </w:r>
      <w:r>
        <w:rPr>
          <w:rFonts w:ascii="Times New Roman" w:hAnsi="Times New Roman" w:cs="Times New Roman" w:eastAsia="Times New Roman"/>
          <w:color w:val="000000"/>
          <w:spacing w:val="0"/>
          <w:position w:val="0"/>
          <w:sz w:val="24"/>
          <w:shd w:fill="auto" w:val="clear"/>
        </w:rPr>
        <w:t xml:space="preserve"> reported the number of recovery (and ‘precovery’) treatments has ballooned during the past three years. So far, the hangover remedy industry has:</w:t>
      </w:r>
    </w:p>
    <w:p>
      <w:pPr>
        <w:spacing w:before="0" w:after="0" w:line="240"/>
        <w:ind w:right="-36" w:left="0" w:firstLine="0"/>
        <w:jc w:val="left"/>
        <w:rPr>
          <w:rFonts w:ascii="Times New Roman" w:hAnsi="Times New Roman" w:cs="Times New Roman" w:eastAsia="Times New Roman"/>
          <w:color w:val="000000"/>
          <w:spacing w:val="0"/>
          <w:position w:val="0"/>
          <w:sz w:val="24"/>
          <w:shd w:fill="auto" w:val="clear"/>
        </w:rPr>
      </w:pPr>
    </w:p>
    <w:p>
      <w:pPr>
        <w:numPr>
          <w:ilvl w:val="0"/>
          <w:numId w:val="29"/>
        </w:numPr>
        <w:spacing w:before="0" w:after="0" w:line="240"/>
        <w:ind w:right="-36"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Offered treatments that include water-soluble tablets, capsules, beverages, and patches.</w:t>
      </w:r>
    </w:p>
    <w:p>
      <w:pPr>
        <w:numPr>
          <w:ilvl w:val="0"/>
          <w:numId w:val="29"/>
        </w:numPr>
        <w:spacing w:before="0" w:after="0" w:line="240"/>
        <w:ind w:right="-36"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Attracted $10 million of Silicon Valley venture capital.</w:t>
      </w:r>
    </w:p>
    <w:p>
      <w:pPr>
        <w:numPr>
          <w:ilvl w:val="0"/>
          <w:numId w:val="29"/>
        </w:numPr>
        <w:spacing w:before="0" w:after="0" w:line="240"/>
        <w:ind w:right="-36"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Birthed start-ups that generate strong sales during the first few months of operations.</w:t>
      </w:r>
    </w:p>
    <w:p>
      <w:pPr>
        <w:spacing w:before="0" w:after="0" w:line="240"/>
        <w:ind w:right="-36"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hangover market is small potatoes when compared to the market for alcoholic beverages ($1.4 trillion). However, the market for non-alcoholic cocktails is growing, too. In New York City, booze-free bars charge $13 a pop for dry cocktails.</w:t>
      </w:r>
    </w:p>
    <w:p>
      <w:pPr>
        <w:spacing w:before="0" w:after="0" w:line="240"/>
        <w:ind w:right="-36"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Here’s a question: Are alcohol-free drinks a precovery hangover solution or a beverage? </w:t>
      </w:r>
    </w:p>
    <w:p>
      <w:pPr>
        <w:spacing w:before="0" w:after="0" w:line="240"/>
        <w:ind w:right="-36"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36" w:left="0" w:firstLine="0"/>
        <w:jc w:val="left"/>
        <w:rPr>
          <w:rFonts w:ascii="Times New Roman" w:hAnsi="Times New Roman" w:cs="Times New Roman" w:eastAsia="Times New Roman"/>
          <w:b/>
          <w:color w:val="0000FF"/>
          <w:spacing w:val="0"/>
          <w:position w:val="0"/>
          <w:sz w:val="28"/>
          <w:shd w:fill="auto" w:val="clear"/>
        </w:rPr>
      </w:pPr>
      <w:r>
        <w:rPr>
          <w:rFonts w:ascii="Times New Roman" w:hAnsi="Times New Roman" w:cs="Times New Roman" w:eastAsia="Times New Roman"/>
          <w:b/>
          <w:color w:val="0000FF"/>
          <w:spacing w:val="0"/>
          <w:position w:val="0"/>
          <w:sz w:val="28"/>
          <w:shd w:fill="auto" w:val="clear"/>
        </w:rPr>
        <w:t xml:space="preserve">Weekly Focus </w:t>
      </w:r>
      <w:r>
        <w:rPr>
          <w:rFonts w:ascii="Times New Roman" w:hAnsi="Times New Roman" w:cs="Times New Roman" w:eastAsia="Times New Roman"/>
          <w:b/>
          <w:color w:val="0000FF"/>
          <w:spacing w:val="0"/>
          <w:position w:val="0"/>
          <w:sz w:val="28"/>
          <w:shd w:fill="auto" w:val="clear"/>
        </w:rPr>
        <w:t xml:space="preserve">–</w:t>
      </w:r>
      <w:r>
        <w:rPr>
          <w:rFonts w:ascii="Times New Roman" w:hAnsi="Times New Roman" w:cs="Times New Roman" w:eastAsia="Times New Roman"/>
          <w:b/>
          <w:color w:val="0000FF"/>
          <w:spacing w:val="0"/>
          <w:position w:val="0"/>
          <w:sz w:val="28"/>
          <w:shd w:fill="auto" w:val="clear"/>
        </w:rPr>
        <w:t xml:space="preserve"> Think About It</w:t>
      </w:r>
      <w:r>
        <w:rPr>
          <w:rFonts w:ascii="Times New Roman" w:hAnsi="Times New Roman" w:cs="Times New Roman" w:eastAsia="Times New Roman"/>
          <w:color w:val="0000FF"/>
          <w:spacing w:val="0"/>
          <w:position w:val="0"/>
          <w:sz w:val="28"/>
          <w:shd w:fill="auto" w:val="clear"/>
        </w:rPr>
        <w:t xml:space="preserve"> </w:t>
      </w:r>
    </w:p>
    <w:p>
      <w:pPr>
        <w:spacing w:before="0" w:after="0" w:line="240"/>
        <w:ind w:right="-36" w:left="0" w:firstLine="0"/>
        <w:jc w:val="left"/>
        <w:rPr>
          <w:rFonts w:ascii="Times New Roman" w:hAnsi="Times New Roman" w:cs="Times New Roman" w:eastAsia="Times New Roman"/>
          <w:color w:val="181818"/>
          <w:spacing w:val="0"/>
          <w:position w:val="0"/>
          <w:sz w:val="24"/>
          <w:shd w:fill="FFFFFF" w:val="clear"/>
        </w:rPr>
      </w:pPr>
    </w:p>
    <w:p>
      <w:pPr>
        <w:spacing w:before="0" w:after="0" w:line="240"/>
        <w:ind w:right="-36" w:left="0" w:firstLine="0"/>
        <w:jc w:val="left"/>
        <w:rPr>
          <w:rFonts w:ascii="Times New Roman" w:hAnsi="Times New Roman" w:cs="Times New Roman" w:eastAsia="Times New Roman"/>
          <w:color w:val="181818"/>
          <w:spacing w:val="0"/>
          <w:position w:val="0"/>
          <w:sz w:val="24"/>
          <w:shd w:fill="FFFFFF" w:val="clear"/>
        </w:rPr>
      </w:pPr>
      <w:r>
        <w:rPr>
          <w:rFonts w:ascii="Times New Roman" w:hAnsi="Times New Roman" w:cs="Times New Roman" w:eastAsia="Times New Roman"/>
          <w:color w:val="181818"/>
          <w:spacing w:val="0"/>
          <w:position w:val="0"/>
          <w:sz w:val="24"/>
          <w:shd w:fill="FFFFFF" w:val="clear"/>
        </w:rPr>
        <w:t xml:space="preserve">“A hangover is the wrath of grapes.” </w:t>
      </w:r>
    </w:p>
    <w:p>
      <w:pPr>
        <w:spacing w:before="0" w:after="0" w:line="240"/>
        <w:ind w:right="-36" w:left="0" w:firstLine="0"/>
        <w:jc w:val="right"/>
        <w:rPr>
          <w:rFonts w:ascii="Times New Roman" w:hAnsi="Times New Roman" w:cs="Times New Roman" w:eastAsia="Times New Roman"/>
          <w:i/>
          <w:color w:val="181818"/>
          <w:spacing w:val="0"/>
          <w:position w:val="0"/>
          <w:sz w:val="24"/>
          <w:shd w:fill="FFFFFF" w:val="clear"/>
        </w:rPr>
      </w:pPr>
      <w:r>
        <w:rPr>
          <w:rFonts w:ascii="Times New Roman" w:hAnsi="Times New Roman" w:cs="Times New Roman" w:eastAsia="Times New Roman"/>
          <w:i/>
          <w:color w:val="181818"/>
          <w:spacing w:val="0"/>
          <w:position w:val="0"/>
          <w:sz w:val="24"/>
          <w:shd w:fill="FFFFFF" w:val="clear"/>
        </w:rPr>
        <w:t xml:space="preserve">--Dorothy Parker, American poet</w:t>
      </w:r>
    </w:p>
    <w:p>
      <w:pPr>
        <w:spacing w:before="0" w:after="0" w:line="240"/>
        <w:ind w:right="-36" w:left="0" w:firstLine="0"/>
        <w:jc w:val="left"/>
        <w:rPr>
          <w:rFonts w:ascii="Times New Roman" w:hAnsi="Times New Roman" w:cs="Times New Roman" w:eastAsia="Times New Roman"/>
          <w:color w:val="181818"/>
          <w:spacing w:val="0"/>
          <w:position w:val="0"/>
          <w:sz w:val="24"/>
          <w:shd w:fill="FFFFFF"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Best regards,</w:t>
      </w:r>
    </w:p>
    <w:p>
      <w:pPr>
        <w:spacing w:before="0" w:after="0" w:line="240"/>
        <w:ind w:right="-36"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36" w:left="0" w:firstLine="0"/>
        <w:jc w:val="left"/>
        <w:rPr>
          <w:rFonts w:ascii="Times New Roman" w:hAnsi="Times New Roman" w:cs="Times New Roman" w:eastAsia="Times New Roman"/>
          <w:b/>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Chris Dumford, CFP®, AIF®</w:t>
      </w:r>
    </w:p>
    <w:p>
      <w:pPr>
        <w:spacing w:before="0" w:after="0" w:line="240"/>
        <w:ind w:right="-36" w:left="0" w:firstLine="0"/>
        <w:jc w:val="left"/>
        <w:rPr>
          <w:rFonts w:ascii="Times New Roman" w:hAnsi="Times New Roman" w:cs="Times New Roman" w:eastAsia="Times New Roman"/>
          <w:b/>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Larry Makatura, CFP</w:t>
      </w:r>
      <w:r>
        <w:rPr>
          <w:rFonts w:ascii="Times New Roman" w:hAnsi="Times New Roman" w:cs="Times New Roman" w:eastAsia="Times New Roman"/>
          <w:b/>
          <w:color w:val="0000FF"/>
          <w:spacing w:val="0"/>
          <w:position w:val="0"/>
          <w:sz w:val="24"/>
          <w:shd w:fill="auto" w:val="clear"/>
          <w:vertAlign w:val="superscript"/>
        </w:rPr>
        <w:t xml:space="preserve">®</w:t>
      </w:r>
      <w:r>
        <w:rPr>
          <w:rFonts w:ascii="Times New Roman" w:hAnsi="Times New Roman" w:cs="Times New Roman" w:eastAsia="Times New Roman"/>
          <w:b/>
          <w:color w:val="0000FF"/>
          <w:spacing w:val="0"/>
          <w:position w:val="0"/>
          <w:sz w:val="24"/>
          <w:shd w:fill="auto" w:val="clear"/>
        </w:rPr>
        <w:t xml:space="preserve">, AIF</w:t>
      </w:r>
      <w:r>
        <w:rPr>
          <w:rFonts w:ascii="Times New Roman" w:hAnsi="Times New Roman" w:cs="Times New Roman" w:eastAsia="Times New Roman"/>
          <w:b/>
          <w:color w:val="0000FF"/>
          <w:spacing w:val="0"/>
          <w:position w:val="0"/>
          <w:sz w:val="24"/>
          <w:shd w:fill="auto" w:val="clear"/>
          <w:vertAlign w:val="superscript"/>
        </w:rPr>
        <w:t xml:space="preserve">®</w:t>
      </w:r>
    </w:p>
    <w:p>
      <w:pPr>
        <w:spacing w:before="0" w:after="0" w:line="240"/>
        <w:ind w:right="-36"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  Please feel free to forward this commentary to family, friends, or colleagues. If you would like us to add them to the list, please reply to this email with their email address and we will ask for their permission to be added.</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Securities offered through </w:t>
      </w:r>
      <w:r>
        <w:rPr>
          <w:rFonts w:ascii="Times New Roman" w:hAnsi="Times New Roman" w:cs="Times New Roman" w:eastAsia="Times New Roman"/>
          <w:b/>
          <w:color w:val="auto"/>
          <w:spacing w:val="0"/>
          <w:position w:val="0"/>
          <w:sz w:val="24"/>
          <w:shd w:fill="auto" w:val="clear"/>
        </w:rPr>
        <w:t xml:space="preserve">LPL Financial</w:t>
      </w:r>
      <w:r>
        <w:rPr>
          <w:rFonts w:ascii="Times New Roman" w:hAnsi="Times New Roman" w:cs="Times New Roman" w:eastAsia="Times New Roman"/>
          <w:color w:val="auto"/>
          <w:spacing w:val="0"/>
          <w:position w:val="0"/>
          <w:sz w:val="24"/>
          <w:shd w:fill="auto" w:val="clear"/>
        </w:rPr>
        <w:t xml:space="preserve">, Member FINRA/SIPC.</w:t>
      </w:r>
    </w:p>
    <w:p>
      <w:pPr>
        <w:spacing w:before="0" w:after="0" w:line="240"/>
        <w:ind w:right="-36"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These views are those of Carson Coaching, and not the presenting Representative, the Representative’s Broker/Dealer, or Registered Investment Advisor, and should not be construed as investment advice.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This newsletter was prepared by Carson Coaching. Carson Coaching is not affiliated with the named firm.</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Standard &amp; Poor's 500 (S&amp;P 500) is an unmanaged group of securities considered to be representative of the stock market in general. You cannot invest directly in this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Dow Jones Global ex-U.S. Index covers approximately 95% of the market capitalization of the 45 developed and emerging countries included in the Index.</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10-year Treasury Note represents debt owed by the United States Treasury to the public. Since the U.S. Government is seen as a risk-free borrower, investors use the 10-year Treasury Note as a benchmark for the long-term bond market.</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Gold represents the afternoon gold price as reported by the London Bullion Market Association. The gold price is set twice daily by the London Gold Fixing Company at 10:30 and 15:00 and is expressed in U.S. dollars per fine troy ounce.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Bloomberg Commodity Index is designed to be a highly liquid and diversified benchmark for the commodity futures market. The Index is composed of futures contracts on 19 physical commodities and was launched on July 14, 1998.</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DJ Equity All REIT Total Return Index measures the total return performance of the equity subcategory of the Real Estate Investment Trust (REIT) industry as calculated by Dow Jones.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Dow Jones Industrial Average (DJIA), commonly known as “The Dow,” is an index representing 30 stock of companies maintained and reviewed by the editors of The Wall Street Journal.</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 NASDAQ Composite is an unmanaged index of securities traded on the NASDAQ system.</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International investing involves special risks such as currency fluctuation and political instability and may not be suitable for all investors. These risks are often heightened for investments in emerging markets.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Yahoo! Finance is the source for any reference to the performance of an index between two specific periods.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Opinions expressed are subject to change without notice and are not intended as investment advice or to predict future performance.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Economic forecasts set forth may not develop as predicted and there can be no guarantee that strategies promoted will be successful.</w:t>
      </w:r>
    </w:p>
    <w:p>
      <w:pPr>
        <w:spacing w:before="0" w:after="0" w:line="240"/>
        <w:ind w:right="-36" w:left="0" w:firstLine="0"/>
        <w:jc w:val="left"/>
        <w:rPr>
          <w:rFonts w:ascii="Times New Roman" w:hAnsi="Times New Roman" w:cs="Times New Roman" w:eastAsia="Times New Roman"/>
          <w:color w:val="FFFFFF"/>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Past performance does not guarantee future results. Investing involves risk, including loss of principal.</w:t>
      </w:r>
    </w:p>
    <w:p>
      <w:pPr>
        <w:spacing w:before="0" w:after="0" w:line="240"/>
        <w:ind w:right="-36"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FFFFFF" w:val="clear"/>
        </w:rPr>
        <w:t xml:space="preserve">The foregoing information has been obtained from sources considered to be reliable, but we do not guarantee it is accurate or complete.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There is no guarantee a diversified portfolio will enhance overall returns or outperform a non-diversified portfolio. Diversification does not protect against market risk.</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Asset allocation does not ensure a profit or protect against a loss.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Consult your financial professional before making any investment decision.</w:t>
      </w:r>
    </w:p>
    <w:p>
      <w:pPr>
        <w:spacing w:before="0" w:after="0" w:line="240"/>
        <w:ind w:right="-36"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 unsubscribe from the </w:t>
      </w:r>
      <w:r>
        <w:rPr>
          <w:rFonts w:ascii="Times New Roman" w:hAnsi="Times New Roman" w:cs="Times New Roman" w:eastAsia="Times New Roman"/>
          <w:color w:val="0000FF"/>
          <w:spacing w:val="0"/>
          <w:position w:val="0"/>
          <w:sz w:val="22"/>
          <w:shd w:fill="auto" w:val="clear"/>
        </w:rPr>
        <w:t xml:space="preserve">Horizon Wealth Management Weekly Market Commentary </w:t>
      </w:r>
      <w:r>
        <w:rPr>
          <w:rFonts w:ascii="Times New Roman" w:hAnsi="Times New Roman" w:cs="Times New Roman" w:eastAsia="Times New Roman"/>
          <w:color w:val="auto"/>
          <w:spacing w:val="0"/>
          <w:position w:val="0"/>
          <w:sz w:val="22"/>
          <w:shd w:fill="auto" w:val="clear"/>
        </w:rPr>
        <w:t xml:space="preserve">please reply to this email with “Unsubscribe” in the subject line or write us at </w:t>
      </w:r>
      <w:r>
        <w:rPr>
          <w:rFonts w:ascii="Times New Roman" w:hAnsi="Times New Roman" w:cs="Times New Roman" w:eastAsia="Times New Roman"/>
          <w:color w:val="0000FF"/>
          <w:spacing w:val="0"/>
          <w:position w:val="0"/>
          <w:sz w:val="22"/>
          <w:shd w:fill="auto" w:val="clear"/>
        </w:rPr>
        <w:t xml:space="preserve">Horizon Wealth Management, 2801 Townsgate Road, Suite 106, Westlake Village, CA 91361.</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Sources:</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https://markets.ft.com/data/world</w:t>
        </w:r>
      </w:hyperlink>
      <w:r>
        <w:rPr>
          <w:rFonts w:ascii="Times New Roman" w:hAnsi="Times New Roman" w:cs="Times New Roman" w:eastAsia="Times New Roman"/>
          <w:color w:val="auto"/>
          <w:spacing w:val="0"/>
          <w:position w:val="0"/>
          <w:sz w:val="22"/>
          <w:shd w:fill="auto" w:val="clear"/>
        </w:rPr>
        <w:t xml:space="preserve"> (Click on ‘Global indices’ at the bottom left of the map and choose ‘5 day’) (</w:t>
      </w:r>
      <w:r>
        <w:rPr>
          <w:rFonts w:ascii="Times New Roman" w:hAnsi="Times New Roman" w:cs="Times New Roman" w:eastAsia="Times New Roman"/>
          <w:i/>
          <w:color w:val="auto"/>
          <w:spacing w:val="0"/>
          <w:position w:val="0"/>
          <w:sz w:val="22"/>
          <w:shd w:fill="auto" w:val="clear"/>
        </w:rPr>
        <w:t xml:space="preserve">or go to</w:t>
      </w: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https://peakcontent.s3-us-west-2.amazonaws.com/+Peak+Commentary/02-18-20_FinancialTimes-Global_World_Markets_Indices-Footnote_1.pdf</w:t>
        </w:r>
      </w:hyperlink>
      <w:r>
        <w:rPr>
          <w:rFonts w:ascii="Times New Roman" w:hAnsi="Times New Roman" w:cs="Times New Roman" w:eastAsia="Times New Roman"/>
          <w:color w:val="auto"/>
          <w:spacing w:val="0"/>
          <w:position w:val="0"/>
          <w:sz w:val="22"/>
          <w:shd w:fill="auto" w:val="clear"/>
        </w:rPr>
        <w:t xml:space="preserv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https://www.ft.com/content/8732e814-4e82-11ea-95a0-43d18ec715f5</w:t>
        </w:r>
      </w:hyperlink>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w:t>
      </w:r>
      <w:r>
        <w:rPr>
          <w:rFonts w:ascii="Times New Roman" w:hAnsi="Times New Roman" w:cs="Times New Roman" w:eastAsia="Times New Roman"/>
          <w:i/>
          <w:color w:val="auto"/>
          <w:spacing w:val="0"/>
          <w:position w:val="0"/>
          <w:sz w:val="22"/>
          <w:u w:val="single"/>
          <w:shd w:fill="auto" w:val="clear"/>
        </w:rPr>
        <w:t xml:space="preserve">or go to</w:t>
      </w:r>
      <w:r>
        <w:rPr>
          <w:rFonts w:ascii="Times New Roman" w:hAnsi="Times New Roman" w:cs="Times New Roman" w:eastAsia="Times New Roman"/>
          <w:color w:val="auto"/>
          <w:spacing w:val="0"/>
          <w:position w:val="0"/>
          <w:sz w:val="22"/>
          <w:u w:val="single"/>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https://peakcontent.s3-us-west-2.amazonaws.com/+Peak+Commentary/02-18-20_FinancialTimes-Investor_Complacency_Sets_in_While_Coronavirus_Spreads-Footnote_2.pdf</w:t>
        </w:r>
      </w:hyperlink>
      <w:r>
        <w:rPr>
          <w:rFonts w:ascii="Times New Roman" w:hAnsi="Times New Roman" w:cs="Times New Roman" w:eastAsia="Times New Roman"/>
          <w:color w:val="auto"/>
          <w:spacing w:val="0"/>
          <w:position w:val="0"/>
          <w:sz w:val="22"/>
          <w:shd w:fill="auto" w:val="clear"/>
        </w:rPr>
        <w:t xml:space="preserv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https://www.barrons.com/articles/dow-jones-industrial-average-gained-1-this-week-as-stocks-ignore-the-coronavirus-51581726118?mod=hp_DAY_1</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or go to</w:t>
      </w: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https://peakcontent.s3-us-west-</w:t>
        </w:r>
        <w:r>
          <w:rPr>
            <w:rFonts w:ascii="Times New Roman" w:hAnsi="Times New Roman" w:cs="Times New Roman" w:eastAsia="Times New Roman"/>
            <w:color w:val="0000FF"/>
            <w:spacing w:val="0"/>
            <w:position w:val="0"/>
            <w:sz w:val="22"/>
            <w:u w:val="single"/>
            <w:shd w:fill="auto" w:val="clear"/>
          </w:rPr>
          <w:t xml:space="preserve"> HYPERLINK "https://peakcontent.s3-us-west-2.amazonaws.com/+Peak+Commentary/02-18-20_Barrons-The_Dow_Jones_Industrial_Average_Gained_1_Percent_this_Week-Let_It_Ride-Footnote_3.pdf"</w:t>
        </w:r>
        <w:r>
          <w:rPr>
            <w:rFonts w:ascii="Times New Roman" w:hAnsi="Times New Roman" w:cs="Times New Roman" w:eastAsia="Times New Roman"/>
            <w:color w:val="0000FF"/>
            <w:spacing w:val="0"/>
            <w:position w:val="0"/>
            <w:sz w:val="22"/>
            <w:u w:val="single"/>
            <w:shd w:fill="auto" w:val="clear"/>
          </w:rPr>
          <w:t xml:space="preserve">2.amazonaws.com/+Peak+Commentary/0</w:t>
        </w:r>
        <w:r>
          <w:rPr>
            <w:rFonts w:ascii="Times New Roman" w:hAnsi="Times New Roman" w:cs="Times New Roman" w:eastAsia="Times New Roman"/>
            <w:color w:val="0000FF"/>
            <w:spacing w:val="0"/>
            <w:position w:val="0"/>
            <w:sz w:val="22"/>
            <w:u w:val="single"/>
            <w:shd w:fill="auto" w:val="clear"/>
          </w:rPr>
          <w:t xml:space="preserve"> HYPERLINK "https://peakcontent.s3-us-west-2.amazonaws.com/+Peak+Commentary/02-18-20_Barrons-The_Dow_Jones_Industrial_Average_Gained_1_Percent_this_Week-Let_It_Ride-Footnote_3.pdf"</w:t>
        </w:r>
        <w:r>
          <w:rPr>
            <w:rFonts w:ascii="Times New Roman" w:hAnsi="Times New Roman" w:cs="Times New Roman" w:eastAsia="Times New Roman"/>
            <w:color w:val="0000FF"/>
            <w:spacing w:val="0"/>
            <w:position w:val="0"/>
            <w:sz w:val="22"/>
            <w:u w:val="single"/>
            <w:shd w:fill="auto" w:val="clear"/>
          </w:rPr>
          <w:t xml:space="preserve">2-18-20_Barrons-</w:t>
        </w:r>
        <w:r>
          <w:rPr>
            <w:rFonts w:ascii="Times New Roman" w:hAnsi="Times New Roman" w:cs="Times New Roman" w:eastAsia="Times New Roman"/>
            <w:color w:val="0000FF"/>
            <w:spacing w:val="0"/>
            <w:position w:val="0"/>
            <w:sz w:val="22"/>
            <w:u w:val="single"/>
            <w:shd w:fill="auto" w:val="clear"/>
          </w:rPr>
          <w:t xml:space="preserve"> HYPERLINK "https://peakcontent.s3-us-west-2.amazonaws.com/+Peak+Commentary/02-18-20_Barrons-The_Dow_Jones_Industrial_Average_Gained_1_Percent_this_Week-Let_It_Ride-Footnote_3.pdf"</w:t>
        </w:r>
        <w:r>
          <w:rPr>
            <w:rFonts w:ascii="Times New Roman" w:hAnsi="Times New Roman" w:cs="Times New Roman" w:eastAsia="Times New Roman"/>
            <w:color w:val="0000FF"/>
            <w:spacing w:val="0"/>
            <w:position w:val="0"/>
            <w:sz w:val="22"/>
            <w:u w:val="single"/>
            <w:shd w:fill="auto" w:val="clear"/>
          </w:rPr>
          <w:t xml:space="preserve">The_Dow_Jones_Industrial_Average_Gained_1_Percent_this_Week-Let_It_Ride-Footnote_3.pdf</w:t>
        </w:r>
      </w:hyperlink>
      <w:r>
        <w:rPr>
          <w:rFonts w:ascii="Times New Roman" w:hAnsi="Times New Roman" w:cs="Times New Roman" w:eastAsia="Times New Roman"/>
          <w:color w:val="auto"/>
          <w:spacing w:val="0"/>
          <w:position w:val="0"/>
          <w:sz w:val="22"/>
          <w:shd w:fill="auto" w:val="clear"/>
        </w:rPr>
        <w:t xml:space="preserve">)</w:t>
      </w:r>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https://www.treasury.gov/resource-center/data-chart-center/interest-rates/pages/textview.aspx?data=yield</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https://www.investopedia.com/terms/y/yieldcurve.asp</w:t>
        </w:r>
      </w:hyperlink>
    </w:p>
    <w:p>
      <w:pPr>
        <w:spacing w:before="0" w:after="0" w:line="240"/>
        <w:ind w:right="-36" w:left="0" w:firstLine="0"/>
        <w:jc w:val="left"/>
        <w:rPr>
          <w:rFonts w:ascii="Times New Roman" w:hAnsi="Times New Roman" w:cs="Times New Roman" w:eastAsia="Times New Roman"/>
          <w:color w:val="0000FF"/>
          <w:spacing w:val="0"/>
          <w:position w:val="0"/>
          <w:sz w:val="22"/>
          <w:u w:val="single"/>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https://www.health.harvard.edu/staying-healthy/7-steps-to-cure-your-hangover-and-ginkgo-biloba-whats-the-verdict</w:t>
        </w:r>
      </w:hyperlink>
    </w:p>
    <w:p>
      <w:pPr>
        <w:spacing w:before="0" w:after="0" w:line="240"/>
        <w:ind w:right="-36" w:left="0" w:firstLine="0"/>
        <w:jc w:val="left"/>
        <w:rPr>
          <w:rFonts w:ascii="Times New Roman" w:hAnsi="Times New Roman" w:cs="Times New Roman" w:eastAsia="Times New Roman"/>
          <w:color w:val="000000"/>
          <w:spacing w:val="0"/>
          <w:position w:val="0"/>
          <w:sz w:val="22"/>
          <w:u w:val="single"/>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https://www.washingtonpost.com/business/2019/12/19/drinking-with-no-consequences-this-was-year-hangover-hack/</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https://www.businessinsider.com/bars-no-alcohol-sober-dry-january-nyc-2020-1</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https://www.goodreads.com/quotes/370656-a-hangover-is-the-wrath-of-grapes</w:t>
        </w:r>
      </w:hyperlink>
    </w:p>
    <w:p>
      <w:pPr>
        <w:spacing w:before="0" w:after="0" w:line="240"/>
        <w:ind w:right="-36"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s://peakcontent.s3-us-west-2.amazonaws.com/+Peak+Commentary/02-18-20_FinancialTimes-Investor_Complacency_Sets_in_While_Coronavirus_Spreads-Footnote_2.pdf" Id="docRId3" Type="http://schemas.openxmlformats.org/officeDocument/2006/relationships/hyperlink" /><Relationship TargetMode="External" Target="https://www.investopedia.com/terms/y/yieldcurve.asp" Id="docRId7" Type="http://schemas.openxmlformats.org/officeDocument/2006/relationships/hyperlink" /><Relationship TargetMode="External" Target="https://www.businessinsider.com/bars-no-alcohol-sober-dry-january-nyc-2020-1" Id="docRId10" Type="http://schemas.openxmlformats.org/officeDocument/2006/relationships/hyperlink" /><Relationship TargetMode="External" Target="https://www.ft.com/content/8732e814-4e82-11ea-95a0-43d18ec715f5" Id="docRId2" Type="http://schemas.openxmlformats.org/officeDocument/2006/relationships/hyperlink" /><Relationship TargetMode="External" Target="https://www.treasury.gov/resource-center/data-chart-center/interest-rates/pages/textview.aspx?data=yield" Id="docRId6" Type="http://schemas.openxmlformats.org/officeDocument/2006/relationships/hyperlink" /><Relationship TargetMode="External" Target="https://peakcontent.s3-us-west-2.amazonaws.com/+Peak+Commentary/02-18-20_FinancialTimes-Global_World_Markets_Indices-Footnote_1.pdf" Id="docRId1" Type="http://schemas.openxmlformats.org/officeDocument/2006/relationships/hyperlink" /><Relationship TargetMode="External" Target="https://www.goodreads.com/quotes/370656-a-hangover-is-the-wrath-of-grapes" Id="docRId11" Type="http://schemas.openxmlformats.org/officeDocument/2006/relationships/hyperlink" /><Relationship TargetMode="External" Target="https://peakcontent.s3-us-west-2.amazonaws.com/+Peak+Commentary/02-18-20_Barrons-The_Dow_Jones_Industrial_Average_Gained_1_Percent_this_Week-Let_It_Ride-Footnote_3.pdf" Id="docRId5" Type="http://schemas.openxmlformats.org/officeDocument/2006/relationships/hyperlink" /><Relationship TargetMode="External" Target="https://www.washingtonpost.com/business/2019/12/19/drinking-with-no-consequences-this-was-year-hangover-hack/" Id="docRId9" Type="http://schemas.openxmlformats.org/officeDocument/2006/relationships/hyperlink" /><Relationship TargetMode="External" Target="https://markets.ft.com/data/world" Id="docRId0" Type="http://schemas.openxmlformats.org/officeDocument/2006/relationships/hyperlink" /><Relationship Target="numbering.xml" Id="docRId12" Type="http://schemas.openxmlformats.org/officeDocument/2006/relationships/numbering" /><Relationship TargetMode="External" Target="https://www.barrons.com/articles/dow-jones-industrial-average-gained-1-this-week-as-stocks-ignore-the-coronavirus-51581726118?mod=hp_DAY_1" Id="docRId4" Type="http://schemas.openxmlformats.org/officeDocument/2006/relationships/hyperlink" /><Relationship TargetMode="External" Target="https://www.health.harvard.edu/staying-healthy/7-steps-to-cure-your-hangover-and-ginkgo-biloba-whats-the-verdict" Id="docRId8" Type="http://schemas.openxmlformats.org/officeDocument/2006/relationships/hyperlink" /></Relationships>
</file>