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10224"/>
      </w:tblGrid>
      <w:tr w:rsidR="00FA1EA8" w:rsidRPr="00FA1EA8" w:rsidTr="00FA1EA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A1EA8" w:rsidRPr="00FA1EA8">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A1EA8" w:rsidRPr="00FA1EA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A1EA8" w:rsidRPr="00FA1EA8" w:rsidTr="00FA1EA8">
                          <w:trPr>
                            <w:trHeight w:val="23"/>
                          </w:trPr>
                          <w:tc>
                            <w:tcPr>
                              <w:tcW w:w="0" w:type="auto"/>
                              <w:tcMar>
                                <w:top w:w="135" w:type="dxa"/>
                                <w:left w:w="0" w:type="dxa"/>
                                <w:bottom w:w="0" w:type="dxa"/>
                                <w:right w:w="0" w:type="dxa"/>
                              </w:tcMar>
                            </w:tcPr>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r w:rsidR="00FA1EA8" w:rsidRPr="00FA1EA8">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135" w:type="dxa"/>
                                            <w:right w:w="270" w:type="dxa"/>
                                          </w:tcMar>
                                          <w:hideMark/>
                                        </w:tcPr>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vanish/>
                            <w:sz w:val="22"/>
                            <w:szCs w:val="22"/>
                          </w:rPr>
                        </w:pPr>
                      </w:p>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hideMark/>
                                  </w:tcPr>
                                  <w:p w:rsidR="00FA1EA8" w:rsidRPr="00FA1EA8" w:rsidRDefault="00FA1EA8">
                                    <w:pPr>
                                      <w:jc w:val="center"/>
                                      <w:rPr>
                                        <w:rFonts w:eastAsia="Times New Roman"/>
                                        <w:sz w:val="22"/>
                                        <w:szCs w:val="22"/>
                                      </w:rPr>
                                    </w:pPr>
                                    <w:r w:rsidRPr="00FA1EA8">
                                      <w:rPr>
                                        <w:rFonts w:eastAsia="Times New Roman"/>
                                        <w:noProof/>
                                        <w:sz w:val="22"/>
                                        <w:szCs w:val="22"/>
                                      </w:rPr>
                                      <w:drawing>
                                        <wp:inline distT="0" distB="0" distL="0" distR="0">
                                          <wp:extent cx="5709285" cy="2838450"/>
                                          <wp:effectExtent l="0" t="0" r="5715" b="0"/>
                                          <wp:docPr id="3" name="Picture 3" descr="https://gallery.mailchimp.com/4a0cce2d4f89a26676d675837/images/6caf9af5-fbb1-42b5-a2f9-898dcc9f4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a0cce2d4f89a26676d675837/images/6caf9af5-fbb1-42b5-a2f9-898dcc9f47a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285" cy="2838450"/>
                                                  </a:xfrm>
                                                  <a:prstGeom prst="rect">
                                                    <a:avLst/>
                                                  </a:prstGeom>
                                                  <a:noFill/>
                                                  <a:ln>
                                                    <a:noFill/>
                                                  </a:ln>
                                                </pic:spPr>
                                              </pic:pic>
                                            </a:graphicData>
                                          </a:graphic>
                                        </wp:inline>
                                      </w:drawing>
                                    </w: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r w:rsidR="00FA1EA8" w:rsidRPr="00FA1EA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135" w:type="dxa"/>
                                            <w:right w:w="270" w:type="dxa"/>
                                          </w:tcMar>
                                          <w:hideMark/>
                                        </w:tcPr>
                                        <w:p w:rsidR="00FA1EA8" w:rsidRPr="00FA1EA8" w:rsidRDefault="00FA1EA8">
                                          <w:pPr>
                                            <w:pStyle w:val="Heading2"/>
                                            <w:rPr>
                                              <w:rFonts w:eastAsia="Times New Roman"/>
                                              <w:sz w:val="22"/>
                                              <w:szCs w:val="22"/>
                                            </w:rPr>
                                          </w:pPr>
                                          <w:r w:rsidRPr="00FA1EA8">
                                            <w:rPr>
                                              <w:rFonts w:eastAsia="Times New Roman"/>
                                              <w:sz w:val="22"/>
                                              <w:szCs w:val="22"/>
                                            </w:rPr>
                                            <w:br/>
                                          </w:r>
                                          <w:r w:rsidRPr="00FA1EA8">
                                            <w:rPr>
                                              <w:rStyle w:val="Strong"/>
                                              <w:rFonts w:eastAsia="Times New Roman"/>
                                              <w:b/>
                                              <w:bCs/>
                                              <w:color w:val="00CCFF"/>
                                              <w:sz w:val="22"/>
                                              <w:szCs w:val="22"/>
                                            </w:rPr>
                                            <w:t xml:space="preserve">MassMutual Broker Webcast Series </w:t>
                                          </w:r>
                                          <w:r w:rsidRPr="00FA1EA8">
                                            <w:rPr>
                                              <w:rFonts w:eastAsia="Times New Roman"/>
                                              <w:sz w:val="22"/>
                                              <w:szCs w:val="22"/>
                                            </w:rPr>
                                            <w:br/>
                                          </w:r>
                                          <w:r w:rsidRPr="00FA1EA8">
                                            <w:rPr>
                                              <w:rFonts w:ascii="Arial" w:eastAsia="Times New Roman" w:hAnsi="Arial" w:cs="Arial"/>
                                              <w:color w:val="000099"/>
                                              <w:sz w:val="22"/>
                                              <w:szCs w:val="22"/>
                                            </w:rPr>
                                            <w:t>MassMutual’s long term care planning solutions</w:t>
                                          </w:r>
                                          <w:r w:rsidRPr="00FA1EA8">
                                            <w:rPr>
                                              <w:rFonts w:ascii="Arial" w:eastAsia="Times New Roman" w:hAnsi="Arial" w:cs="Arial"/>
                                              <w:color w:val="000099"/>
                                              <w:sz w:val="22"/>
                                              <w:szCs w:val="22"/>
                                            </w:rPr>
                                            <w:br/>
                                          </w:r>
                                          <w:r w:rsidRPr="00FA1EA8">
                                            <w:rPr>
                                              <w:rStyle w:val="Strong"/>
                                              <w:rFonts w:ascii="Arial" w:eastAsia="Times New Roman" w:hAnsi="Arial" w:cs="Arial"/>
                                              <w:b/>
                                              <w:bCs/>
                                              <w:color w:val="000099"/>
                                              <w:sz w:val="22"/>
                                              <w:szCs w:val="22"/>
                                            </w:rPr>
                                            <w:t>November 21 – 2 p.m. ET</w:t>
                                          </w: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vanish/>
                            <w:sz w:val="22"/>
                            <w:szCs w:val="22"/>
                          </w:rPr>
                        </w:pPr>
                      </w:p>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135" w:type="dxa"/>
                                            <w:right w:w="270" w:type="dxa"/>
                                          </w:tcMar>
                                          <w:hideMark/>
                                        </w:tcPr>
                                        <w:p w:rsidR="00FA1EA8" w:rsidRPr="00FA1EA8" w:rsidRDefault="00FA1EA8" w:rsidP="00FA1EA8">
                                          <w:pPr>
                                            <w:spacing w:line="360" w:lineRule="auto"/>
                                            <w:rPr>
                                              <w:rFonts w:ascii="Helvetica" w:eastAsia="Times New Roman" w:hAnsi="Helvetica" w:cs="Helvetica"/>
                                              <w:color w:val="202020"/>
                                              <w:sz w:val="22"/>
                                              <w:szCs w:val="22"/>
                                            </w:rPr>
                                          </w:pPr>
                                          <w:r w:rsidRPr="00FA1EA8">
                                            <w:rPr>
                                              <w:rFonts w:ascii="Arial" w:eastAsia="Times New Roman" w:hAnsi="Arial" w:cs="Arial"/>
                                              <w:color w:val="202020"/>
                                              <w:sz w:val="22"/>
                                              <w:szCs w:val="22"/>
                                            </w:rPr>
                                            <w:t xml:space="preserve">November is long term care insurance awareness month. We will review MassMutual’s three long term care insurance planning solutions for your clients: our stand-alone product, </w:t>
                                          </w:r>
                                          <w:proofErr w:type="spellStart"/>
                                          <w:r w:rsidRPr="00FA1EA8">
                                            <w:rPr>
                                              <w:rStyle w:val="Strong"/>
                                              <w:rFonts w:ascii="Arial" w:eastAsia="Times New Roman" w:hAnsi="Arial" w:cs="Arial"/>
                                              <w:color w:val="000066"/>
                                              <w:sz w:val="22"/>
                                              <w:szCs w:val="22"/>
                                            </w:rPr>
                                            <w:t>SignatureCare</w:t>
                                          </w:r>
                                          <w:proofErr w:type="spellEnd"/>
                                          <w:r w:rsidRPr="00FA1EA8">
                                            <w:rPr>
                                              <w:rStyle w:val="Strong"/>
                                              <w:rFonts w:ascii="Arial" w:eastAsia="Times New Roman" w:hAnsi="Arial" w:cs="Arial"/>
                                              <w:color w:val="000066"/>
                                              <w:sz w:val="22"/>
                                              <w:szCs w:val="22"/>
                                            </w:rPr>
                                            <w:t xml:space="preserve"> 600</w:t>
                                          </w:r>
                                          <w:r w:rsidRPr="00FA1EA8">
                                            <w:rPr>
                                              <w:rFonts w:ascii="Arial" w:eastAsia="Times New Roman" w:hAnsi="Arial" w:cs="Arial"/>
                                              <w:color w:val="202020"/>
                                              <w:sz w:val="22"/>
                                              <w:szCs w:val="22"/>
                                            </w:rPr>
                                            <w:t xml:space="preserve">; </w:t>
                                          </w:r>
                                          <w:proofErr w:type="spellStart"/>
                                          <w:r w:rsidRPr="00FA1EA8">
                                            <w:rPr>
                                              <w:rStyle w:val="Strong"/>
                                              <w:rFonts w:ascii="Arial" w:eastAsia="Times New Roman" w:hAnsi="Arial" w:cs="Arial"/>
                                              <w:color w:val="000066"/>
                                              <w:sz w:val="22"/>
                                              <w:szCs w:val="22"/>
                                            </w:rPr>
                                            <w:t>CareChoice</w:t>
                                          </w:r>
                                          <w:proofErr w:type="spellEnd"/>
                                          <w:r w:rsidRPr="00FA1EA8">
                                            <w:rPr>
                                              <w:rStyle w:val="Strong"/>
                                              <w:rFonts w:ascii="Arial" w:eastAsia="Times New Roman" w:hAnsi="Arial" w:cs="Arial"/>
                                              <w:color w:val="000066"/>
                                              <w:sz w:val="22"/>
                                              <w:szCs w:val="22"/>
                                            </w:rPr>
                                            <w:t xml:space="preserve"> One</w:t>
                                          </w:r>
                                          <w:r w:rsidRPr="00FA1EA8">
                                            <w:rPr>
                                              <w:rFonts w:ascii="Arial" w:eastAsia="Times New Roman" w:hAnsi="Arial" w:cs="Arial"/>
                                              <w:color w:val="202020"/>
                                              <w:sz w:val="22"/>
                                              <w:szCs w:val="22"/>
                                            </w:rPr>
                                            <w:t xml:space="preserve">, a life/long term care insurance combination product; and the </w:t>
                                          </w:r>
                                          <w:proofErr w:type="spellStart"/>
                                          <w:r w:rsidRPr="00FA1EA8">
                                            <w:rPr>
                                              <w:rStyle w:val="Strong"/>
                                              <w:rFonts w:ascii="Arial" w:eastAsia="Times New Roman" w:hAnsi="Arial" w:cs="Arial"/>
                                              <w:color w:val="000066"/>
                                              <w:sz w:val="22"/>
                                              <w:szCs w:val="22"/>
                                            </w:rPr>
                                            <w:t>LTCAccess</w:t>
                                          </w:r>
                                          <w:proofErr w:type="spellEnd"/>
                                          <w:r w:rsidRPr="00FA1EA8">
                                            <w:rPr>
                                              <w:rStyle w:val="Strong"/>
                                              <w:rFonts w:ascii="Arial" w:eastAsia="Times New Roman" w:hAnsi="Arial" w:cs="Arial"/>
                                              <w:color w:val="000066"/>
                                              <w:sz w:val="22"/>
                                              <w:szCs w:val="22"/>
                                            </w:rPr>
                                            <w:t xml:space="preserve"> Rider (LTCR)</w:t>
                                          </w:r>
                                          <w:r w:rsidRPr="00FA1EA8">
                                            <w:rPr>
                                              <w:rFonts w:ascii="Arial" w:eastAsia="Times New Roman" w:hAnsi="Arial" w:cs="Arial"/>
                                              <w:color w:val="202020"/>
                                              <w:sz w:val="22"/>
                                              <w:szCs w:val="22"/>
                                            </w:rPr>
                                            <w:t>, when added to a MassMutual Whole Life Legacy (Legacy) insurance policy can help your clients address both life insurance and long term care protection needs with a single policy.</w:t>
                                          </w:r>
                                          <w:r w:rsidRPr="00FA1EA8">
                                            <w:rPr>
                                              <w:rFonts w:ascii="Helvetica" w:eastAsia="Times New Roman" w:hAnsi="Helvetica" w:cs="Helvetica"/>
                                              <w:color w:val="202020"/>
                                              <w:sz w:val="22"/>
                                              <w:szCs w:val="22"/>
                                            </w:rPr>
                                            <w:br/>
                                            <w:t> </w:t>
                                          </w:r>
                                          <w:r w:rsidRPr="00FA1EA8">
                                            <w:rPr>
                                              <w:rFonts w:ascii="Helvetica" w:eastAsia="Times New Roman" w:hAnsi="Helvetica" w:cs="Helvetica"/>
                                              <w:color w:val="000066"/>
                                              <w:sz w:val="22"/>
                                              <w:szCs w:val="22"/>
                                            </w:rPr>
                                            <w:t>Register in advance for this webinar:</w:t>
                                          </w: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vanish/>
                            <w:sz w:val="22"/>
                            <w:szCs w:val="22"/>
                          </w:rPr>
                        </w:pPr>
                      </w:p>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270" w:type="dxa"/>
                                <w:right w:w="270" w:type="dxa"/>
                              </w:tcMar>
                              <w:hideMark/>
                            </w:tcPr>
                            <w:tbl>
                              <w:tblPr>
                                <w:tblW w:w="0" w:type="auto"/>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2130"/>
                              </w:tblGrid>
                              <w:tr w:rsidR="00FA1EA8" w:rsidRPr="00FA1EA8">
                                <w:trPr>
                                  <w:jc w:val="center"/>
                                </w:trPr>
                                <w:tc>
                                  <w:tcPr>
                                    <w:tcW w:w="0" w:type="auto"/>
                                    <w:tcBorders>
                                      <w:top w:val="single" w:sz="18" w:space="0" w:color="auto"/>
                                      <w:left w:val="single" w:sz="18" w:space="0" w:color="auto"/>
                                      <w:bottom w:val="single" w:sz="18" w:space="0" w:color="auto"/>
                                      <w:right w:val="single" w:sz="18" w:space="0" w:color="auto"/>
                                    </w:tcBorders>
                                    <w:tcMar>
                                      <w:top w:w="270" w:type="dxa"/>
                                      <w:left w:w="270" w:type="dxa"/>
                                      <w:bottom w:w="270" w:type="dxa"/>
                                      <w:right w:w="270" w:type="dxa"/>
                                    </w:tcMar>
                                    <w:vAlign w:val="center"/>
                                    <w:hideMark/>
                                  </w:tcPr>
                                  <w:p w:rsidR="00FA1EA8" w:rsidRPr="00FA1EA8" w:rsidRDefault="00FA1EA8">
                                    <w:pPr>
                                      <w:jc w:val="center"/>
                                      <w:rPr>
                                        <w:rFonts w:ascii="Arial" w:eastAsia="Times New Roman" w:hAnsi="Arial" w:cs="Arial"/>
                                        <w:sz w:val="22"/>
                                        <w:szCs w:val="22"/>
                                      </w:rPr>
                                    </w:pPr>
                                    <w:hyperlink r:id="rId5" w:tgtFrame="_blank" w:tooltip="Register Today" w:history="1">
                                      <w:r w:rsidRPr="00FA1EA8">
                                        <w:rPr>
                                          <w:rStyle w:val="Hyperlink"/>
                                          <w:rFonts w:ascii="Arial" w:eastAsia="Times New Roman" w:hAnsi="Arial" w:cs="Arial"/>
                                          <w:b/>
                                          <w:bCs/>
                                          <w:color w:val="002E6D"/>
                                          <w:sz w:val="22"/>
                                          <w:szCs w:val="22"/>
                                        </w:rPr>
                                        <w:t>Register Today</w:t>
                                      </w:r>
                                    </w:hyperlink>
                                    <w:r w:rsidRPr="00FA1EA8">
                                      <w:rPr>
                                        <w:rFonts w:ascii="Arial" w:eastAsia="Times New Roman" w:hAnsi="Arial" w:cs="Arial"/>
                                        <w:sz w:val="22"/>
                                        <w:szCs w:val="22"/>
                                      </w:rPr>
                                      <w:t xml:space="preserve"> </w:t>
                                    </w:r>
                                  </w:p>
                                </w:tc>
                              </w:tr>
                            </w:tbl>
                            <w:p w:rsidR="00FA1EA8" w:rsidRPr="00FA1EA8" w:rsidRDefault="00FA1EA8">
                              <w:pPr>
                                <w:jc w:val="center"/>
                                <w:rPr>
                                  <w:rFonts w:eastAsia="Times New Roman"/>
                                  <w:sz w:val="22"/>
                                  <w:szCs w:val="22"/>
                                </w:rPr>
                              </w:pPr>
                            </w:p>
                          </w:tc>
                        </w:tr>
                      </w:tbl>
                      <w:p w:rsidR="00FA1EA8" w:rsidRPr="00FA1EA8" w:rsidRDefault="00FA1EA8">
                        <w:pPr>
                          <w:rPr>
                            <w:rFonts w:eastAsia="Times New Roman"/>
                            <w:vanish/>
                            <w:sz w:val="22"/>
                            <w:szCs w:val="22"/>
                          </w:rPr>
                        </w:pPr>
                      </w:p>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135" w:type="dxa"/>
                                            <w:right w:w="270" w:type="dxa"/>
                                          </w:tcMar>
                                          <w:hideMark/>
                                        </w:tcPr>
                                        <w:p w:rsidR="00FA1EA8" w:rsidRPr="00FA1EA8" w:rsidRDefault="00FA1EA8" w:rsidP="00FA1EA8">
                                          <w:pPr>
                                            <w:spacing w:line="360" w:lineRule="auto"/>
                                            <w:jc w:val="center"/>
                                            <w:rPr>
                                              <w:rFonts w:ascii="Helvetica" w:eastAsia="Times New Roman" w:hAnsi="Helvetica" w:cs="Helvetica"/>
                                              <w:color w:val="202020"/>
                                              <w:sz w:val="22"/>
                                              <w:szCs w:val="22"/>
                                            </w:rPr>
                                          </w:pPr>
                                          <w:r w:rsidRPr="00FA1EA8">
                                            <w:rPr>
                                              <w:rFonts w:ascii="Arial" w:eastAsia="Times New Roman" w:hAnsi="Arial" w:cs="Arial"/>
                                              <w:color w:val="002E6D"/>
                                              <w:sz w:val="22"/>
                                              <w:szCs w:val="22"/>
                                            </w:rPr>
                                            <w:t>After registering, you will receive a confirmation email </w:t>
                                          </w:r>
                                          <w:r w:rsidRPr="00FA1EA8">
                                            <w:rPr>
                                              <w:rFonts w:ascii="Arial" w:eastAsia="Times New Roman" w:hAnsi="Arial" w:cs="Arial"/>
                                              <w:color w:val="002E6D"/>
                                              <w:sz w:val="22"/>
                                              <w:szCs w:val="22"/>
                                            </w:rPr>
                                            <w:br/>
                                            <w:t>containing information about joining the webinar. </w:t>
                                          </w:r>
                                          <w:r w:rsidRPr="00FA1EA8">
                                            <w:rPr>
                                              <w:rFonts w:ascii="Helvetica" w:eastAsia="Times New Roman" w:hAnsi="Helvetica" w:cs="Helvetica"/>
                                              <w:color w:val="202020"/>
                                              <w:sz w:val="22"/>
                                              <w:szCs w:val="22"/>
                                            </w:rPr>
                                            <w:br/>
                                          </w:r>
                                          <w:r w:rsidRPr="00FA1EA8">
                                            <w:rPr>
                                              <w:rFonts w:ascii="Arial" w:eastAsia="Times New Roman" w:hAnsi="Arial" w:cs="Arial"/>
                                              <w:color w:val="000066"/>
                                              <w:sz w:val="22"/>
                                              <w:szCs w:val="22"/>
                                            </w:rPr>
                                            <w:t>For webinar interaction:</w:t>
                                          </w:r>
                                          <w:r w:rsidRPr="00FA1EA8">
                                            <w:rPr>
                                              <w:rFonts w:ascii="Arial" w:eastAsia="Times New Roman" w:hAnsi="Arial" w:cs="Arial"/>
                                              <w:color w:val="202020"/>
                                              <w:sz w:val="22"/>
                                              <w:szCs w:val="22"/>
                                            </w:rPr>
                                            <w:br/>
                                          </w:r>
                                          <w:hyperlink r:id="rId6" w:history="1">
                                            <w:r w:rsidRPr="00FA1EA8">
                                              <w:rPr>
                                                <w:rStyle w:val="Strong"/>
                                                <w:rFonts w:ascii="Arial" w:eastAsia="Times New Roman" w:hAnsi="Arial" w:cs="Arial"/>
                                                <w:color w:val="000066"/>
                                                <w:sz w:val="22"/>
                                                <w:szCs w:val="22"/>
                                                <w:u w:val="single"/>
                                              </w:rPr>
                                              <w:t>Sli.do</w:t>
                                            </w:r>
                                          </w:hyperlink>
                                          <w:r w:rsidRPr="00FA1EA8">
                                            <w:rPr>
                                              <w:rFonts w:ascii="Arial" w:eastAsia="Times New Roman" w:hAnsi="Arial" w:cs="Arial"/>
                                              <w:color w:val="000066"/>
                                              <w:sz w:val="22"/>
                                              <w:szCs w:val="22"/>
                                            </w:rPr>
                                            <w:t xml:space="preserve"> code: </w:t>
                                          </w:r>
                                          <w:r w:rsidRPr="00FA1EA8">
                                            <w:rPr>
                                              <w:rStyle w:val="Strong"/>
                                              <w:rFonts w:ascii="Arial" w:eastAsia="Times New Roman" w:hAnsi="Arial" w:cs="Arial"/>
                                              <w:color w:val="000066"/>
                                              <w:sz w:val="22"/>
                                              <w:szCs w:val="22"/>
                                            </w:rPr>
                                            <w:t>#D820</w:t>
                                          </w:r>
                                          <w:r w:rsidRPr="00FA1EA8">
                                            <w:rPr>
                                              <w:rFonts w:ascii="Helvetica" w:eastAsia="Times New Roman" w:hAnsi="Helvetica" w:cs="Helvetica"/>
                                              <w:color w:val="202020"/>
                                              <w:sz w:val="22"/>
                                              <w:szCs w:val="22"/>
                                            </w:rPr>
                                            <w:br/>
                                          </w:r>
                                          <w:r w:rsidRPr="00FA1EA8">
                                            <w:rPr>
                                              <w:rFonts w:ascii="Arial" w:eastAsia="Times New Roman" w:hAnsi="Arial" w:cs="Arial"/>
                                              <w:color w:val="202020"/>
                                              <w:sz w:val="22"/>
                                              <w:szCs w:val="22"/>
                                            </w:rPr>
                                            <w:t>View the </w:t>
                                          </w:r>
                                          <w:hyperlink r:id="rId7" w:history="1">
                                            <w:r w:rsidRPr="00FA1EA8">
                                              <w:rPr>
                                                <w:rStyle w:val="Strong"/>
                                                <w:rFonts w:ascii="Arial" w:eastAsia="Times New Roman" w:hAnsi="Arial" w:cs="Arial"/>
                                                <w:color w:val="00CCFF"/>
                                                <w:sz w:val="22"/>
                                                <w:szCs w:val="22"/>
                                                <w:u w:val="single"/>
                                              </w:rPr>
                                              <w:t>2019 calendar</w:t>
                                            </w:r>
                                          </w:hyperlink>
                                          <w:r w:rsidRPr="00FA1EA8">
                                            <w:rPr>
                                              <w:rFonts w:ascii="Arial" w:eastAsia="Times New Roman" w:hAnsi="Arial" w:cs="Arial"/>
                                              <w:color w:val="202020"/>
                                              <w:sz w:val="22"/>
                                              <w:szCs w:val="22"/>
                                            </w:rPr>
                                            <w:t xml:space="preserve"> with topics and links to the upcoming sessions. You can review the call descriptions and register for upcoming sessions by clicking on the links within the calendar, or review the recorded session from previous webcasts.</w:t>
                                          </w:r>
                                          <w:r w:rsidRPr="00FA1EA8">
                                            <w:rPr>
                                              <w:rFonts w:ascii="Arial" w:eastAsia="Times New Roman" w:hAnsi="Arial" w:cs="Arial"/>
                                              <w:color w:val="202020"/>
                                              <w:sz w:val="22"/>
                                              <w:szCs w:val="22"/>
                                            </w:rPr>
                                            <w:br/>
                                          </w:r>
                                          <w:r w:rsidRPr="00FA1EA8">
                                            <w:rPr>
                                              <w:rFonts w:ascii="Arial" w:eastAsia="Times New Roman" w:hAnsi="Arial" w:cs="Arial"/>
                                              <w:color w:val="202020"/>
                                              <w:sz w:val="22"/>
                                              <w:szCs w:val="22"/>
                                            </w:rPr>
                                            <w:lastRenderedPageBreak/>
                                            <w:t> </w:t>
                                          </w:r>
                                          <w:r w:rsidRPr="00FA1EA8">
                                            <w:rPr>
                                              <w:rFonts w:ascii="Helvetica" w:eastAsia="Times New Roman" w:hAnsi="Helvetica" w:cs="Helvetica"/>
                                              <w:color w:val="202020"/>
                                              <w:sz w:val="22"/>
                                              <w:szCs w:val="22"/>
                                            </w:rPr>
                                            <w:br/>
                                          </w: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bookmarkStart w:id="0" w:name="_GoBack"/>
                        <w:bookmarkEnd w:id="0"/>
                      </w:p>
                    </w:tc>
                  </w:tr>
                  <w:tr w:rsidR="00FA1EA8" w:rsidRPr="00FA1EA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1EA8" w:rsidRPr="00FA1EA8">
                                      <w:tc>
                                        <w:tcPr>
                                          <w:tcW w:w="0" w:type="auto"/>
                                          <w:tcMar>
                                            <w:top w:w="0" w:type="dxa"/>
                                            <w:left w:w="270" w:type="dxa"/>
                                            <w:bottom w:w="135" w:type="dxa"/>
                                            <w:right w:w="270" w:type="dxa"/>
                                          </w:tcMar>
                                          <w:hideMark/>
                                        </w:tcPr>
                                        <w:p w:rsidR="00FA1EA8" w:rsidRPr="00FA1EA8" w:rsidRDefault="00FA1EA8" w:rsidP="00FA1EA8">
                                          <w:pPr>
                                            <w:spacing w:line="360" w:lineRule="auto"/>
                                            <w:jc w:val="center"/>
                                            <w:rPr>
                                              <w:rFonts w:ascii="Helvetica" w:eastAsia="Times New Roman" w:hAnsi="Helvetica" w:cs="Helvetica"/>
                                              <w:color w:val="656565"/>
                                              <w:sz w:val="22"/>
                                              <w:szCs w:val="22"/>
                                            </w:rPr>
                                          </w:pPr>
                                          <w:r w:rsidRPr="00FA1EA8">
                                            <w:rPr>
                                              <w:rFonts w:ascii="Helvetica" w:eastAsia="Times New Roman" w:hAnsi="Helvetica" w:cs="Helvetica"/>
                                              <w:color w:val="656565"/>
                                              <w:sz w:val="22"/>
                                              <w:szCs w:val="22"/>
                                            </w:rPr>
                                            <w:lastRenderedPageBreak/>
                                            <w:br/>
                                          </w:r>
                                          <w:r w:rsidRPr="00FA1EA8">
                                            <w:rPr>
                                              <w:rFonts w:ascii="Helvetica" w:eastAsia="Times New Roman" w:hAnsi="Helvetica" w:cs="Helvetica"/>
                                              <w:color w:val="656565"/>
                                              <w:sz w:val="22"/>
                                              <w:szCs w:val="22"/>
                                            </w:rPr>
                                            <w:br/>
                                          </w:r>
                                          <w:r w:rsidRPr="00FA1EA8">
                                            <w:rPr>
                                              <w:rFonts w:ascii="Helvetica" w:eastAsia="Times New Roman" w:hAnsi="Helvetica" w:cs="Helvetica"/>
                                              <w:color w:val="656565"/>
                                              <w:sz w:val="22"/>
                                              <w:szCs w:val="22"/>
                                            </w:rPr>
                                            <w:br/>
                                            <w:t xml:space="preserve">  </w:t>
                                          </w: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rPr>
                            <w:rFonts w:eastAsia="Times New Roman"/>
                            <w:sz w:val="22"/>
                            <w:szCs w:val="22"/>
                          </w:rPr>
                        </w:pPr>
                      </w:p>
                    </w:tc>
                  </w:tr>
                </w:tbl>
                <w:p w:rsidR="00FA1EA8" w:rsidRPr="00FA1EA8" w:rsidRDefault="00FA1EA8">
                  <w:pPr>
                    <w:jc w:val="center"/>
                    <w:rPr>
                      <w:rFonts w:eastAsia="Times New Roman"/>
                      <w:sz w:val="22"/>
                      <w:szCs w:val="22"/>
                    </w:rPr>
                  </w:pPr>
                </w:p>
              </w:tc>
            </w:tr>
          </w:tbl>
          <w:p w:rsidR="00FA1EA8" w:rsidRPr="00FA1EA8" w:rsidRDefault="00FA1EA8">
            <w:pPr>
              <w:jc w:val="center"/>
              <w:rPr>
                <w:rFonts w:eastAsia="Times New Roman"/>
                <w:sz w:val="22"/>
                <w:szCs w:val="22"/>
              </w:rPr>
            </w:pPr>
          </w:p>
        </w:tc>
      </w:tr>
    </w:tbl>
    <w:p w:rsidR="00FA1EA8" w:rsidRPr="00FA1EA8" w:rsidRDefault="00FA1EA8" w:rsidP="00FA1EA8">
      <w:pPr>
        <w:spacing w:after="240"/>
        <w:jc w:val="center"/>
        <w:rPr>
          <w:rFonts w:eastAsia="Times New Roman"/>
          <w:sz w:val="22"/>
          <w:szCs w:val="22"/>
        </w:rPr>
      </w:pPr>
      <w:r w:rsidRPr="00FA1EA8">
        <w:rPr>
          <w:rFonts w:eastAsia="Times New Roman"/>
          <w:sz w:val="22"/>
          <w:szCs w:val="22"/>
        </w:rPr>
        <w:lastRenderedPageBreak/>
        <w:br/>
      </w:r>
      <w:r w:rsidRPr="00FA1EA8">
        <w:rPr>
          <w:rFonts w:eastAsia="Times New Roman"/>
          <w:sz w:val="22"/>
          <w:szCs w:val="22"/>
        </w:rPr>
        <w:br/>
      </w:r>
      <w:r w:rsidRPr="00FA1EA8">
        <w:rPr>
          <w:rFonts w:eastAsia="Times New Roman"/>
          <w:sz w:val="22"/>
          <w:szCs w:val="22"/>
        </w:rPr>
        <w:br/>
      </w:r>
      <w:r w:rsidRPr="00FA1EA8">
        <w:rPr>
          <w:rFonts w:eastAsia="Times New Roman"/>
          <w:sz w:val="22"/>
          <w:szCs w:val="22"/>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10224"/>
      </w:tblGrid>
      <w:tr w:rsidR="00FA1EA8" w:rsidRPr="00FA1EA8" w:rsidTr="00FA1EA8">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06"/>
            </w:tblGrid>
            <w:tr w:rsidR="00FA1EA8" w:rsidRPr="00FA1EA8" w:rsidTr="00FA1EA8">
              <w:trPr>
                <w:jc w:val="center"/>
              </w:trPr>
              <w:tc>
                <w:tcPr>
                  <w:tcW w:w="0" w:type="auto"/>
                  <w:tcMar>
                    <w:top w:w="0" w:type="dxa"/>
                    <w:left w:w="300" w:type="dxa"/>
                    <w:bottom w:w="75" w:type="dxa"/>
                    <w:right w:w="300" w:type="dxa"/>
                  </w:tcMar>
                </w:tcPr>
                <w:p w:rsidR="00FA1EA8" w:rsidRPr="00FA1EA8" w:rsidRDefault="00FA1EA8">
                  <w:pPr>
                    <w:spacing w:after="240" w:line="360" w:lineRule="auto"/>
                    <w:jc w:val="center"/>
                    <w:rPr>
                      <w:rFonts w:ascii="Helvetica" w:eastAsia="Times New Roman" w:hAnsi="Helvetica" w:cs="Helvetica"/>
                      <w:color w:val="606060"/>
                      <w:sz w:val="22"/>
                      <w:szCs w:val="22"/>
                    </w:rPr>
                  </w:pPr>
                </w:p>
              </w:tc>
            </w:tr>
          </w:tbl>
          <w:p w:rsidR="00FA1EA8" w:rsidRPr="00FA1EA8" w:rsidRDefault="00FA1EA8">
            <w:pPr>
              <w:jc w:val="center"/>
              <w:rPr>
                <w:rFonts w:eastAsia="Times New Roman"/>
                <w:sz w:val="22"/>
                <w:szCs w:val="22"/>
              </w:rPr>
            </w:pPr>
          </w:p>
        </w:tc>
      </w:tr>
    </w:tbl>
    <w:p w:rsidR="00FA1EA8" w:rsidRPr="00FA1EA8" w:rsidRDefault="00FA1EA8" w:rsidP="00FA1EA8">
      <w:pPr>
        <w:rPr>
          <w:rFonts w:eastAsia="Times New Roman"/>
          <w:sz w:val="22"/>
          <w:szCs w:val="22"/>
        </w:rPr>
      </w:pPr>
      <w:r w:rsidRPr="00FA1EA8">
        <w:rPr>
          <w:rFonts w:eastAsia="Times New Roman"/>
          <w:noProof/>
          <w:sz w:val="22"/>
          <w:szCs w:val="22"/>
        </w:rPr>
        <w:drawing>
          <wp:inline distT="0" distB="0" distL="0" distR="0">
            <wp:extent cx="8255" cy="8255"/>
            <wp:effectExtent l="0" t="0" r="0" b="0"/>
            <wp:docPr id="1" name="Picture 1" descr="https://fifthavefinancial.us8.list-manage.com/track/open.php?u=4a0cce2d4f89a26676d675837&amp;id=0e02cd3f2f&amp;e=b0ba14f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fthavefinancial.us8.list-manage.com/track/open.php?u=4a0cce2d4f89a26676d675837&amp;id=0e02cd3f2f&amp;e=b0ba14f2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01445" w:rsidRPr="00FA1EA8" w:rsidRDefault="00E01445">
      <w:pPr>
        <w:rPr>
          <w:sz w:val="22"/>
          <w:szCs w:val="22"/>
        </w:rPr>
      </w:pPr>
    </w:p>
    <w:sectPr w:rsidR="00E01445" w:rsidRPr="00FA1EA8" w:rsidSect="00FA1EA8">
      <w:pgSz w:w="12240" w:h="15840"/>
      <w:pgMar w:top="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A8"/>
    <w:rsid w:val="00E01445"/>
    <w:rsid w:val="00FA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80AB3-FE7D-4E6A-9E75-9B84CC72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A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FA1EA8"/>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1EA8"/>
    <w:rPr>
      <w:rFonts w:ascii="Helvetica" w:hAnsi="Helvetica" w:cs="Helvetica"/>
      <w:b/>
      <w:bCs/>
      <w:color w:val="202020"/>
      <w:sz w:val="33"/>
      <w:szCs w:val="33"/>
    </w:rPr>
  </w:style>
  <w:style w:type="character" w:styleId="Hyperlink">
    <w:name w:val="Hyperlink"/>
    <w:basedOn w:val="DefaultParagraphFont"/>
    <w:uiPriority w:val="99"/>
    <w:semiHidden/>
    <w:unhideWhenUsed/>
    <w:rsid w:val="00FA1EA8"/>
    <w:rPr>
      <w:color w:val="0000FF"/>
      <w:u w:val="single"/>
    </w:rPr>
  </w:style>
  <w:style w:type="character" w:styleId="Strong">
    <w:name w:val="Strong"/>
    <w:basedOn w:val="DefaultParagraphFont"/>
    <w:uiPriority w:val="22"/>
    <w:qFormat/>
    <w:rsid w:val="00FA1EA8"/>
    <w:rPr>
      <w:b/>
      <w:bCs/>
    </w:rPr>
  </w:style>
  <w:style w:type="character" w:styleId="Emphasis">
    <w:name w:val="Emphasis"/>
    <w:basedOn w:val="DefaultParagraphFont"/>
    <w:uiPriority w:val="20"/>
    <w:qFormat/>
    <w:rsid w:val="00FA1EA8"/>
    <w:rPr>
      <w:i/>
      <w:iCs/>
    </w:rPr>
  </w:style>
  <w:style w:type="paragraph" w:styleId="BalloonText">
    <w:name w:val="Balloon Text"/>
    <w:basedOn w:val="Normal"/>
    <w:link w:val="BalloonTextChar"/>
    <w:uiPriority w:val="99"/>
    <w:semiHidden/>
    <w:unhideWhenUsed/>
    <w:rsid w:val="00FA1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urldefense.proofpoint.com/v2/url?u=https-3A__fifthavefinancial.us8.list-2Dmanage.com_track_click-3Fu-3D4a0cce2d4f89a26676d675837-26id-3D259701050b-26e-3Db0ba14f2e4&amp;d=DwMFaQ&amp;c=BX7Y4KpGhcDnIsrgHKqkbfoiiDvjhxwuYUpcrPD7xrE&amp;r=5ObNrx-b6I_V-uYtwAXKsoAwLa4MnAmk9XDBxfYH0DI&amp;m=Uijpu5v1F2pcX-8uKrhqlxvgpS8bPGcPgOFGyJ0feKA&amp;s=MdMHgMD41BBloXwn7Xv7B5DY7K7zU_txqWj3EJ5lyJ8&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fifthavefinancial.us8.list-2Dmanage.com_track_click-3Fu-3D4a0cce2d4f89a26676d675837-26id-3D386329c8b9-26e-3Db0ba14f2e4&amp;d=DwMFaQ&amp;c=BX7Y4KpGhcDnIsrgHKqkbfoiiDvjhxwuYUpcrPD7xrE&amp;r=5ObNrx-b6I_V-uYtwAXKsoAwLa4MnAmk9XDBxfYH0DI&amp;m=Uijpu5v1F2pcX-8uKrhqlxvgpS8bPGcPgOFGyJ0feKA&amp;s=KbFmi8-RElxLu2CDLNL0iuuecQtx8wokBbIKszjgRyc&amp;e=" TargetMode="External"/><Relationship Id="rId5" Type="http://schemas.openxmlformats.org/officeDocument/2006/relationships/hyperlink" Target="https://urldefense.proofpoint.com/v2/url?u=https-3A__fifthavefinancial.us8.list-2Dmanage.com_track_click-3Fu-3D4a0cce2d4f89a26676d675837-26id-3Db18c4bd912-26e-3Db0ba14f2e4&amp;d=DwMFaQ&amp;c=BX7Y4KpGhcDnIsrgHKqkbfoiiDvjhxwuYUpcrPD7xrE&amp;r=5ObNrx-b6I_V-uYtwAXKsoAwLa4MnAmk9XDBxfYH0DI&amp;m=Uijpu5v1F2pcX-8uKrhqlxvgpS8bPGcPgOFGyJ0feKA&amp;s=v9wgUYHr7hCaGPoJKBgDJCPhxpFPzW97wLCAoL32jCQ&amp;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Lenox Advisors, Inc.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Morel</dc:creator>
  <cp:keywords/>
  <dc:description/>
  <cp:lastModifiedBy>Shirley Morel</cp:lastModifiedBy>
  <cp:revision>1</cp:revision>
  <cp:lastPrinted>2019-10-30T21:33:00Z</cp:lastPrinted>
  <dcterms:created xsi:type="dcterms:W3CDTF">2019-10-30T21:29:00Z</dcterms:created>
  <dcterms:modified xsi:type="dcterms:W3CDTF">2019-10-30T21:34:00Z</dcterms:modified>
</cp:coreProperties>
</file>