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DE0C" w14:textId="448D3BCA" w:rsidR="00C84060" w:rsidRPr="00F03856" w:rsidRDefault="00F03856">
      <w:pPr>
        <w:rPr>
          <w:sz w:val="36"/>
          <w:szCs w:val="36"/>
        </w:rPr>
      </w:pPr>
      <w:r w:rsidRPr="00F03856">
        <w:rPr>
          <w:sz w:val="36"/>
          <w:szCs w:val="36"/>
        </w:rPr>
        <w:t xml:space="preserve">General Disclosures for </w:t>
      </w:r>
      <w:r w:rsidR="00B45CB1">
        <w:rPr>
          <w:sz w:val="36"/>
          <w:szCs w:val="36"/>
        </w:rPr>
        <w:t>Video Portion of Planned Asset Management Website</w:t>
      </w:r>
    </w:p>
    <w:p w14:paraId="232F09DF" w14:textId="60B6E935" w:rsidR="00F03856" w:rsidRDefault="00F03856" w:rsidP="00F03856">
      <w:pPr>
        <w:rPr>
          <w:i/>
          <w:iCs/>
        </w:rPr>
      </w:pPr>
      <w:r w:rsidRPr="00F03856">
        <w:rPr>
          <w:i/>
          <w:iCs/>
        </w:rPr>
        <w:t>Below are some of the most common disclosures used on printed materials. Depending on the nature of the information, you should ch</w:t>
      </w:r>
      <w:r w:rsidR="00CD21D9">
        <w:rPr>
          <w:i/>
          <w:iCs/>
        </w:rPr>
        <w:t>o</w:t>
      </w:r>
      <w:r w:rsidRPr="00F03856">
        <w:rPr>
          <w:i/>
          <w:iCs/>
        </w:rPr>
        <w:t>ose a subset of the below disclosures to accompany each piece submitted for review.</w:t>
      </w:r>
    </w:p>
    <w:p w14:paraId="641D76FC" w14:textId="79B16806" w:rsidR="00CD21D9" w:rsidRDefault="00D93EFE" w:rsidP="00F03856">
      <w:r>
        <w:t>_____________________________________________________________________________________</w:t>
      </w:r>
    </w:p>
    <w:p w14:paraId="3FEC8D7C" w14:textId="336ABB83" w:rsidR="00F03856" w:rsidRPr="00CD21D9" w:rsidRDefault="00F03856" w:rsidP="00F03856">
      <w:pPr>
        <w:pBdr>
          <w:bottom w:val="single" w:sz="12" w:space="1" w:color="auto"/>
        </w:pBdr>
        <w:rPr>
          <w:color w:val="0070C0"/>
          <w:sz w:val="24"/>
          <w:szCs w:val="24"/>
        </w:rPr>
      </w:pPr>
      <w:r w:rsidRPr="00CD21D9">
        <w:rPr>
          <w:color w:val="0070C0"/>
          <w:sz w:val="24"/>
          <w:szCs w:val="24"/>
        </w:rPr>
        <w:t xml:space="preserve">Advisory services offered through </w:t>
      </w:r>
      <w:r w:rsidR="00DF5140">
        <w:rPr>
          <w:color w:val="0070C0"/>
          <w:sz w:val="24"/>
          <w:szCs w:val="24"/>
        </w:rPr>
        <w:t xml:space="preserve">Planned Asset </w:t>
      </w:r>
      <w:r w:rsidRPr="00CD21D9">
        <w:rPr>
          <w:color w:val="0070C0"/>
          <w:sz w:val="24"/>
          <w:szCs w:val="24"/>
        </w:rPr>
        <w:t xml:space="preserve">Management, a registered investment adviser.  Securities offered through M.S. Howells &amp; Co., a registered broker/dealer. Member FINRA/SIPC.  </w:t>
      </w:r>
      <w:r w:rsidR="00E475C7">
        <w:rPr>
          <w:color w:val="0070C0"/>
          <w:sz w:val="24"/>
          <w:szCs w:val="24"/>
        </w:rPr>
        <w:t>Planned Asset</w:t>
      </w:r>
      <w:r w:rsidRPr="00CD21D9">
        <w:rPr>
          <w:color w:val="0070C0"/>
          <w:sz w:val="24"/>
          <w:szCs w:val="24"/>
        </w:rPr>
        <w:t xml:space="preserve"> Management and M.S. Howells &amp; Co. are not affiliated entities.</w:t>
      </w:r>
    </w:p>
    <w:p w14:paraId="00700050" w14:textId="77777777" w:rsidR="00D93EFE" w:rsidRDefault="00D93EFE" w:rsidP="00F03856">
      <w:pPr>
        <w:rPr>
          <w:rFonts w:cstheme="minorHAnsi"/>
          <w:sz w:val="24"/>
          <w:szCs w:val="24"/>
        </w:rPr>
      </w:pPr>
    </w:p>
    <w:p w14:paraId="5CB8D3AF" w14:textId="4E59AC0F" w:rsidR="00F03856" w:rsidRPr="00903D0F" w:rsidRDefault="00F03856" w:rsidP="00F03856">
      <w:pPr>
        <w:rPr>
          <w:rFonts w:cstheme="minorHAnsi"/>
          <w:sz w:val="24"/>
          <w:szCs w:val="24"/>
        </w:rPr>
      </w:pPr>
      <w:r w:rsidRPr="00903D0F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information</w:t>
      </w:r>
      <w:r w:rsidRPr="00903D0F">
        <w:rPr>
          <w:rFonts w:cstheme="minorHAnsi"/>
          <w:sz w:val="24"/>
          <w:szCs w:val="24"/>
        </w:rPr>
        <w:t xml:space="preserve"> is not intended to offer</w:t>
      </w:r>
      <w:r>
        <w:rPr>
          <w:rFonts w:cstheme="minorHAnsi"/>
          <w:sz w:val="24"/>
          <w:szCs w:val="24"/>
        </w:rPr>
        <w:t xml:space="preserve"> </w:t>
      </w:r>
      <w:r w:rsidRPr="00903D0F">
        <w:rPr>
          <w:rFonts w:cstheme="minorHAnsi"/>
          <w:sz w:val="24"/>
          <w:szCs w:val="24"/>
        </w:rPr>
        <w:t xml:space="preserve">legal or tax advice.  </w:t>
      </w:r>
      <w:r w:rsidR="00581274">
        <w:rPr>
          <w:rFonts w:cstheme="minorHAnsi"/>
          <w:sz w:val="24"/>
          <w:szCs w:val="24"/>
        </w:rPr>
        <w:t xml:space="preserve">Please </w:t>
      </w:r>
      <w:r w:rsidRPr="00903D0F">
        <w:rPr>
          <w:rFonts w:cstheme="minorHAnsi"/>
          <w:sz w:val="24"/>
          <w:szCs w:val="24"/>
        </w:rPr>
        <w:t>consult your legal or tax advis</w:t>
      </w:r>
      <w:r>
        <w:rPr>
          <w:rFonts w:cstheme="minorHAnsi"/>
          <w:sz w:val="24"/>
          <w:szCs w:val="24"/>
        </w:rPr>
        <w:t>o</w:t>
      </w:r>
      <w:r w:rsidRPr="00903D0F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 xml:space="preserve">for advice </w:t>
      </w:r>
      <w:r w:rsidRPr="00903D0F">
        <w:rPr>
          <w:rFonts w:cstheme="minorHAnsi"/>
          <w:sz w:val="24"/>
          <w:szCs w:val="24"/>
        </w:rPr>
        <w:t>regarding your specific situation and circumstance.</w:t>
      </w:r>
    </w:p>
    <w:p w14:paraId="07A9AA17" w14:textId="77777777" w:rsidR="00F03856" w:rsidRPr="007A1D16" w:rsidRDefault="00F03856" w:rsidP="00F03856">
      <w:pPr>
        <w:rPr>
          <w:rFonts w:cstheme="minorHAnsi"/>
          <w:b/>
          <w:sz w:val="24"/>
          <w:szCs w:val="24"/>
          <w:u w:val="single"/>
        </w:rPr>
      </w:pPr>
      <w:r w:rsidRPr="007A1D16">
        <w:rPr>
          <w:rFonts w:cstheme="minorHAnsi"/>
          <w:b/>
          <w:sz w:val="24"/>
          <w:szCs w:val="24"/>
          <w:u w:val="single"/>
        </w:rPr>
        <w:t>RISKS</w:t>
      </w:r>
    </w:p>
    <w:p w14:paraId="5F287FC3" w14:textId="77777777" w:rsidR="00F03856" w:rsidRDefault="00F03856" w:rsidP="00F03856">
      <w:pPr>
        <w:rPr>
          <w:rFonts w:cstheme="minorHAnsi"/>
          <w:sz w:val="24"/>
          <w:szCs w:val="24"/>
        </w:rPr>
      </w:pPr>
      <w:r w:rsidRPr="007A1D16">
        <w:rPr>
          <w:rFonts w:cstheme="minorHAnsi"/>
          <w:sz w:val="24"/>
          <w:szCs w:val="24"/>
        </w:rPr>
        <w:t xml:space="preserve">There are inherent risks in investing, including the potential loss of principal. </w:t>
      </w:r>
    </w:p>
    <w:p w14:paraId="1828492D" w14:textId="373FA849" w:rsidR="00F03856" w:rsidRDefault="00F03856" w:rsidP="00F03856">
      <w:pPr>
        <w:rPr>
          <w:rFonts w:cstheme="minorHAnsi"/>
          <w:sz w:val="24"/>
          <w:szCs w:val="24"/>
        </w:rPr>
      </w:pPr>
      <w:r w:rsidRPr="007A1D16">
        <w:rPr>
          <w:rFonts w:cstheme="minorHAnsi"/>
          <w:sz w:val="24"/>
          <w:szCs w:val="24"/>
        </w:rPr>
        <w:t>Investment markets will fluctuate</w:t>
      </w:r>
      <w:r w:rsidR="00CD21D9">
        <w:rPr>
          <w:rFonts w:cstheme="minorHAnsi"/>
          <w:sz w:val="24"/>
          <w:szCs w:val="24"/>
        </w:rPr>
        <w:t>,</w:t>
      </w:r>
      <w:r w:rsidRPr="007A1D16">
        <w:rPr>
          <w:rFonts w:cstheme="minorHAnsi"/>
          <w:sz w:val="24"/>
          <w:szCs w:val="24"/>
        </w:rPr>
        <w:t xml:space="preserve"> and there is no guarantee that an implemented strategy will produce the desired results.</w:t>
      </w:r>
    </w:p>
    <w:p w14:paraId="1F2DE7AC" w14:textId="77777777" w:rsidR="00F03856" w:rsidRDefault="00F03856" w:rsidP="00F03856">
      <w:pPr>
        <w:rPr>
          <w:rFonts w:cstheme="minorHAnsi"/>
          <w:sz w:val="24"/>
          <w:szCs w:val="24"/>
        </w:rPr>
      </w:pPr>
      <w:r w:rsidRPr="007A1D16">
        <w:rPr>
          <w:rFonts w:cstheme="minorHAnsi"/>
          <w:sz w:val="24"/>
          <w:szCs w:val="24"/>
        </w:rPr>
        <w:t xml:space="preserve">Past performance is not a guarantee of future results. </w:t>
      </w:r>
    </w:p>
    <w:p w14:paraId="12EEE5A9" w14:textId="25F0B5CD" w:rsidR="00F03856" w:rsidRDefault="00F03856" w:rsidP="00F03856">
      <w:pPr>
        <w:rPr>
          <w:rFonts w:cstheme="minorHAnsi"/>
          <w:sz w:val="24"/>
          <w:szCs w:val="24"/>
        </w:rPr>
      </w:pPr>
      <w:r w:rsidRPr="007A1D16">
        <w:rPr>
          <w:rFonts w:cstheme="minorHAnsi"/>
          <w:sz w:val="24"/>
          <w:szCs w:val="24"/>
        </w:rPr>
        <w:t xml:space="preserve">Diversification does not guarantee against loss of principal. </w:t>
      </w:r>
    </w:p>
    <w:p w14:paraId="1E7B4A9F" w14:textId="45299088" w:rsidR="00D93EFE" w:rsidRPr="007A1D16" w:rsidRDefault="00D93EFE" w:rsidP="00F038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Dollar Cost Averaging does not guarantee enhanced overall returns or against loss of principal.</w:t>
      </w:r>
    </w:p>
    <w:p w14:paraId="5DD3F791" w14:textId="77777777" w:rsidR="00F03856" w:rsidRPr="007A1D16" w:rsidRDefault="00F03856" w:rsidP="00F03856">
      <w:pPr>
        <w:rPr>
          <w:rFonts w:cstheme="minorHAnsi"/>
          <w:b/>
          <w:sz w:val="24"/>
          <w:szCs w:val="24"/>
          <w:u w:val="single"/>
        </w:rPr>
      </w:pPr>
      <w:r w:rsidRPr="007A1D16">
        <w:rPr>
          <w:rFonts w:cstheme="minorHAnsi"/>
          <w:b/>
          <w:sz w:val="24"/>
          <w:szCs w:val="24"/>
          <w:u w:val="single"/>
        </w:rPr>
        <w:t>INDEXES</w:t>
      </w:r>
    </w:p>
    <w:p w14:paraId="27CD561C" w14:textId="4B5C7D2E" w:rsidR="00F03856" w:rsidRPr="007A1D16" w:rsidRDefault="00F03856" w:rsidP="00F03856">
      <w:pPr>
        <w:rPr>
          <w:rFonts w:cstheme="minorHAnsi"/>
          <w:sz w:val="24"/>
          <w:szCs w:val="24"/>
        </w:rPr>
      </w:pPr>
      <w:r w:rsidRPr="007A1D16">
        <w:rPr>
          <w:rFonts w:cstheme="minorHAnsi"/>
          <w:sz w:val="24"/>
          <w:szCs w:val="24"/>
        </w:rPr>
        <w:t>You cannot invest directly in an index</w:t>
      </w:r>
      <w:r w:rsidR="00CD21D9">
        <w:rPr>
          <w:rFonts w:cstheme="minorHAnsi"/>
          <w:sz w:val="24"/>
          <w:szCs w:val="24"/>
        </w:rPr>
        <w:t xml:space="preserve">, </w:t>
      </w:r>
      <w:r w:rsidRPr="007A1D16">
        <w:rPr>
          <w:rFonts w:cstheme="minorHAnsi"/>
          <w:sz w:val="24"/>
          <w:szCs w:val="24"/>
        </w:rPr>
        <w:t xml:space="preserve">although you can invest in an index fund </w:t>
      </w:r>
      <w:r w:rsidR="00CD21D9">
        <w:rPr>
          <w:rFonts w:cstheme="minorHAnsi"/>
          <w:sz w:val="24"/>
          <w:szCs w:val="24"/>
        </w:rPr>
        <w:t>designed to track such index closely</w:t>
      </w:r>
      <w:r w:rsidRPr="007A1D16">
        <w:rPr>
          <w:rFonts w:cstheme="minorHAnsi"/>
          <w:sz w:val="24"/>
          <w:szCs w:val="24"/>
        </w:rPr>
        <w:t>.</w:t>
      </w:r>
    </w:p>
    <w:p w14:paraId="0B6D413F" w14:textId="77777777" w:rsidR="00F03856" w:rsidRPr="007A1D16" w:rsidRDefault="00F03856" w:rsidP="00F03856">
      <w:pPr>
        <w:ind w:left="720"/>
        <w:rPr>
          <w:rFonts w:cstheme="minorHAnsi"/>
          <w:sz w:val="24"/>
          <w:szCs w:val="24"/>
        </w:rPr>
      </w:pPr>
      <w:r w:rsidRPr="007B1DDD">
        <w:rPr>
          <w:rFonts w:cstheme="minorHAnsi"/>
          <w:sz w:val="24"/>
          <w:szCs w:val="24"/>
          <w:u w:val="single"/>
        </w:rPr>
        <w:t>S&amp;P 500</w:t>
      </w:r>
      <w:r w:rsidRPr="007A1D16">
        <w:rPr>
          <w:rFonts w:cstheme="minorHAnsi"/>
          <w:sz w:val="24"/>
          <w:szCs w:val="24"/>
        </w:rPr>
        <w:t xml:space="preserve">:   The S&amp;P 500 composite index is an unmanaged, market capitalization weighted index of 500 common stocks widely regarded to be representative of the U.S. market in general.  </w:t>
      </w:r>
    </w:p>
    <w:p w14:paraId="5F567B05" w14:textId="107F9FB8" w:rsidR="00F03856" w:rsidRPr="007A1D16" w:rsidRDefault="00F03856" w:rsidP="00F03856">
      <w:pPr>
        <w:ind w:left="720"/>
        <w:rPr>
          <w:rFonts w:cstheme="minorHAnsi"/>
          <w:sz w:val="24"/>
          <w:szCs w:val="24"/>
        </w:rPr>
      </w:pPr>
      <w:r w:rsidRPr="007B1DDD">
        <w:rPr>
          <w:rFonts w:cstheme="minorHAnsi"/>
          <w:sz w:val="24"/>
          <w:szCs w:val="24"/>
          <w:u w:val="single"/>
        </w:rPr>
        <w:t>Down Jones Industrial Average</w:t>
      </w:r>
      <w:r w:rsidRPr="007A1D16">
        <w:rPr>
          <w:rFonts w:cstheme="minorHAnsi"/>
          <w:sz w:val="24"/>
          <w:szCs w:val="24"/>
        </w:rPr>
        <w:t>:  The Dow Jones Industrial Average Index represents large and well-known U.S. companies.  Roughly two-thirds of the DJIA 30 component companies are manufactures of industrial and consumer goods.  The others represent industries as diverse as financial services, entertainment</w:t>
      </w:r>
      <w:r w:rsidR="00CD21D9">
        <w:rPr>
          <w:rFonts w:cstheme="minorHAnsi"/>
          <w:sz w:val="24"/>
          <w:szCs w:val="24"/>
        </w:rPr>
        <w:t>,</w:t>
      </w:r>
      <w:r w:rsidRPr="007A1D16">
        <w:rPr>
          <w:rFonts w:cstheme="minorHAnsi"/>
          <w:sz w:val="24"/>
          <w:szCs w:val="24"/>
        </w:rPr>
        <w:t xml:space="preserve"> and information technology.  The returns of this index include the reinvestment of dividend income.  </w:t>
      </w:r>
    </w:p>
    <w:p w14:paraId="2CB4E08B" w14:textId="0D237622" w:rsidR="00F03856" w:rsidRPr="00CD21D9" w:rsidRDefault="00F03856" w:rsidP="00F03856">
      <w:pPr>
        <w:pStyle w:val="content"/>
        <w:shd w:val="clear" w:color="auto" w:fill="FFFFFF"/>
        <w:spacing w:before="0" w:beforeAutospacing="0" w:line="300" w:lineRule="atLeast"/>
        <w:ind w:left="720"/>
        <w:rPr>
          <w:rFonts w:asciiTheme="minorHAnsi" w:hAnsiTheme="minorHAnsi" w:cstheme="minorHAnsi"/>
          <w:shd w:val="clear" w:color="auto" w:fill="FFFFFF"/>
        </w:rPr>
      </w:pPr>
      <w:r w:rsidRPr="00CD21D9">
        <w:rPr>
          <w:rFonts w:asciiTheme="minorHAnsi" w:hAnsiTheme="minorHAnsi" w:cstheme="minorHAnsi"/>
          <w:u w:val="single"/>
          <w:shd w:val="clear" w:color="auto" w:fill="FFFFFF"/>
        </w:rPr>
        <w:t>Nasdaq Composite Index</w:t>
      </w:r>
      <w:r w:rsidRPr="00CD21D9">
        <w:rPr>
          <w:rFonts w:asciiTheme="minorHAnsi" w:hAnsiTheme="minorHAnsi" w:cstheme="minorHAnsi"/>
          <w:shd w:val="clear" w:color="auto" w:fill="FFFFFF"/>
        </w:rPr>
        <w:t>: The Nasdaq Composite Index is the market capitalization-weighted index (which means that the components are </w:t>
      </w:r>
      <w:hyperlink r:id="rId9" w:anchor="Weighting" w:tooltip="Stock market index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weighted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 xml:space="preserve"> according to the </w:t>
      </w:r>
      <w:r w:rsidRPr="00CD21D9">
        <w:rPr>
          <w:rFonts w:asciiTheme="minorHAnsi" w:hAnsiTheme="minorHAnsi" w:cstheme="minorHAnsi"/>
          <w:shd w:val="clear" w:color="auto" w:fill="FFFFFF"/>
        </w:rPr>
        <w:lastRenderedPageBreak/>
        <w:t>total </w:t>
      </w:r>
      <w:hyperlink r:id="rId10" w:tooltip="Market value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market value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> of their </w:t>
      </w:r>
      <w:hyperlink r:id="rId11" w:tooltip="Shares outstanding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outstanding shares</w:t>
        </w:r>
      </w:hyperlink>
      <w:r w:rsidRPr="00CD21D9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) </w:t>
      </w:r>
      <w:r w:rsidRPr="00CD21D9">
        <w:rPr>
          <w:rFonts w:asciiTheme="minorHAnsi" w:hAnsiTheme="minorHAnsi" w:cstheme="minorHAnsi"/>
          <w:shd w:val="clear" w:color="auto" w:fill="FFFFFF"/>
        </w:rPr>
        <w:t>of over 3,300 common equities listed on the Nasdaq stock exchange. The types of securities in the index include </w:t>
      </w:r>
      <w:hyperlink r:id="rId12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American depositary receipts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>, common stocks, </w:t>
      </w:r>
      <w:hyperlink r:id="rId13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real estate investment trusts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> (REITs)</w:t>
      </w:r>
      <w:r w:rsidR="00CD21D9">
        <w:rPr>
          <w:rFonts w:asciiTheme="minorHAnsi" w:hAnsiTheme="minorHAnsi" w:cstheme="minorHAnsi"/>
          <w:shd w:val="clear" w:color="auto" w:fill="FFFFFF"/>
        </w:rPr>
        <w:t>,</w:t>
      </w:r>
      <w:r w:rsidRPr="00CD21D9">
        <w:rPr>
          <w:rFonts w:asciiTheme="minorHAnsi" w:hAnsiTheme="minorHAnsi" w:cstheme="minorHAnsi"/>
          <w:shd w:val="clear" w:color="auto" w:fill="FFFFFF"/>
        </w:rPr>
        <w:t xml:space="preserve"> and </w:t>
      </w:r>
      <w:hyperlink r:id="rId14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tracking stocks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 xml:space="preserve">, as well as limited partnership interests. The index includes all Nasdaq-listed </w:t>
      </w:r>
      <w:r w:rsidRPr="0020353D">
        <w:rPr>
          <w:rFonts w:asciiTheme="minorHAnsi" w:hAnsiTheme="minorHAnsi" w:cstheme="minorHAnsi"/>
          <w:shd w:val="clear" w:color="auto" w:fill="FFFFFF"/>
        </w:rPr>
        <w:t xml:space="preserve">stocks that are not derivatives, preferred shares, </w:t>
      </w:r>
      <w:r w:rsidRPr="00CD21D9">
        <w:rPr>
          <w:rFonts w:asciiTheme="minorHAnsi" w:hAnsiTheme="minorHAnsi" w:cstheme="minorHAnsi"/>
          <w:shd w:val="clear" w:color="auto" w:fill="FFFFFF"/>
        </w:rPr>
        <w:t>funds, </w:t>
      </w:r>
      <w:hyperlink r:id="rId15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exchange-traded funds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> (ETFs)</w:t>
      </w:r>
      <w:r w:rsidR="00CD21D9">
        <w:rPr>
          <w:rFonts w:asciiTheme="minorHAnsi" w:hAnsiTheme="minorHAnsi" w:cstheme="minorHAnsi"/>
          <w:shd w:val="clear" w:color="auto" w:fill="FFFFFF"/>
        </w:rPr>
        <w:t>,</w:t>
      </w:r>
      <w:r w:rsidRPr="00CD21D9">
        <w:rPr>
          <w:rFonts w:asciiTheme="minorHAnsi" w:hAnsiTheme="minorHAnsi" w:cstheme="minorHAnsi"/>
          <w:shd w:val="clear" w:color="auto" w:fill="FFFFFF"/>
        </w:rPr>
        <w:t xml:space="preserve"> or </w:t>
      </w:r>
      <w:hyperlink r:id="rId16" w:history="1">
        <w:r w:rsidRPr="00CD21D9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debenture</w:t>
        </w:r>
      </w:hyperlink>
      <w:r w:rsidRPr="00CD21D9">
        <w:rPr>
          <w:rFonts w:asciiTheme="minorHAnsi" w:hAnsiTheme="minorHAnsi" w:cstheme="minorHAnsi"/>
          <w:shd w:val="clear" w:color="auto" w:fill="FFFFFF"/>
        </w:rPr>
        <w:t> securities.</w:t>
      </w:r>
    </w:p>
    <w:sectPr w:rsidR="00F03856" w:rsidRPr="00CD21D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4BD9" w14:textId="77777777" w:rsidR="00390357" w:rsidRDefault="00390357" w:rsidP="00F03856">
      <w:pPr>
        <w:spacing w:after="0" w:line="240" w:lineRule="auto"/>
      </w:pPr>
      <w:r>
        <w:separator/>
      </w:r>
    </w:p>
  </w:endnote>
  <w:endnote w:type="continuationSeparator" w:id="0">
    <w:p w14:paraId="5CD7038E" w14:textId="77777777" w:rsidR="00390357" w:rsidRDefault="00390357" w:rsidP="00F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973C" w14:textId="4F4436C5" w:rsidR="00F03856" w:rsidRPr="00CD21D9" w:rsidRDefault="00F03856">
    <w:pPr>
      <w:pStyle w:val="Footer"/>
      <w:rPr>
        <w:b/>
        <w:bCs/>
      </w:rPr>
    </w:pPr>
    <w:r>
      <w:t xml:space="preserve">Property of M. S. Howells &amp; Co.    </w:t>
    </w:r>
    <w:r w:rsidR="00CD21D9">
      <w:t xml:space="preserve">      </w:t>
    </w:r>
    <w:r>
      <w:t xml:space="preserve"> </w:t>
    </w:r>
    <w:r w:rsidRPr="00CD21D9">
      <w:rPr>
        <w:b/>
        <w:bCs/>
      </w:rPr>
      <w:t>DO NOT REPRINT OR DISTRIBUTE</w:t>
    </w:r>
    <w:r w:rsidR="00CD21D9">
      <w:rPr>
        <w:b/>
        <w:bCs/>
      </w:rPr>
      <w:t xml:space="preserve">                                             </w:t>
    </w:r>
    <w:r w:rsidR="00CD21D9" w:rsidRPr="00CD21D9">
      <w:t>06-2021</w:t>
    </w:r>
  </w:p>
  <w:p w14:paraId="6D24B618" w14:textId="77777777" w:rsidR="00F03856" w:rsidRPr="00CD21D9" w:rsidRDefault="00F0385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B3D2" w14:textId="77777777" w:rsidR="00390357" w:rsidRDefault="00390357" w:rsidP="00F03856">
      <w:pPr>
        <w:spacing w:after="0" w:line="240" w:lineRule="auto"/>
      </w:pPr>
      <w:r>
        <w:separator/>
      </w:r>
    </w:p>
  </w:footnote>
  <w:footnote w:type="continuationSeparator" w:id="0">
    <w:p w14:paraId="0030D34A" w14:textId="77777777" w:rsidR="00390357" w:rsidRDefault="00390357" w:rsidP="00F0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TcwMLEwMTMztjRW0lEKTi0uzszPAykwrgUAmheQFywAAAA="/>
  </w:docVars>
  <w:rsids>
    <w:rsidRoot w:val="00F03856"/>
    <w:rsid w:val="00241F4E"/>
    <w:rsid w:val="00390357"/>
    <w:rsid w:val="00511E10"/>
    <w:rsid w:val="00581274"/>
    <w:rsid w:val="009703D1"/>
    <w:rsid w:val="00B45CB1"/>
    <w:rsid w:val="00C84060"/>
    <w:rsid w:val="00CD21D9"/>
    <w:rsid w:val="00D93EFE"/>
    <w:rsid w:val="00DF5140"/>
    <w:rsid w:val="00E475C7"/>
    <w:rsid w:val="00F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3D8"/>
  <w15:chartTrackingRefBased/>
  <w15:docId w15:val="{69899757-08BA-4EDA-998B-5552C81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56"/>
    <w:rPr>
      <w:sz w:val="20"/>
      <w:szCs w:val="20"/>
    </w:rPr>
  </w:style>
  <w:style w:type="paragraph" w:customStyle="1" w:styleId="content">
    <w:name w:val="content"/>
    <w:basedOn w:val="Normal"/>
    <w:rsid w:val="00F0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3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56"/>
  </w:style>
  <w:style w:type="paragraph" w:styleId="Footer">
    <w:name w:val="footer"/>
    <w:basedOn w:val="Normal"/>
    <w:link w:val="FooterChar"/>
    <w:uiPriority w:val="99"/>
    <w:unhideWhenUsed/>
    <w:rsid w:val="00F0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vestopedia.com/terms/r/reit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vestopedia.com/terms/a/adr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vestopedia.com/terms/d/debenture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hares_outstand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vestopedia.com/video/play/understanding-etfs/" TargetMode="External"/><Relationship Id="rId10" Type="http://schemas.openxmlformats.org/officeDocument/2006/relationships/hyperlink" Target="https://en.wikipedia.org/wiki/Market_valu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Stock_market_index" TargetMode="External"/><Relationship Id="rId14" Type="http://schemas.openxmlformats.org/officeDocument/2006/relationships/hyperlink" Target="https://www.investopedia.com/terms/t/trackingstock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FBD43F37BD43A30738EAB9CA876C" ma:contentTypeVersion="12" ma:contentTypeDescription="Create a new document." ma:contentTypeScope="" ma:versionID="33e3bb00dc930221dfe59968c3cd9cac">
  <xsd:schema xmlns:xsd="http://www.w3.org/2001/XMLSchema" xmlns:xs="http://www.w3.org/2001/XMLSchema" xmlns:p="http://schemas.microsoft.com/office/2006/metadata/properties" xmlns:ns2="a4f30fad-ec43-45d9-91d1-d4d554fb6648" xmlns:ns3="9e2271fd-a704-4b1b-80b0-a7ef36a72bca" targetNamespace="http://schemas.microsoft.com/office/2006/metadata/properties" ma:root="true" ma:fieldsID="07bcffe74055e2b9c101175458b1dc83" ns2:_="" ns3:_="">
    <xsd:import namespace="a4f30fad-ec43-45d9-91d1-d4d554fb6648"/>
    <xsd:import namespace="9e2271fd-a704-4b1b-80b0-a7ef36a7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0fad-ec43-45d9-91d1-d4d554fb6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71fd-a704-4b1b-80b0-a7ef36a72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EAC46-4E53-49A5-9D33-7615A2400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CFF4D-3628-4D62-B670-5316782F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0fad-ec43-45d9-91d1-d4d554fb6648"/>
    <ds:schemaRef ds:uri="9e2271fd-a704-4b1b-80b0-a7ef36a7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F7ED8-25FA-444C-B302-214E3390A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Eraine Parker</dc:creator>
  <cp:keywords/>
  <dc:description/>
  <cp:lastModifiedBy>Eraine Parker</cp:lastModifiedBy>
  <cp:revision>7</cp:revision>
  <dcterms:created xsi:type="dcterms:W3CDTF">2021-07-01T23:45:00Z</dcterms:created>
  <dcterms:modified xsi:type="dcterms:W3CDTF">2021-07-01T23:48:00Z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0x0101003519FBD43F37BD43A30738EAB9CA876C</vt:lpwstr>
  </property>
</Properties>
</file>