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A8" w:rsidRDefault="0093117C" w:rsidP="00037EA8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bookmarkStart w:id="0" w:name="_GoBack"/>
      <w:r>
        <w:rPr>
          <w:rFonts w:asciiTheme="majorHAnsi" w:hAnsiTheme="majorHAnsi" w:cs="Times New Roman"/>
          <w:i/>
          <w:sz w:val="28"/>
          <w:szCs w:val="24"/>
        </w:rPr>
        <w:t xml:space="preserve">In this week’s recap: the three Wall Street benchmarks advance as investors </w:t>
      </w:r>
      <w:bookmarkEnd w:id="0"/>
      <w:r>
        <w:rPr>
          <w:rFonts w:asciiTheme="majorHAnsi" w:hAnsiTheme="majorHAnsi" w:cs="Times New Roman"/>
          <w:i/>
          <w:sz w:val="28"/>
          <w:szCs w:val="24"/>
        </w:rPr>
        <w:t>respond to newly scheduled U.S.-China trade talks and see a silver lining in the latest employment and manufacturing data.</w:t>
      </w:r>
    </w:p>
    <w:p w:rsidR="00037EA8" w:rsidRDefault="0093117C" w:rsidP="00037EA8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>
        <w:rPr>
          <w:rFonts w:asciiTheme="majorHAnsi" w:hAnsiTheme="majorHAnsi"/>
          <w:b/>
          <w:noProof/>
          <w:sz w:val="72"/>
        </w:rPr>
        <w:t>Weekly Economic Update</w:t>
      </w:r>
    </w:p>
    <w:p w:rsidR="00037EA8" w:rsidRDefault="0093117C" w:rsidP="00037EA8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037EA8" w:rsidRDefault="0093117C" w:rsidP="00037EA8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>
        <w:rPr>
          <w:rFonts w:asciiTheme="majorHAnsi" w:hAnsiTheme="majorHAnsi" w:cs="Times New Roman"/>
          <w:i/>
          <w:color w:val="646464"/>
          <w:sz w:val="24"/>
          <w:szCs w:val="24"/>
        </w:rPr>
        <w:t>Presented by Michael J. Levine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, September 9, 2019</w:t>
      </w:r>
    </w:p>
    <w:p w:rsidR="00037EA8" w:rsidRDefault="0093117C" w:rsidP="00037EA8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037EA8" w:rsidRDefault="0093117C" w:rsidP="00037EA8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037EA8" w:rsidRDefault="0093117C" w:rsidP="00037EA8">
      <w:pPr>
        <w:spacing w:line="276" w:lineRule="auto"/>
        <w:jc w:val="both"/>
        <w:rPr>
          <w:rStyle w:val="st"/>
          <w:sz w:val="24"/>
        </w:rPr>
      </w:pPr>
      <w:r>
        <w:rPr>
          <w:rStyle w:val="st"/>
          <w:rFonts w:asciiTheme="majorHAnsi" w:hAnsiTheme="majorHAnsi"/>
          <w:sz w:val="24"/>
        </w:rPr>
        <w:t xml:space="preserve">Stocks rose last week, with help from two developments: the announcement of further U.S.-China trade talks as well as August hiring and manufacturing numbers that seemed to bolster the argument for a rate cut by the Federal Reserve.  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sz w:val="24"/>
        </w:rPr>
        <w:t>The broad U.S. equity</w:t>
      </w:r>
      <w:r>
        <w:rPr>
          <w:rStyle w:val="st"/>
          <w:rFonts w:asciiTheme="majorHAnsi" w:hAnsiTheme="majorHAnsi"/>
          <w:sz w:val="24"/>
        </w:rPr>
        <w:t xml:space="preserve"> market, as represented by the S&amp;P 500, added 1.79% during a 4-day trading week. The Dow Jones Industrial Average improved 1.49%; the Nasdaq Composite, 1.76%. Foreign shares tracked by the MSCI EAFE index gained 1.69%.</w:t>
      </w:r>
      <w:r>
        <w:rPr>
          <w:rStyle w:val="st"/>
          <w:rFonts w:asciiTheme="majorHAnsi" w:hAnsiTheme="majorHAnsi"/>
          <w:sz w:val="24"/>
          <w:vertAlign w:val="superscript"/>
        </w:rPr>
        <w:t>1-3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037EA8" w:rsidRDefault="0093117C" w:rsidP="00037EA8">
      <w:pPr>
        <w:spacing w:line="276" w:lineRule="auto"/>
        <w:jc w:val="both"/>
        <w:rPr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Trade Talks Poised to Restart</w:t>
      </w:r>
    </w:p>
    <w:p w:rsidR="00037EA8" w:rsidRDefault="0093117C" w:rsidP="00037EA8">
      <w:pPr>
        <w:spacing w:line="276" w:lineRule="auto"/>
        <w:jc w:val="both"/>
        <w:rPr>
          <w:rStyle w:val="st"/>
          <w:sz w:val="24"/>
        </w:rPr>
      </w:pPr>
      <w:bookmarkStart w:id="1" w:name="_Hlk18676014"/>
      <w:r>
        <w:rPr>
          <w:rStyle w:val="st"/>
          <w:rFonts w:asciiTheme="majorHAnsi" w:hAnsiTheme="majorHAnsi"/>
          <w:sz w:val="24"/>
        </w:rPr>
        <w:t>Tra</w:t>
      </w:r>
      <w:r>
        <w:rPr>
          <w:rStyle w:val="st"/>
          <w:rFonts w:asciiTheme="majorHAnsi" w:hAnsiTheme="majorHAnsi"/>
          <w:sz w:val="24"/>
        </w:rPr>
        <w:t>de representatives from the U.S. and China are planning to head back to the negotiating table early next month</w:t>
      </w:r>
      <w:bookmarkEnd w:id="1"/>
      <w:r>
        <w:rPr>
          <w:rStyle w:val="st"/>
          <w:rFonts w:asciiTheme="majorHAnsi" w:hAnsiTheme="majorHAnsi"/>
          <w:sz w:val="24"/>
        </w:rPr>
        <w:t>. This news came Thursday from China’s ministry of commerce, which confirmed a verbal agreement among Secretary of the Treasury Steven Mnuchin, U.</w:t>
      </w:r>
      <w:r>
        <w:rPr>
          <w:rStyle w:val="st"/>
          <w:rFonts w:asciiTheme="majorHAnsi" w:hAnsiTheme="majorHAnsi"/>
          <w:sz w:val="24"/>
        </w:rPr>
        <w:t xml:space="preserve">S. Trade Representative Robert Lighthizer, and Chinese Vice Premier Liu He.  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>
        <w:rPr>
          <w:rStyle w:val="st"/>
          <w:rFonts w:asciiTheme="majorHAnsi" w:hAnsiTheme="majorHAnsi"/>
          <w:sz w:val="24"/>
        </w:rPr>
        <w:t>Formal trade discussions between the U.S. and China last happened in July. China has said that it wants punitive U.S. tariffs on its products removed in the event of a deal.</w:t>
      </w:r>
      <w:r>
        <w:rPr>
          <w:rStyle w:val="st"/>
          <w:rFonts w:asciiTheme="majorHAnsi" w:hAnsiTheme="majorHAnsi"/>
          <w:sz w:val="24"/>
          <w:vertAlign w:val="superscript"/>
        </w:rPr>
        <w:t>4</w:t>
      </w:r>
      <w:r>
        <w:rPr>
          <w:rStyle w:val="st"/>
          <w:rFonts w:asciiTheme="majorHAnsi" w:hAnsiTheme="majorHAnsi"/>
          <w:sz w:val="24"/>
        </w:rPr>
        <w:t xml:space="preserve">  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</w:p>
    <w:p w:rsidR="00037EA8" w:rsidRDefault="0093117C" w:rsidP="00037EA8">
      <w:pPr>
        <w:spacing w:line="276" w:lineRule="auto"/>
        <w:jc w:val="both"/>
        <w:rPr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Weaker Hiring &amp; Manufacturing Data</w:t>
      </w:r>
    </w:p>
    <w:p w:rsidR="00037EA8" w:rsidRDefault="0093117C" w:rsidP="00037EA8">
      <w:pPr>
        <w:spacing w:line="276" w:lineRule="auto"/>
        <w:jc w:val="both"/>
        <w:rPr>
          <w:rStyle w:val="st"/>
          <w:sz w:val="24"/>
        </w:rPr>
      </w:pPr>
      <w:r>
        <w:rPr>
          <w:rStyle w:val="st"/>
          <w:rFonts w:asciiTheme="majorHAnsi" w:hAnsiTheme="majorHAnsi"/>
          <w:sz w:val="24"/>
        </w:rPr>
        <w:t>Payrolls expanded with just 130,000 net new jobs in August, according to the Department of Labor; 25,000 were temp jobs linked to the federal government’s 2020 Census. The main jobless rate stayed at 3.7%. The U-6 rate, w</w:t>
      </w:r>
      <w:r>
        <w:rPr>
          <w:rStyle w:val="st"/>
          <w:rFonts w:asciiTheme="majorHAnsi" w:hAnsiTheme="majorHAnsi"/>
          <w:sz w:val="24"/>
        </w:rPr>
        <w:t>hich measures both unemployment and underemployment, rose 0.2% to 7.2%.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sz w:val="24"/>
        </w:rPr>
        <w:t xml:space="preserve">A key gauge of U.S. factory activity, the Institute for Supply Management’s manufacturing purchasing manager index, fell to 49.1 in August. A number below 50 indicates factory sector </w:t>
      </w:r>
      <w:r>
        <w:rPr>
          <w:rStyle w:val="st"/>
          <w:rFonts w:asciiTheme="majorHAnsi" w:hAnsiTheme="majorHAnsi"/>
          <w:sz w:val="24"/>
        </w:rPr>
        <w:lastRenderedPageBreak/>
        <w:t>c</w:t>
      </w:r>
      <w:r>
        <w:rPr>
          <w:rStyle w:val="st"/>
          <w:rFonts w:asciiTheme="majorHAnsi" w:hAnsiTheme="majorHAnsi"/>
          <w:sz w:val="24"/>
        </w:rPr>
        <w:t>ontraction. Some investors took these hiring and manufacturing reports as hints of a slowing economy, one which the Federal Reserve could potentially try to stimulate with an interest rate cut.</w:t>
      </w:r>
      <w:r>
        <w:rPr>
          <w:rStyle w:val="st"/>
          <w:rFonts w:asciiTheme="majorHAnsi" w:hAnsiTheme="majorHAnsi"/>
          <w:sz w:val="24"/>
          <w:vertAlign w:val="superscript"/>
        </w:rPr>
        <w:t>5,6</w:t>
      </w:r>
    </w:p>
    <w:p w:rsidR="00037EA8" w:rsidRDefault="0093117C" w:rsidP="00037EA8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</w:p>
    <w:p w:rsidR="00037EA8" w:rsidRDefault="0093117C" w:rsidP="00037EA8">
      <w:pPr>
        <w:spacing w:line="276" w:lineRule="auto"/>
        <w:jc w:val="both"/>
        <w:rPr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WHAT’s AHEAD</w:t>
      </w:r>
    </w:p>
    <w:p w:rsidR="00037EA8" w:rsidRDefault="0093117C" w:rsidP="00037EA8">
      <w:pPr>
        <w:spacing w:line="276" w:lineRule="auto"/>
        <w:jc w:val="both"/>
        <w:rPr>
          <w:rStyle w:val="st"/>
          <w:sz w:val="24"/>
          <w:vertAlign w:val="superscript"/>
        </w:rPr>
      </w:pPr>
      <w:r>
        <w:rPr>
          <w:rStyle w:val="st"/>
          <w:rFonts w:asciiTheme="majorHAnsi" w:hAnsiTheme="majorHAnsi"/>
          <w:sz w:val="24"/>
        </w:rPr>
        <w:t xml:space="preserve">August inflation data arrives this week, and </w:t>
      </w:r>
      <w:r>
        <w:rPr>
          <w:rStyle w:val="st"/>
          <w:rFonts w:asciiTheme="majorHAnsi" w:hAnsiTheme="majorHAnsi"/>
          <w:sz w:val="24"/>
        </w:rPr>
        <w:t>if looks especially mild, it may amount to another suggestion that the Fed should ease. The European Central Bank concludes a meeting on Thursday, and Fed officials will certainly pay attention to its latest policy statement.</w:t>
      </w:r>
      <w:r>
        <w:rPr>
          <w:rStyle w:val="st"/>
          <w:rFonts w:asciiTheme="majorHAnsi" w:hAnsiTheme="majorHAnsi"/>
          <w:sz w:val="24"/>
          <w:vertAlign w:val="superscript"/>
        </w:rPr>
        <w:t>7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4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>
        <w:rPr>
          <w:rStyle w:val="st"/>
          <w:rFonts w:asciiTheme="majorHAnsi" w:hAnsiTheme="majorHAnsi"/>
          <w:color w:val="E88E0A"/>
        </w:rPr>
        <w:t xml:space="preserve">T I P   O F   T H E   W E </w:t>
      </w:r>
      <w:r>
        <w:rPr>
          <w:rStyle w:val="st"/>
          <w:rFonts w:asciiTheme="majorHAnsi" w:hAnsiTheme="majorHAnsi"/>
          <w:color w:val="E88E0A"/>
        </w:rPr>
        <w:t>E K</w:t>
      </w:r>
      <w:r>
        <w:rPr>
          <w:rStyle w:val="st"/>
          <w:rFonts w:asciiTheme="majorHAnsi" w:hAnsiTheme="majorHAnsi"/>
          <w:color w:val="E88E0A"/>
        </w:rPr>
        <w:br/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1200" cy="71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>
        <w:rPr>
          <w:rStyle w:val="st"/>
          <w:rFonts w:asciiTheme="majorHAnsi" w:hAnsiTheme="majorHAnsi"/>
          <w:i/>
          <w:sz w:val="28"/>
        </w:rPr>
        <w:t xml:space="preserve">Some consumers pay </w:t>
      </w:r>
      <w:r>
        <w:rPr>
          <w:rStyle w:val="st"/>
          <w:rFonts w:asciiTheme="majorHAnsi" w:hAnsiTheme="majorHAnsi"/>
          <w:b/>
          <w:bCs/>
          <w:i/>
          <w:sz w:val="28"/>
        </w:rPr>
        <w:t>$100 or more in ATM fees annually</w:t>
      </w:r>
      <w:r>
        <w:rPr>
          <w:rStyle w:val="st"/>
          <w:rFonts w:asciiTheme="majorHAnsi" w:hAnsiTheme="majorHAnsi"/>
          <w:i/>
          <w:sz w:val="28"/>
        </w:rPr>
        <w:t xml:space="preserve"> because they make withdrawals from </w:t>
      </w:r>
      <w:r>
        <w:rPr>
          <w:rStyle w:val="st"/>
          <w:rFonts w:asciiTheme="majorHAnsi" w:hAnsiTheme="majorHAnsi"/>
          <w:b/>
          <w:bCs/>
          <w:i/>
          <w:sz w:val="28"/>
        </w:rPr>
        <w:t>third-party ATMs</w:t>
      </w:r>
      <w:r>
        <w:rPr>
          <w:rStyle w:val="st"/>
          <w:rFonts w:asciiTheme="majorHAnsi" w:hAnsiTheme="majorHAnsi"/>
          <w:i/>
          <w:sz w:val="28"/>
        </w:rPr>
        <w:t>. If you bank with a major lender, try to make ATM withdrawals strictly from their branches.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4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rPr>
          <w:b/>
          <w:color w:val="E88E0A"/>
          <w:spacing w:val="-2"/>
          <w:sz w:val="6"/>
        </w:rPr>
      </w:pPr>
    </w:p>
    <w:p w:rsidR="00037EA8" w:rsidRDefault="0093117C" w:rsidP="00037EA8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037EA8" w:rsidRDefault="0093117C" w:rsidP="00037EA8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bookmarkStart w:id="2" w:name="_Hlk3729023"/>
      <w:r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new Consumer Price Index, tracking both monthly and yearly inflation.</w:t>
      </w:r>
    </w:p>
    <w:p w:rsidR="00037EA8" w:rsidRDefault="0093117C" w:rsidP="00037EA8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The August retail sales report from the Census Bureau</w:t>
      </w:r>
      <w:r>
        <w:rPr>
          <w:rFonts w:asciiTheme="majorHAnsi" w:hAnsiTheme="majorHAnsi"/>
          <w:color w:val="000000" w:themeColor="text1"/>
          <w:spacing w:val="-2"/>
          <w:sz w:val="24"/>
        </w:rPr>
        <w:t>.</w:t>
      </w:r>
    </w:p>
    <w:bookmarkEnd w:id="2"/>
    <w:p w:rsidR="00037EA8" w:rsidRDefault="0093117C" w:rsidP="00037EA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color w:val="000000"/>
          <w:sz w:val="18"/>
          <w:szCs w:val="20"/>
        </w:rPr>
        <w:t>Source: Econoday, September 6, 2019</w:t>
      </w:r>
    </w:p>
    <w:p w:rsidR="00037EA8" w:rsidRDefault="0093117C" w:rsidP="00037EA8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>
        <w:rPr>
          <w:rFonts w:eastAsia="Times New Roman"/>
          <w:color w:val="000000"/>
          <w:sz w:val="18"/>
          <w:szCs w:val="20"/>
        </w:rPr>
        <w:t>The content is developed from sources believed to be providing accurate information. Th</w:t>
      </w:r>
      <w:r>
        <w:rPr>
          <w:rFonts w:eastAsia="Times New Roman"/>
          <w:color w:val="000000"/>
          <w:sz w:val="18"/>
          <w:szCs w:val="20"/>
        </w:rPr>
        <w:t>e forecasts or forward-looking statements are based on assumptions and may not materialize. The forecasts also are subject to revision. The release of data may be delayed without notice for a variety of reasons.</w:t>
      </w:r>
    </w:p>
    <w:p w:rsidR="00037EA8" w:rsidRDefault="0093117C" w:rsidP="00037EA8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037EA8" w:rsidRDefault="0093117C" w:rsidP="00037EA8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</w:t>
      </w:r>
      <w:r>
        <w:rPr>
          <w:rFonts w:asciiTheme="majorHAnsi" w:hAnsiTheme="majorHAnsi"/>
          <w:b/>
          <w:color w:val="E88E0A"/>
          <w:spacing w:val="-2"/>
          <w:sz w:val="28"/>
        </w:rPr>
        <w:t>S</w:t>
      </w:r>
    </w:p>
    <w:p w:rsidR="00037EA8" w:rsidRDefault="0093117C" w:rsidP="00037EA8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Broadcom (AVGO), Kroger (KR)</w:t>
      </w:r>
    </w:p>
    <w:p w:rsidR="00037EA8" w:rsidRDefault="0093117C" w:rsidP="00037EA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color w:val="000000"/>
          <w:sz w:val="18"/>
          <w:szCs w:val="20"/>
        </w:rPr>
        <w:t>Source: Zacks, September 6, 2019</w:t>
      </w:r>
    </w:p>
    <w:p w:rsidR="00037EA8" w:rsidRDefault="0093117C" w:rsidP="00037EA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color w:val="000000"/>
          <w:sz w:val="18"/>
          <w:szCs w:val="20"/>
        </w:rPr>
        <w:t>Companies mentioned are for informational purposes only. It should not be considered a solicitation for the purchase or sale of the securities. Any investment should be consistent wi</w:t>
      </w:r>
      <w:r>
        <w:rPr>
          <w:rFonts w:eastAsia="Times New Roman"/>
          <w:color w:val="000000"/>
          <w:sz w:val="18"/>
          <w:szCs w:val="20"/>
        </w:rPr>
        <w:t xml:space="preserve">th your objectives, time frame, and risk tolerance. The return and </w:t>
      </w:r>
      <w:r>
        <w:rPr>
          <w:rFonts w:eastAsia="Times New Roman"/>
          <w:color w:val="000000"/>
          <w:sz w:val="18"/>
          <w:szCs w:val="20"/>
        </w:rPr>
        <w:lastRenderedPageBreak/>
        <w:t>principal value of investments will fluctuate as market conditions change. When sold, investments may be worth more or less than their original cost. Companies may reschedule when they repo</w:t>
      </w:r>
      <w:r>
        <w:rPr>
          <w:rFonts w:eastAsia="Times New Roman"/>
          <w:color w:val="000000"/>
          <w:sz w:val="18"/>
          <w:szCs w:val="20"/>
        </w:rPr>
        <w:t>rt earnings without notice.</w:t>
      </w:r>
    </w:p>
    <w:p w:rsidR="00037EA8" w:rsidRDefault="0093117C" w:rsidP="00037EA8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4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Q U O T E   O F   T H E   W E E K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9950" cy="6413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>
        <w:rPr>
          <w:rStyle w:val="st"/>
          <w:rFonts w:asciiTheme="majorHAnsi" w:hAnsiTheme="majorHAnsi"/>
          <w:i/>
          <w:sz w:val="36"/>
        </w:rPr>
        <w:t xml:space="preserve">“Life is like a </w:t>
      </w:r>
      <w:r>
        <w:rPr>
          <w:rStyle w:val="st"/>
          <w:rFonts w:asciiTheme="majorHAnsi" w:hAnsiTheme="majorHAnsi"/>
          <w:b/>
          <w:bCs/>
          <w:i/>
          <w:sz w:val="36"/>
        </w:rPr>
        <w:t>ten-speed bicycle</w:t>
      </w:r>
      <w:r>
        <w:rPr>
          <w:rStyle w:val="st"/>
          <w:rFonts w:asciiTheme="majorHAnsi" w:hAnsiTheme="majorHAnsi"/>
          <w:i/>
          <w:sz w:val="36"/>
        </w:rPr>
        <w:t xml:space="preserve">. Most of us have </w:t>
      </w:r>
      <w:r>
        <w:rPr>
          <w:rStyle w:val="st"/>
          <w:rFonts w:asciiTheme="majorHAnsi" w:hAnsiTheme="majorHAnsi"/>
          <w:b/>
          <w:bCs/>
          <w:i/>
          <w:sz w:val="36"/>
        </w:rPr>
        <w:t>gears</w:t>
      </w:r>
      <w:r>
        <w:rPr>
          <w:rStyle w:val="st"/>
          <w:rFonts w:asciiTheme="majorHAnsi" w:hAnsiTheme="majorHAnsi"/>
          <w:i/>
          <w:sz w:val="36"/>
        </w:rPr>
        <w:t xml:space="preserve"> we never use.”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CHARLES M. SCHULTZ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47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037EA8" w:rsidRDefault="0093117C" w:rsidP="00037EA8">
      <w:pPr>
        <w:spacing w:line="276" w:lineRule="auto"/>
        <w:jc w:val="center"/>
        <w:rPr>
          <w:rFonts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</w:rPr>
      </w:pPr>
      <w:r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4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 K L Y   R I D D L E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683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r>
        <w:rPr>
          <w:rStyle w:val="st"/>
          <w:rFonts w:asciiTheme="majorHAnsi" w:hAnsiTheme="majorHAnsi"/>
          <w:i/>
          <w:sz w:val="36"/>
        </w:rPr>
        <w:t xml:space="preserve">It is not </w:t>
      </w:r>
      <w:r>
        <w:rPr>
          <w:rStyle w:val="st"/>
          <w:rFonts w:asciiTheme="majorHAnsi" w:hAnsiTheme="majorHAnsi"/>
          <w:b/>
          <w:bCs/>
          <w:i/>
          <w:sz w:val="36"/>
        </w:rPr>
        <w:t>alive</w:t>
      </w:r>
      <w:r>
        <w:rPr>
          <w:rStyle w:val="st"/>
          <w:rFonts w:asciiTheme="majorHAnsi" w:hAnsiTheme="majorHAnsi"/>
          <w:i/>
          <w:sz w:val="36"/>
        </w:rPr>
        <w:t xml:space="preserve">; it cannot </w:t>
      </w:r>
      <w:r>
        <w:rPr>
          <w:rStyle w:val="st"/>
          <w:rFonts w:asciiTheme="majorHAnsi" w:hAnsiTheme="majorHAnsi"/>
          <w:b/>
          <w:bCs/>
          <w:i/>
          <w:sz w:val="36"/>
        </w:rPr>
        <w:t>see</w:t>
      </w:r>
      <w:r>
        <w:rPr>
          <w:rStyle w:val="st"/>
          <w:rFonts w:asciiTheme="majorHAnsi" w:hAnsiTheme="majorHAnsi"/>
          <w:i/>
          <w:sz w:val="36"/>
        </w:rPr>
        <w:t xml:space="preserve">. Yet it has an </w:t>
      </w:r>
      <w:r>
        <w:rPr>
          <w:rStyle w:val="st"/>
          <w:rFonts w:asciiTheme="majorHAnsi" w:hAnsiTheme="majorHAnsi"/>
          <w:b/>
          <w:bCs/>
          <w:i/>
          <w:sz w:val="36"/>
        </w:rPr>
        <w:t>eye,</w:t>
      </w:r>
      <w:r>
        <w:rPr>
          <w:rStyle w:val="st"/>
          <w:rFonts w:asciiTheme="majorHAnsi" w:hAnsiTheme="majorHAnsi"/>
          <w:i/>
          <w:sz w:val="36"/>
        </w:rPr>
        <w:t xml:space="preserve"> and it can make you gasp or cry, if you are not careful. What might it be?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>
        <w:rPr>
          <w:rStyle w:val="st"/>
          <w:rFonts w:asciiTheme="majorHAnsi" w:hAnsiTheme="majorHAnsi"/>
          <w:i/>
          <w:color w:val="646464"/>
        </w:rPr>
        <w:t>LAST WEEK’S RIDDLE: When I was 2 years old, my brother was half my age. Now I am 100 years old, how old is my brother?</w:t>
      </w:r>
    </w:p>
    <w:p w:rsidR="00037EA8" w:rsidRDefault="0093117C" w:rsidP="00037EA8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>
        <w:rPr>
          <w:rStyle w:val="st"/>
          <w:rFonts w:asciiTheme="majorHAnsi" w:hAnsiTheme="majorHAnsi"/>
          <w:i/>
          <w:color w:val="646464"/>
        </w:rPr>
        <w:t>ANSWER: 99. Half of 2 is 1. 2+98=100, and 1+98=99.</w:t>
      </w:r>
    </w:p>
    <w:p w:rsidR="005A4FD6" w:rsidRPr="0043614C" w:rsidRDefault="0093117C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5A4FD6" w:rsidRDefault="0093117C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93117C" w:rsidP="005A4FD6">
      <w:pPr>
        <w:spacing w:line="276" w:lineRule="auto"/>
        <w:rPr>
          <w:rFonts w:asciiTheme="majorHAnsi" w:hAnsiTheme="majorHAnsi"/>
          <w:color w:val="A6A6A6" w:themeColor="background1" w:themeShade="A6"/>
          <w:sz w:val="4"/>
          <w:szCs w:val="20"/>
        </w:rPr>
      </w:pPr>
    </w:p>
    <w:p w:rsidR="005A4FD6" w:rsidRPr="0043614C" w:rsidRDefault="0093117C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>Please feel free to send us their contact information via phone or email. (Don’t worry – we’ll request their permission before adding them t</w:t>
      </w:r>
      <w:r>
        <w:rPr>
          <w:rFonts w:asciiTheme="majorHAnsi" w:hAnsiTheme="majorHAnsi" w:cs="Times New Roman"/>
          <w:sz w:val="24"/>
          <w:szCs w:val="32"/>
        </w:rPr>
        <w:t>o our mailing list.)</w:t>
      </w:r>
    </w:p>
    <w:p w:rsidR="00237981" w:rsidRDefault="0093117C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93117C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93117C" w:rsidRDefault="0093117C" w:rsidP="0093117C">
      <w:pPr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Securities offered through Kestra Investment Services, LLC (Kestra IS), a member FINRA/SIPC.  Investment advisory services offered through Kestra Advisory Services, LLC (Kestra AS), </w:t>
      </w:r>
      <w:proofErr w:type="gram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an</w:t>
      </w:r>
      <w:proofErr w:type="gram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affiliate of Kestra IS.  Levine Group, LLC is not affiliated with Kestra IS or Kestra AS.</w:t>
      </w:r>
    </w:p>
    <w:p w:rsidR="00C5409B" w:rsidRPr="002543AC" w:rsidRDefault="0093117C" w:rsidP="00C5409B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3" w:name="_Hlk2950709"/>
      <w:bookmarkStart w:id="4" w:name="_Hlk5367224"/>
      <w:bookmarkStart w:id="5" w:name="_Hlk1133051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C5409B" w:rsidRDefault="0093117C" w:rsidP="00C5409B">
      <w:pPr>
        <w:spacing w:after="0" w:line="240" w:lineRule="auto"/>
        <w:rPr>
          <w:noProof/>
        </w:rPr>
      </w:pPr>
      <w:bookmarkStart w:id="6" w:name="_Hlk7787319"/>
      <w:r>
        <w:rPr>
          <w:rFonts w:asciiTheme="majorHAnsi" w:hAnsiTheme="majorHAnsi" w:cs="Arial"/>
          <w:color w:val="767171" w:themeColor="background2" w:themeShade="80"/>
          <w:sz w:val="16"/>
        </w:rPr>
        <w:t>1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bookmarkStart w:id="7" w:name="_Hlk8391553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bookmarkEnd w:id="7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9/6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  <w:r w:rsidRPr="00A17958">
        <w:rPr>
          <w:noProof/>
        </w:rPr>
        <w:t xml:space="preserve"> </w:t>
      </w:r>
      <w:r w:rsidRPr="002B461B">
        <w:rPr>
          <w:noProof/>
        </w:rPr>
        <w:t xml:space="preserve">  </w:t>
      </w:r>
    </w:p>
    <w:p w:rsidR="00C5409B" w:rsidRPr="004839D3" w:rsidRDefault="0093117C" w:rsidP="00C5409B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>2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8/30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C5409B" w:rsidRPr="004839D3" w:rsidRDefault="0093117C" w:rsidP="004839D3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3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bookmarkStart w:id="8" w:name="_Hlk3552605"/>
      <w:bookmarkStart w:id="9" w:name="_Hlk597239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quotes.wsj.com/index/XX/990300/historical-prices</w:t>
      </w:r>
      <w:bookmarkEnd w:id="8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bookmarkEnd w:id="9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9/6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445D86" w:rsidRPr="004839D3" w:rsidRDefault="0093117C" w:rsidP="004839D3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>4 -</w:t>
      </w:r>
      <w:bookmarkStart w:id="10" w:name="_Hlk18071214"/>
      <w:r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 w:rsidRPr="001520E2">
        <w:rPr>
          <w:rFonts w:asciiTheme="majorHAnsi" w:hAnsiTheme="majorHAnsi" w:cs="Arial"/>
          <w:color w:val="767171" w:themeColor="background2" w:themeShade="80"/>
          <w:sz w:val="16"/>
        </w:rPr>
        <w:t>cbsnews.com/news/u-s-china-trade-talks-scheduled-for-october-beijing-says-2019-09-05/</w:t>
      </w:r>
      <w:r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bookmarkEnd w:id="10"/>
      <w:r>
        <w:rPr>
          <w:rFonts w:asciiTheme="majorHAnsi" w:hAnsiTheme="majorHAnsi" w:cs="Arial"/>
          <w:color w:val="767171" w:themeColor="background2" w:themeShade="80"/>
          <w:sz w:val="16"/>
        </w:rPr>
        <w:t>[9/5/19]</w:t>
      </w:r>
    </w:p>
    <w:p w:rsidR="00C5409B" w:rsidRDefault="0093117C" w:rsidP="00C5409B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5 - </w:t>
      </w:r>
      <w:r w:rsidRPr="00222D00">
        <w:rPr>
          <w:rFonts w:asciiTheme="majorHAnsi" w:hAnsiTheme="majorHAnsi" w:cs="Arial"/>
          <w:color w:val="767171" w:themeColor="background2" w:themeShade="80"/>
          <w:sz w:val="16"/>
        </w:rPr>
        <w:t xml:space="preserve">bloomberg.com/news/articles/2019-09-06/u-s-payrolls-rise-130-000-boosted-by-25-000-for-census-count </w:t>
      </w:r>
      <w:r>
        <w:rPr>
          <w:rFonts w:asciiTheme="majorHAnsi" w:hAnsiTheme="majorHAnsi" w:cs="Arial"/>
          <w:color w:val="767171" w:themeColor="background2" w:themeShade="80"/>
          <w:sz w:val="16"/>
        </w:rPr>
        <w:t>[9/6/19]</w:t>
      </w:r>
    </w:p>
    <w:p w:rsidR="00C5409B" w:rsidRDefault="0093117C" w:rsidP="00C5409B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6 - </w:t>
      </w:r>
      <w:r w:rsidRPr="00222D00">
        <w:rPr>
          <w:rFonts w:asciiTheme="majorHAnsi" w:hAnsiTheme="majorHAnsi" w:cs="Arial"/>
          <w:color w:val="767171" w:themeColor="background2" w:themeShade="80"/>
          <w:sz w:val="16"/>
        </w:rPr>
        <w:t xml:space="preserve">tradingeconomics.com/united-states/business-confidence </w:t>
      </w:r>
      <w:r>
        <w:rPr>
          <w:rFonts w:asciiTheme="majorHAnsi" w:hAnsiTheme="majorHAnsi" w:cs="Arial"/>
          <w:color w:val="767171" w:themeColor="background2" w:themeShade="80"/>
          <w:sz w:val="16"/>
        </w:rPr>
        <w:t>[9/3/19]</w:t>
      </w:r>
    </w:p>
    <w:p w:rsidR="00C5409B" w:rsidRDefault="0093117C" w:rsidP="00C5409B">
      <w:pPr>
        <w:spacing w:line="276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7 - </w:t>
      </w:r>
      <w:r w:rsidRPr="00FC43DC">
        <w:rPr>
          <w:rFonts w:asciiTheme="majorHAnsi" w:hAnsiTheme="majorHAnsi" w:cs="Calibri"/>
          <w:color w:val="767171" w:themeColor="background2" w:themeShade="80"/>
          <w:sz w:val="16"/>
          <w:szCs w:val="16"/>
        </w:rPr>
        <w:t>cnbc.com/2019/09/06/stocks-look-to-reclaim-their-all-time-highs-in-the-week-ahead.html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[9/6/19]</w:t>
      </w:r>
      <w:r w:rsidRPr="00FC43DC">
        <w:rPr>
          <w:noProof/>
        </w:rPr>
        <w:t xml:space="preserve"> </w:t>
      </w:r>
    </w:p>
    <w:p w:rsidR="00C5409B" w:rsidRPr="002543AC" w:rsidRDefault="0093117C" w:rsidP="00C5409B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11" w:name="_Hlk2950788"/>
      <w:bookmarkStart w:id="12" w:name="_Hlk5367252"/>
      <w:bookmarkEnd w:id="3"/>
      <w:bookmarkEnd w:id="4"/>
      <w:bookmarkEnd w:id="6"/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C5409B" w:rsidRPr="004839D3" w:rsidRDefault="0093117C" w:rsidP="00C5409B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3" w:name="_Hlk7787375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9/6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C5409B" w:rsidRDefault="0093117C" w:rsidP="00C5409B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A52D6F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[9/6/19]</w:t>
      </w:r>
    </w:p>
    <w:bookmarkEnd w:id="13"/>
    <w:p w:rsidR="00C5409B" w:rsidRPr="008E589A" w:rsidRDefault="0093117C" w:rsidP="00C5409B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4A7E82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treasury.gov/resource-center/data-chart-center/interest-rates/Pages/TextView.aspx?data=yieldYear&amp;year=2019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9/6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C5409B" w:rsidRPr="004839D3" w:rsidRDefault="0093117C" w:rsidP="00C5409B">
      <w:pPr>
        <w:spacing w:after="0" w:line="240" w:lineRule="auto"/>
        <w:rPr>
          <w:noProof/>
        </w:rPr>
      </w:pPr>
      <w:bookmarkStart w:id="14" w:name="_Hlk7787450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 [</w:t>
      </w:r>
      <w:r>
        <w:rPr>
          <w:rFonts w:asciiTheme="majorHAnsi" w:hAnsiTheme="majorHAnsi" w:cs="Arial"/>
          <w:color w:val="767171" w:themeColor="background2" w:themeShade="80"/>
          <w:sz w:val="16"/>
        </w:rPr>
        <w:t>9/6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bookmarkEnd w:id="5"/>
    <w:bookmarkEnd w:id="11"/>
    <w:bookmarkEnd w:id="12"/>
    <w:bookmarkEnd w:id="14"/>
    <w:p w:rsidR="007916FF" w:rsidRPr="00E55C73" w:rsidRDefault="0093117C" w:rsidP="00E02765">
      <w:pPr>
        <w:rPr>
          <w:color w:val="767171" w:themeColor="background2" w:themeShade="80"/>
        </w:rPr>
      </w:pPr>
    </w:p>
    <w:sectPr w:rsidR="007916FF" w:rsidRPr="00E55C73" w:rsidSect="002B3955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C"/>
    <w:rsid w:val="009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08056-DBB6-4EE5-9436-E75C1B0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2019-09-09T18:53:00Z</dcterms:created>
  <dcterms:modified xsi:type="dcterms:W3CDTF">2019-09-09T18:53:00Z</dcterms:modified>
</cp:coreProperties>
</file>