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6" w:rsidRPr="007103DF" w:rsidRDefault="00D47382" w:rsidP="005A4FD6">
      <w:pPr>
        <w:spacing w:before="160" w:line="240" w:lineRule="auto"/>
        <w:jc w:val="center"/>
        <w:rPr>
          <w:rFonts w:asciiTheme="majorHAnsi" w:hAnsiTheme="majorHAnsi" w:cs="Times New Roman"/>
          <w:i/>
          <w:sz w:val="28"/>
          <w:szCs w:val="24"/>
        </w:rPr>
      </w:pPr>
      <w:r w:rsidRPr="007103DF">
        <w:rPr>
          <w:rFonts w:asciiTheme="majorHAnsi" w:hAnsiTheme="majorHAnsi" w:cs="Times New Roman"/>
          <w:i/>
          <w:sz w:val="28"/>
          <w:szCs w:val="24"/>
        </w:rPr>
        <w:t xml:space="preserve">In this week’s recap: </w:t>
      </w:r>
      <w:r>
        <w:rPr>
          <w:rFonts w:asciiTheme="majorHAnsi" w:hAnsiTheme="majorHAnsi" w:cs="Times New Roman"/>
          <w:i/>
          <w:sz w:val="28"/>
          <w:szCs w:val="24"/>
        </w:rPr>
        <w:t>stocks fall after a Federal Reserve rate cut, new tariffs are planned for Chinese goods, and payrolls see triple-digit monthly growth</w:t>
      </w:r>
      <w:r w:rsidRPr="007103DF">
        <w:rPr>
          <w:rFonts w:asciiTheme="majorHAnsi" w:hAnsiTheme="majorHAnsi" w:cs="Times New Roman"/>
          <w:i/>
          <w:sz w:val="28"/>
          <w:szCs w:val="24"/>
        </w:rPr>
        <w:t>.</w:t>
      </w:r>
    </w:p>
    <w:p w:rsidR="005A4FD6" w:rsidRPr="00A56786" w:rsidRDefault="00D47382" w:rsidP="005A4FD6">
      <w:pPr>
        <w:spacing w:before="160" w:line="276" w:lineRule="auto"/>
        <w:jc w:val="center"/>
        <w:rPr>
          <w:rFonts w:asciiTheme="majorHAnsi" w:hAnsiTheme="majorHAnsi" w:cs="Times New Roman"/>
          <w:b/>
          <w:color w:val="000000" w:themeColor="text1"/>
          <w:sz w:val="72"/>
          <w:szCs w:val="24"/>
        </w:rPr>
      </w:pPr>
      <w:r w:rsidRPr="00A56786">
        <w:rPr>
          <w:rFonts w:asciiTheme="majorHAnsi" w:hAnsiTheme="majorHAnsi"/>
          <w:b/>
          <w:noProof/>
          <w:sz w:val="72"/>
        </w:rPr>
        <w:t>Weekly Economic Update</w:t>
      </w:r>
    </w:p>
    <w:p w:rsidR="005A4FD6" w:rsidRDefault="00D47382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376B8D"/>
          <w:sz w:val="28"/>
          <w:szCs w:val="24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D47382" w:rsidP="005A4FD6">
      <w:pPr>
        <w:spacing w:before="160"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"/>
          <w:szCs w:val="24"/>
        </w:rPr>
      </w:pPr>
    </w:p>
    <w:p w:rsidR="005A4FD6" w:rsidRPr="001162D1" w:rsidRDefault="00D47382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646464"/>
          <w:sz w:val="24"/>
          <w:szCs w:val="24"/>
        </w:rPr>
      </w:pP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Presented by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Michael J. Levine,</w:t>
      </w: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August 5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, 2019</w:t>
      </w:r>
    </w:p>
    <w:p w:rsidR="005A4FD6" w:rsidRPr="0043614C" w:rsidRDefault="00D47382" w:rsidP="005A4FD6">
      <w:pPr>
        <w:spacing w:before="160" w:line="276" w:lineRule="auto"/>
        <w:jc w:val="center"/>
        <w:rPr>
          <w:rFonts w:asciiTheme="majorHAnsi" w:hAnsiTheme="majorHAnsi" w:cs="Times New Roman"/>
          <w:color w:val="000000" w:themeColor="text1"/>
          <w:sz w:val="4"/>
          <w:szCs w:val="24"/>
        </w:rPr>
      </w:pPr>
    </w:p>
    <w:p w:rsidR="005A4FD6" w:rsidRDefault="00D47382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THE WEEK ON WALL STREET</w:t>
      </w:r>
    </w:p>
    <w:p w:rsidR="00CC4560" w:rsidRPr="00CC4560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C4560">
        <w:rPr>
          <w:rStyle w:val="st"/>
          <w:rFonts w:asciiTheme="majorHAnsi" w:hAnsiTheme="majorHAnsi"/>
          <w:sz w:val="24"/>
        </w:rPr>
        <w:t xml:space="preserve">Last week, the Federal Reserve cut interest rates for the first time in more than a decade, in line with Wall Street’s expectations. Ironically, stocks had their worst week of 2019. </w:t>
      </w:r>
    </w:p>
    <w:p w:rsidR="00C3439C" w:rsidRPr="0043614C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 w:rsidRPr="00CC4560">
        <w:rPr>
          <w:rStyle w:val="st"/>
          <w:rFonts w:asciiTheme="majorHAnsi" w:hAnsiTheme="majorHAnsi"/>
          <w:sz w:val="24"/>
        </w:rPr>
        <w:t xml:space="preserve">The S&amp;P </w:t>
      </w:r>
      <w:r w:rsidRPr="00CC4560">
        <w:rPr>
          <w:rStyle w:val="st"/>
          <w:rFonts w:asciiTheme="majorHAnsi" w:hAnsiTheme="majorHAnsi"/>
          <w:sz w:val="24"/>
        </w:rPr>
        <w:t>500 finished the week 3.10% lower. The Dow Jones Industrial Average and the Nasdaq Composite also posted weekly losses; the blue chips fell 2.60%</w:t>
      </w:r>
      <w:r>
        <w:rPr>
          <w:rStyle w:val="st"/>
          <w:rFonts w:asciiTheme="majorHAnsi" w:hAnsiTheme="majorHAnsi"/>
          <w:sz w:val="24"/>
        </w:rPr>
        <w:t>,</w:t>
      </w:r>
      <w:r w:rsidRPr="00CC4560">
        <w:rPr>
          <w:rStyle w:val="st"/>
          <w:rFonts w:asciiTheme="majorHAnsi" w:hAnsiTheme="majorHAnsi"/>
          <w:sz w:val="24"/>
        </w:rPr>
        <w:t xml:space="preserve"> while the premier tech benchmark slumped 3.92%. International stocks tracked by MSCI’s EAFE index dipped 1.06</w:t>
      </w:r>
      <w:r w:rsidRPr="00CC4560">
        <w:rPr>
          <w:rStyle w:val="st"/>
          <w:rFonts w:asciiTheme="majorHAnsi" w:hAnsiTheme="majorHAnsi"/>
          <w:sz w:val="24"/>
        </w:rPr>
        <w:t>%.</w:t>
      </w:r>
      <w:r w:rsidRPr="00CC4560">
        <w:rPr>
          <w:rStyle w:val="st"/>
          <w:rFonts w:asciiTheme="majorHAnsi" w:hAnsiTheme="majorHAnsi"/>
          <w:sz w:val="24"/>
          <w:vertAlign w:val="superscript"/>
        </w:rPr>
        <w:t>1</w:t>
      </w:r>
      <w:r>
        <w:rPr>
          <w:rStyle w:val="st"/>
          <w:rFonts w:asciiTheme="majorHAnsi" w:hAnsiTheme="majorHAnsi"/>
          <w:sz w:val="24"/>
          <w:vertAlign w:val="superscript"/>
        </w:rPr>
        <w:t>-3</w:t>
      </w:r>
    </w:p>
    <w:p w:rsidR="00CC4560" w:rsidRPr="0043614C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</w:t>
      </w:r>
    </w:p>
    <w:p w:rsidR="005A4FD6" w:rsidRPr="00E24345" w:rsidRDefault="00D47382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C4560">
        <w:rPr>
          <w:rFonts w:asciiTheme="majorHAnsi" w:hAnsiTheme="majorHAnsi"/>
          <w:b/>
          <w:caps/>
          <w:color w:val="E88E0A"/>
          <w:sz w:val="28"/>
        </w:rPr>
        <w:t>Fed Cuts Benchmark Interest Rate</w:t>
      </w:r>
    </w:p>
    <w:p w:rsidR="00CC4560" w:rsidRPr="00CC4560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C4560">
        <w:rPr>
          <w:rStyle w:val="st"/>
          <w:rFonts w:asciiTheme="majorHAnsi" w:hAnsiTheme="majorHAnsi"/>
          <w:sz w:val="24"/>
        </w:rPr>
        <w:t xml:space="preserve">On Wednesday, the central bank reduced the federal funds rate by 0.25%. The latest Fed policy statement noted that “global developments” and “muted inflation” influenced the decision. </w:t>
      </w:r>
    </w:p>
    <w:p w:rsidR="005A4FD6" w:rsidRPr="00ED56E3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CC4560">
        <w:rPr>
          <w:rStyle w:val="st"/>
          <w:rFonts w:asciiTheme="majorHAnsi" w:hAnsiTheme="majorHAnsi"/>
          <w:sz w:val="24"/>
        </w:rPr>
        <w:t xml:space="preserve">Addressing the media, Fed </w:t>
      </w:r>
      <w:r w:rsidRPr="00CC4560">
        <w:rPr>
          <w:rStyle w:val="st"/>
          <w:rFonts w:asciiTheme="majorHAnsi" w:hAnsiTheme="majorHAnsi"/>
          <w:sz w:val="24"/>
        </w:rPr>
        <w:t>Chairman Jerome Powell described the cut as a “mid-cycle adjustment.” After that comment, Wednesday’s trading session turned volatile on the interpretation that the cut was a “one and done” move, instead of what might be the first in a series.</w:t>
      </w:r>
      <w:r>
        <w:rPr>
          <w:rStyle w:val="st"/>
          <w:rFonts w:asciiTheme="majorHAnsi" w:hAnsiTheme="majorHAnsi"/>
          <w:sz w:val="24"/>
          <w:vertAlign w:val="superscript"/>
        </w:rPr>
        <w:t>4</w:t>
      </w:r>
    </w:p>
    <w:p w:rsidR="005A4FD6" w:rsidRPr="0043614C" w:rsidRDefault="00D47382" w:rsidP="005A4FD6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</w:t>
      </w:r>
    </w:p>
    <w:p w:rsidR="005A4FD6" w:rsidRPr="00E24345" w:rsidRDefault="00D47382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C4560">
        <w:rPr>
          <w:rFonts w:asciiTheme="majorHAnsi" w:hAnsiTheme="majorHAnsi"/>
          <w:b/>
          <w:caps/>
          <w:color w:val="E88E0A"/>
          <w:sz w:val="28"/>
        </w:rPr>
        <w:t>More Tar</w:t>
      </w:r>
      <w:r w:rsidRPr="00CC4560">
        <w:rPr>
          <w:rFonts w:asciiTheme="majorHAnsi" w:hAnsiTheme="majorHAnsi"/>
          <w:b/>
          <w:caps/>
          <w:color w:val="E88E0A"/>
          <w:sz w:val="28"/>
        </w:rPr>
        <w:t>iffs Planned</w:t>
      </w:r>
    </w:p>
    <w:p w:rsidR="00CC4560" w:rsidRPr="00CC4560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C4560">
        <w:rPr>
          <w:rStyle w:val="st"/>
          <w:rFonts w:asciiTheme="majorHAnsi" w:hAnsiTheme="majorHAnsi"/>
          <w:sz w:val="24"/>
        </w:rPr>
        <w:t>Shares also fell Thursday</w:t>
      </w:r>
      <w:r>
        <w:rPr>
          <w:rStyle w:val="st"/>
          <w:rFonts w:asciiTheme="majorHAnsi" w:hAnsiTheme="majorHAnsi"/>
          <w:sz w:val="24"/>
        </w:rPr>
        <w:t>,</w:t>
      </w:r>
      <w:r w:rsidRPr="00CC4560">
        <w:rPr>
          <w:rStyle w:val="st"/>
          <w:rFonts w:asciiTheme="majorHAnsi" w:hAnsiTheme="majorHAnsi"/>
          <w:sz w:val="24"/>
        </w:rPr>
        <w:t xml:space="preserve"> after a White House tweet indicated that the U.S. would put a 10% tariff on another $300 billion of goods coming from China, effective September 1.  </w:t>
      </w:r>
    </w:p>
    <w:p w:rsidR="005A4FD6" w:rsidRPr="00ED56E3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C4560">
        <w:rPr>
          <w:rStyle w:val="st"/>
          <w:rFonts w:asciiTheme="majorHAnsi" w:hAnsiTheme="majorHAnsi"/>
          <w:sz w:val="24"/>
        </w:rPr>
        <w:t>Practically speaking, this would mean a tariff on nearly all Chine</w:t>
      </w:r>
      <w:r w:rsidRPr="00CC4560">
        <w:rPr>
          <w:rStyle w:val="st"/>
          <w:rFonts w:asciiTheme="majorHAnsi" w:hAnsiTheme="majorHAnsi"/>
          <w:sz w:val="24"/>
        </w:rPr>
        <w:t>se products arriving in America. So far, the announcement has not affected plans for trade delegates from both nations to continue negotiations in September</w:t>
      </w:r>
      <w:r>
        <w:rPr>
          <w:rStyle w:val="st"/>
          <w:rFonts w:asciiTheme="majorHAnsi" w:hAnsiTheme="majorHAnsi"/>
          <w:sz w:val="24"/>
        </w:rPr>
        <w:t>.</w:t>
      </w:r>
      <w:r>
        <w:rPr>
          <w:rStyle w:val="st"/>
          <w:rFonts w:asciiTheme="majorHAnsi" w:hAnsiTheme="majorHAnsi"/>
          <w:sz w:val="24"/>
          <w:vertAlign w:val="superscript"/>
        </w:rPr>
        <w:t>5</w:t>
      </w:r>
    </w:p>
    <w:p w:rsidR="005A4FD6" w:rsidRPr="0043614C" w:rsidRDefault="00D47382" w:rsidP="005A4FD6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  <w:r>
        <w:rPr>
          <w:rStyle w:val="st"/>
          <w:rFonts w:asciiTheme="majorHAnsi" w:hAnsiTheme="majorHAnsi"/>
          <w:sz w:val="4"/>
        </w:rPr>
        <w:t xml:space="preserve">  </w:t>
      </w:r>
    </w:p>
    <w:p w:rsidR="005A4FD6" w:rsidRPr="00E24345" w:rsidRDefault="00D47382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C4560">
        <w:rPr>
          <w:rFonts w:asciiTheme="majorHAnsi" w:hAnsiTheme="majorHAnsi"/>
          <w:b/>
          <w:caps/>
          <w:color w:val="E88E0A"/>
          <w:sz w:val="28"/>
        </w:rPr>
        <w:t>The Latest Hiring Data</w:t>
      </w:r>
    </w:p>
    <w:p w:rsidR="00CC4560" w:rsidRPr="00CC4560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C4560">
        <w:rPr>
          <w:rStyle w:val="st"/>
          <w:rFonts w:asciiTheme="majorHAnsi" w:hAnsiTheme="majorHAnsi"/>
          <w:sz w:val="24"/>
        </w:rPr>
        <w:lastRenderedPageBreak/>
        <w:t xml:space="preserve">Payrolls expanded with 164,000 net new jobs in July, according to the </w:t>
      </w:r>
      <w:r w:rsidRPr="00CC4560">
        <w:rPr>
          <w:rStyle w:val="st"/>
          <w:rFonts w:asciiTheme="majorHAnsi" w:hAnsiTheme="majorHAnsi"/>
          <w:sz w:val="24"/>
        </w:rPr>
        <w:t>Department of Labor. The headline jobless rate stayed at 3.7%; it has now been under 4% for 17 months. The U-6 jobless rate, which counts both underemployed and unemployed Americans, dipped to 7.0%, a level unseen since December 2000.</w:t>
      </w:r>
    </w:p>
    <w:p w:rsidR="00CC4560" w:rsidRPr="0043614C" w:rsidRDefault="00D47382" w:rsidP="00CC4560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 w:rsidRPr="00CC4560">
        <w:rPr>
          <w:rStyle w:val="st"/>
          <w:rFonts w:asciiTheme="majorHAnsi" w:hAnsiTheme="majorHAnsi"/>
          <w:sz w:val="24"/>
        </w:rPr>
        <w:t>Monthly job growth ha</w:t>
      </w:r>
      <w:r w:rsidRPr="00CC4560">
        <w:rPr>
          <w:rStyle w:val="st"/>
          <w:rFonts w:asciiTheme="majorHAnsi" w:hAnsiTheme="majorHAnsi"/>
          <w:sz w:val="24"/>
        </w:rPr>
        <w:t>s averaged 140,000 over the past three months, compared to 187,000 in 2018.</w:t>
      </w:r>
      <w:r>
        <w:rPr>
          <w:rStyle w:val="st"/>
          <w:rFonts w:asciiTheme="majorHAnsi" w:hAnsiTheme="majorHAnsi"/>
          <w:sz w:val="24"/>
          <w:vertAlign w:val="superscript"/>
        </w:rPr>
        <w:t>6</w:t>
      </w: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  <w:r w:rsidRPr="00552AA9">
        <w:rPr>
          <w:rStyle w:val="st"/>
          <w:rFonts w:asciiTheme="majorHAnsi" w:hAnsiTheme="majorHAnsi"/>
          <w:color w:val="E88E0A"/>
        </w:rPr>
        <w:t>T I P</w:t>
      </w:r>
      <w:r>
        <w:rPr>
          <w:rStyle w:val="st"/>
          <w:rFonts w:asciiTheme="majorHAnsi" w:hAnsiTheme="majorHAnsi"/>
          <w:color w:val="E88E0A"/>
        </w:rPr>
        <w:t xml:space="preserve">   O F   T H E   W E E K</w:t>
      </w:r>
      <w:r>
        <w:rPr>
          <w:rStyle w:val="st"/>
          <w:rFonts w:asciiTheme="majorHAnsi" w:hAnsiTheme="majorHAnsi"/>
          <w:color w:val="E88E0A"/>
        </w:rPr>
        <w:br/>
      </w: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1437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EA0505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28"/>
        </w:rPr>
      </w:pPr>
      <w:r>
        <w:rPr>
          <w:rStyle w:val="st"/>
          <w:rFonts w:asciiTheme="majorHAnsi" w:hAnsiTheme="majorHAnsi"/>
          <w:sz w:val="24"/>
        </w:rPr>
        <w:br/>
      </w:r>
      <w:r w:rsidRPr="00CC4560">
        <w:rPr>
          <w:rStyle w:val="st"/>
          <w:rFonts w:asciiTheme="majorHAnsi" w:hAnsiTheme="majorHAnsi"/>
          <w:i/>
          <w:sz w:val="28"/>
        </w:rPr>
        <w:t xml:space="preserve">You may be inclined to help your adult children financially </w:t>
      </w:r>
      <w:r>
        <w:rPr>
          <w:rStyle w:val="st"/>
          <w:rFonts w:asciiTheme="majorHAnsi" w:hAnsiTheme="majorHAnsi"/>
          <w:i/>
          <w:sz w:val="28"/>
        </w:rPr>
        <w:t>during your</w:t>
      </w:r>
      <w:r w:rsidRPr="00CC4560">
        <w:rPr>
          <w:rStyle w:val="st"/>
          <w:rFonts w:asciiTheme="majorHAnsi" w:hAnsiTheme="majorHAnsi"/>
          <w:i/>
          <w:sz w:val="28"/>
        </w:rPr>
        <w:t xml:space="preserve"> retirement, but </w:t>
      </w:r>
      <w:r w:rsidRPr="001931F3">
        <w:rPr>
          <w:rStyle w:val="st"/>
          <w:rFonts w:asciiTheme="majorHAnsi" w:hAnsiTheme="majorHAnsi"/>
          <w:b/>
          <w:bCs/>
          <w:i/>
          <w:sz w:val="28"/>
        </w:rPr>
        <w:t>think</w:t>
      </w:r>
      <w:r w:rsidRPr="00CC4560">
        <w:rPr>
          <w:rStyle w:val="st"/>
          <w:rFonts w:asciiTheme="majorHAnsi" w:hAnsiTheme="majorHAnsi"/>
          <w:i/>
          <w:sz w:val="28"/>
        </w:rPr>
        <w:t xml:space="preserve"> </w:t>
      </w:r>
      <w:r w:rsidRPr="001931F3">
        <w:rPr>
          <w:rStyle w:val="st"/>
          <w:rFonts w:asciiTheme="majorHAnsi" w:hAnsiTheme="majorHAnsi"/>
          <w:b/>
          <w:bCs/>
          <w:i/>
          <w:sz w:val="28"/>
        </w:rPr>
        <w:t>twice</w:t>
      </w:r>
      <w:r w:rsidRPr="00CC4560">
        <w:rPr>
          <w:rStyle w:val="st"/>
          <w:rFonts w:asciiTheme="majorHAnsi" w:hAnsiTheme="majorHAnsi"/>
          <w:i/>
          <w:sz w:val="28"/>
        </w:rPr>
        <w:t xml:space="preserve"> about doing so. Providing gifts or a personal loan (or cosigning on a loan they arrange) may put your own financial outlook at </w:t>
      </w:r>
      <w:r w:rsidRPr="001931F3">
        <w:rPr>
          <w:rStyle w:val="st"/>
          <w:rFonts w:asciiTheme="majorHAnsi" w:hAnsiTheme="majorHAnsi"/>
          <w:b/>
          <w:bCs/>
          <w:i/>
          <w:sz w:val="28"/>
        </w:rPr>
        <w:t>risk</w:t>
      </w:r>
      <w:r w:rsidRPr="00D95DF2">
        <w:rPr>
          <w:rStyle w:val="st"/>
          <w:rFonts w:asciiTheme="majorHAnsi" w:hAnsiTheme="majorHAnsi"/>
          <w:i/>
          <w:sz w:val="28"/>
        </w:rPr>
        <w:t>.</w:t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D47382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6"/>
        </w:rPr>
      </w:pPr>
    </w:p>
    <w:p w:rsidR="005A4FD6" w:rsidRDefault="00D47382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KEY ECONOMIC DATA</w:t>
      </w:r>
    </w:p>
    <w:p w:rsidR="005A4FD6" w:rsidRPr="00C0649C" w:rsidRDefault="00D47382" w:rsidP="005A4FD6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bookmarkStart w:id="0" w:name="_Hlk3729023"/>
      <w:r w:rsidRPr="001931F3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Monday: 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The Institute for Supply Management releases its latest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N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>on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-M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anufacturing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P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urchasing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M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>anager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s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I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>ndex, its monthly gauge of business activity in America’s service sector</w:t>
      </w:r>
      <w:r w:rsidRPr="00D95DF2">
        <w:rPr>
          <w:rFonts w:asciiTheme="majorHAnsi" w:hAnsiTheme="majorHAnsi"/>
          <w:color w:val="000000" w:themeColor="text1"/>
          <w:spacing w:val="-2"/>
          <w:sz w:val="24"/>
        </w:rPr>
        <w:t>.</w:t>
      </w:r>
    </w:p>
    <w:bookmarkEnd w:id="0"/>
    <w:p w:rsidR="005A4FD6" w:rsidRPr="000525F2" w:rsidRDefault="00D47382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Econoday / MarketWatch Calendar, </w:t>
      </w:r>
      <w:r>
        <w:rPr>
          <w:rFonts w:eastAsia="Times New Roman"/>
          <w:color w:val="000000"/>
          <w:sz w:val="18"/>
          <w:szCs w:val="20"/>
        </w:rPr>
        <w:t>August 2, 2019</w:t>
      </w:r>
    </w:p>
    <w:p w:rsidR="005A4FD6" w:rsidRPr="0043614C" w:rsidRDefault="00D47382" w:rsidP="005A4FD6">
      <w:pPr>
        <w:spacing w:line="240" w:lineRule="auto"/>
        <w:jc w:val="both"/>
        <w:rPr>
          <w:rFonts w:asciiTheme="majorHAnsi" w:hAnsiTheme="majorHAnsi"/>
          <w:color w:val="000000" w:themeColor="text1"/>
          <w:spacing w:val="-2"/>
          <w:sz w:val="24"/>
        </w:rPr>
      </w:pPr>
      <w:r w:rsidRPr="00EC38D4">
        <w:rPr>
          <w:rFonts w:eastAsia="Times New Roman"/>
          <w:color w:val="000000"/>
          <w:sz w:val="18"/>
          <w:szCs w:val="20"/>
        </w:rPr>
        <w:t>The content is developed from sources believed to be providing accurate information. The forecasts or forw</w:t>
      </w:r>
      <w:r w:rsidRPr="00EC38D4">
        <w:rPr>
          <w:rFonts w:eastAsia="Times New Roman"/>
          <w:color w:val="000000"/>
          <w:sz w:val="18"/>
          <w:szCs w:val="20"/>
        </w:rPr>
        <w:t>ard-looking statements are based on assumptions and may not materialize. The forecasts also are subject to revision. The release of data may be delayed without notice for a variety of reasons</w:t>
      </w:r>
      <w:r w:rsidRPr="000525F2">
        <w:rPr>
          <w:rFonts w:eastAsia="Times New Roman"/>
          <w:color w:val="000000"/>
          <w:sz w:val="18"/>
          <w:szCs w:val="20"/>
        </w:rPr>
        <w:t>.</w:t>
      </w:r>
    </w:p>
    <w:p w:rsidR="005A4FD6" w:rsidRPr="0043614C" w:rsidRDefault="00D47382" w:rsidP="005A4FD6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5A4FD6" w:rsidRDefault="00D47382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COMPANIES REPORTING EARNINGS</w:t>
      </w:r>
    </w:p>
    <w:p w:rsidR="001931F3" w:rsidRPr="001931F3" w:rsidRDefault="00D47382" w:rsidP="001931F3">
      <w:pPr>
        <w:spacing w:line="240" w:lineRule="auto"/>
        <w:rPr>
          <w:rFonts w:asciiTheme="majorHAnsi" w:hAnsiTheme="majorHAnsi"/>
          <w:bCs/>
          <w:color w:val="000000" w:themeColor="text1"/>
          <w:spacing w:val="-2"/>
          <w:sz w:val="24"/>
        </w:rPr>
      </w:pPr>
      <w:r w:rsidRPr="001931F3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Monday: 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Marriott 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>International (MAR), Tyson Foods (TSN)</w:t>
      </w:r>
    </w:p>
    <w:p w:rsidR="001931F3" w:rsidRPr="001931F3" w:rsidRDefault="00D47382" w:rsidP="001931F3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1931F3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>Walt Disney Co. (DIS)</w:t>
      </w:r>
    </w:p>
    <w:p w:rsidR="001931F3" w:rsidRPr="001931F3" w:rsidRDefault="00D47382" w:rsidP="001931F3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1931F3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Wednesday: 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>American International Group (AIG), CVS Health (CVS)</w:t>
      </w:r>
    </w:p>
    <w:p w:rsidR="00534997" w:rsidRPr="001931F3" w:rsidRDefault="00D47382" w:rsidP="001931F3">
      <w:pPr>
        <w:spacing w:line="240" w:lineRule="auto"/>
        <w:rPr>
          <w:rFonts w:asciiTheme="majorHAnsi" w:eastAsia="Times New Roman" w:hAnsiTheme="majorHAnsi"/>
          <w:b/>
          <w:bCs/>
          <w:color w:val="000000" w:themeColor="text1"/>
          <w:spacing w:val="-2"/>
          <w:sz w:val="24"/>
          <w:szCs w:val="20"/>
        </w:rPr>
      </w:pPr>
      <w:r w:rsidRPr="001931F3">
        <w:rPr>
          <w:rFonts w:asciiTheme="majorHAnsi" w:hAnsiTheme="majorHAnsi"/>
          <w:b/>
          <w:color w:val="000000" w:themeColor="text1"/>
          <w:spacing w:val="-2"/>
          <w:sz w:val="24"/>
        </w:rPr>
        <w:t>Thursday:</w:t>
      </w:r>
      <w:r w:rsidRPr="001931F3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 Booking Holdings (BKNG), Uber (UBER)</w:t>
      </w:r>
    </w:p>
    <w:p w:rsidR="005A4FD6" w:rsidRPr="000525F2" w:rsidRDefault="00D47382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</w:t>
      </w:r>
      <w:r>
        <w:rPr>
          <w:rFonts w:eastAsia="Times New Roman"/>
          <w:color w:val="000000"/>
          <w:sz w:val="18"/>
          <w:szCs w:val="20"/>
        </w:rPr>
        <w:t>Zacks</w:t>
      </w:r>
      <w:r w:rsidRPr="000525F2">
        <w:rPr>
          <w:rFonts w:eastAsia="Times New Roman"/>
          <w:color w:val="000000"/>
          <w:sz w:val="18"/>
          <w:szCs w:val="20"/>
        </w:rPr>
        <w:t xml:space="preserve">, </w:t>
      </w:r>
      <w:r>
        <w:rPr>
          <w:rFonts w:eastAsia="Times New Roman"/>
          <w:color w:val="000000"/>
          <w:sz w:val="18"/>
          <w:szCs w:val="20"/>
        </w:rPr>
        <w:t>August 2, 2019</w:t>
      </w:r>
    </w:p>
    <w:p w:rsidR="005A4FD6" w:rsidRPr="000525F2" w:rsidRDefault="00D47382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lastRenderedPageBreak/>
        <w:t>Companies mentioned are for informational pur</w:t>
      </w:r>
      <w:r w:rsidRPr="000525F2">
        <w:rPr>
          <w:rFonts w:eastAsia="Times New Roman"/>
          <w:color w:val="000000"/>
          <w:sz w:val="18"/>
          <w:szCs w:val="20"/>
        </w:rPr>
        <w:t>poses only. It should not be considered a solicitation for the purchase or sale of the securities. Any investment should be consistent with your objectives, time frame</w:t>
      </w:r>
      <w:r>
        <w:rPr>
          <w:rFonts w:eastAsia="Times New Roman"/>
          <w:color w:val="000000"/>
          <w:sz w:val="18"/>
          <w:szCs w:val="20"/>
        </w:rPr>
        <w:t>,</w:t>
      </w:r>
      <w:r w:rsidRPr="000525F2">
        <w:rPr>
          <w:rFonts w:eastAsia="Times New Roman"/>
          <w:color w:val="000000"/>
          <w:sz w:val="18"/>
          <w:szCs w:val="20"/>
        </w:rPr>
        <w:t xml:space="preserve"> and risk tolerance. The return and principal value of investments will fluctuate as mar</w:t>
      </w:r>
      <w:r w:rsidRPr="000525F2">
        <w:rPr>
          <w:rFonts w:eastAsia="Times New Roman"/>
          <w:color w:val="000000"/>
          <w:sz w:val="18"/>
          <w:szCs w:val="20"/>
        </w:rPr>
        <w:t>ket conditions change. When sold, investments may be worth more or less than their original cost. Companies may reschedule when they report earnings without notic</w:t>
      </w:r>
      <w:r>
        <w:rPr>
          <w:rFonts w:eastAsia="Times New Roman"/>
          <w:color w:val="000000"/>
          <w:sz w:val="18"/>
          <w:szCs w:val="20"/>
        </w:rPr>
        <w:t>e.</w:t>
      </w:r>
    </w:p>
    <w:p w:rsidR="005A4FD6" w:rsidRPr="0043614C" w:rsidRDefault="00D47382" w:rsidP="005A4FD6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 w:rsidRPr="00B2579B">
        <w:rPr>
          <w:rStyle w:val="st"/>
          <w:rFonts w:asciiTheme="majorHAnsi" w:hAnsiTheme="majorHAnsi"/>
          <w:color w:val="E88E0A"/>
        </w:rPr>
        <w:t>Q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U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F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H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W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K</w:t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68680" cy="6400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234A75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 w:rsidRPr="00234A75">
        <w:rPr>
          <w:rStyle w:val="st"/>
          <w:rFonts w:asciiTheme="majorHAnsi" w:hAnsiTheme="majorHAnsi"/>
          <w:i/>
          <w:sz w:val="36"/>
        </w:rPr>
        <w:t>“</w:t>
      </w:r>
      <w:r w:rsidRPr="001931F3">
        <w:rPr>
          <w:rStyle w:val="st"/>
          <w:rFonts w:asciiTheme="majorHAnsi" w:hAnsiTheme="majorHAnsi"/>
          <w:b/>
          <w:bCs/>
          <w:i/>
          <w:sz w:val="36"/>
        </w:rPr>
        <w:t>Learning</w:t>
      </w:r>
      <w:r w:rsidRPr="001931F3">
        <w:rPr>
          <w:rStyle w:val="st"/>
          <w:rFonts w:asciiTheme="majorHAnsi" w:hAnsiTheme="majorHAnsi"/>
          <w:i/>
          <w:sz w:val="36"/>
        </w:rPr>
        <w:t xml:space="preserve"> does not consist only of knowing what we </w:t>
      </w:r>
      <w:r w:rsidRPr="001931F3">
        <w:rPr>
          <w:rStyle w:val="st"/>
          <w:rFonts w:asciiTheme="majorHAnsi" w:hAnsiTheme="majorHAnsi"/>
          <w:b/>
          <w:bCs/>
          <w:i/>
          <w:sz w:val="36"/>
        </w:rPr>
        <w:t>must</w:t>
      </w:r>
      <w:r w:rsidRPr="001931F3">
        <w:rPr>
          <w:rStyle w:val="st"/>
          <w:rFonts w:asciiTheme="majorHAnsi" w:hAnsiTheme="majorHAnsi"/>
          <w:i/>
          <w:sz w:val="36"/>
        </w:rPr>
        <w:t xml:space="preserve"> or we </w:t>
      </w:r>
      <w:r w:rsidRPr="001931F3">
        <w:rPr>
          <w:rStyle w:val="st"/>
          <w:rFonts w:asciiTheme="majorHAnsi" w:hAnsiTheme="majorHAnsi"/>
          <w:b/>
          <w:bCs/>
          <w:i/>
          <w:sz w:val="36"/>
        </w:rPr>
        <w:t>can</w:t>
      </w:r>
      <w:r w:rsidRPr="001931F3">
        <w:rPr>
          <w:rStyle w:val="st"/>
          <w:rFonts w:asciiTheme="majorHAnsi" w:hAnsiTheme="majorHAnsi"/>
          <w:i/>
          <w:sz w:val="36"/>
        </w:rPr>
        <w:t xml:space="preserve"> </w:t>
      </w:r>
      <w:r w:rsidRPr="001931F3">
        <w:rPr>
          <w:rStyle w:val="st"/>
          <w:rFonts w:asciiTheme="majorHAnsi" w:hAnsiTheme="majorHAnsi"/>
          <w:b/>
          <w:bCs/>
          <w:i/>
          <w:sz w:val="36"/>
        </w:rPr>
        <w:t>do</w:t>
      </w:r>
      <w:r w:rsidRPr="001931F3">
        <w:rPr>
          <w:rStyle w:val="st"/>
          <w:rFonts w:asciiTheme="majorHAnsi" w:hAnsiTheme="majorHAnsi"/>
          <w:i/>
          <w:sz w:val="36"/>
        </w:rPr>
        <w:t xml:space="preserve">, but also of knowing what we </w:t>
      </w:r>
      <w:r w:rsidRPr="001931F3">
        <w:rPr>
          <w:rStyle w:val="st"/>
          <w:rFonts w:asciiTheme="majorHAnsi" w:hAnsiTheme="majorHAnsi"/>
          <w:b/>
          <w:bCs/>
          <w:i/>
          <w:sz w:val="36"/>
        </w:rPr>
        <w:t>could do</w:t>
      </w:r>
      <w:r w:rsidRPr="001931F3">
        <w:rPr>
          <w:rStyle w:val="st"/>
          <w:rFonts w:asciiTheme="majorHAnsi" w:hAnsiTheme="majorHAnsi"/>
          <w:i/>
          <w:sz w:val="36"/>
        </w:rPr>
        <w:t xml:space="preserve"> and perhaps should </w:t>
      </w:r>
      <w:r w:rsidRPr="001931F3">
        <w:rPr>
          <w:rStyle w:val="st"/>
          <w:rFonts w:asciiTheme="majorHAnsi" w:hAnsiTheme="majorHAnsi"/>
          <w:b/>
          <w:bCs/>
          <w:i/>
          <w:sz w:val="36"/>
        </w:rPr>
        <w:t>not do</w:t>
      </w:r>
      <w:r w:rsidRPr="004F6F29">
        <w:rPr>
          <w:rStyle w:val="st"/>
          <w:rFonts w:asciiTheme="majorHAnsi" w:hAnsiTheme="majorHAnsi"/>
          <w:i/>
          <w:sz w:val="36"/>
        </w:rPr>
        <w:t>.</w:t>
      </w:r>
      <w:r w:rsidRPr="00234A75">
        <w:rPr>
          <w:rStyle w:val="st"/>
          <w:rFonts w:asciiTheme="majorHAnsi" w:hAnsiTheme="majorHAnsi"/>
          <w:i/>
          <w:sz w:val="36"/>
        </w:rPr>
        <w:t>”</w:t>
      </w:r>
    </w:p>
    <w:p w:rsidR="005A4FD6" w:rsidRPr="00552AA9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i/>
          <w:color w:val="E88E0A"/>
        </w:rPr>
        <w:t>UMBERTO ECO</w:t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D47382" w:rsidP="005A4FD6">
      <w:pPr>
        <w:spacing w:line="276" w:lineRule="auto"/>
        <w:rPr>
          <w:rStyle w:val="st"/>
          <w:rFonts w:asciiTheme="majorHAnsi" w:hAnsiTheme="majorHAnsi"/>
          <w:sz w:val="4"/>
        </w:rPr>
      </w:pPr>
    </w:p>
    <w:p w:rsidR="005A4FD6" w:rsidRPr="001162D1" w:rsidRDefault="00D47382" w:rsidP="005A4FD6">
      <w:pPr>
        <w:spacing w:line="276" w:lineRule="auto"/>
        <w:jc w:val="center"/>
        <w:rPr>
          <w:rFonts w:asciiTheme="majorHAnsi" w:hAnsiTheme="majorHAnsi" w:cs="Verdana"/>
          <w:iCs/>
          <w:color w:val="646464"/>
          <w:spacing w:val="-4"/>
          <w:sz w:val="18"/>
          <w:szCs w:val="14"/>
        </w:rPr>
      </w:pPr>
      <w:r>
        <w:rPr>
          <w:rFonts w:asciiTheme="majorHAnsi" w:hAnsiTheme="majorHAnsi" w:cs="Verdana"/>
          <w:iCs/>
          <w:noProof/>
          <w:color w:val="646464"/>
          <w:spacing w:val="-4"/>
          <w:sz w:val="18"/>
          <w:szCs w:val="14"/>
        </w:rPr>
        <w:lastRenderedPageBreak/>
        <w:drawing>
          <wp:inline distT="0" distB="0" distL="0" distR="0">
            <wp:extent cx="5715000" cy="6455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ly-commentary-t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5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>T H E   W E E K L Y   R I D D L E</w:t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D47382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771525" cy="949569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5" cy="9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EA0505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b/>
          <w:i/>
          <w:sz w:val="36"/>
        </w:rPr>
      </w:pPr>
      <w:r w:rsidRPr="001931F3">
        <w:rPr>
          <w:rStyle w:val="st"/>
          <w:rFonts w:asciiTheme="majorHAnsi" w:hAnsiTheme="majorHAnsi"/>
          <w:i/>
          <w:sz w:val="36"/>
        </w:rPr>
        <w:t xml:space="preserve">What </w:t>
      </w:r>
      <w:r w:rsidRPr="0042777E">
        <w:rPr>
          <w:rStyle w:val="st"/>
          <w:rFonts w:asciiTheme="majorHAnsi" w:hAnsiTheme="majorHAnsi"/>
          <w:b/>
          <w:bCs/>
          <w:i/>
          <w:sz w:val="36"/>
        </w:rPr>
        <w:t>two</w:t>
      </w:r>
      <w:r w:rsidRPr="001931F3">
        <w:rPr>
          <w:rStyle w:val="st"/>
          <w:rFonts w:asciiTheme="majorHAnsi" w:hAnsiTheme="majorHAnsi"/>
          <w:i/>
          <w:sz w:val="36"/>
        </w:rPr>
        <w:t xml:space="preserve"> </w:t>
      </w:r>
      <w:r w:rsidRPr="0042777E">
        <w:rPr>
          <w:rStyle w:val="st"/>
          <w:rFonts w:asciiTheme="majorHAnsi" w:hAnsiTheme="majorHAnsi"/>
          <w:b/>
          <w:bCs/>
          <w:i/>
          <w:sz w:val="36"/>
        </w:rPr>
        <w:t>things</w:t>
      </w:r>
      <w:r>
        <w:rPr>
          <w:rStyle w:val="st"/>
          <w:rFonts w:asciiTheme="majorHAnsi" w:hAnsiTheme="majorHAnsi"/>
          <w:i/>
          <w:sz w:val="36"/>
        </w:rPr>
        <w:t xml:space="preserve"> will you </w:t>
      </w:r>
      <w:r w:rsidRPr="0042777E">
        <w:rPr>
          <w:rStyle w:val="st"/>
          <w:rFonts w:asciiTheme="majorHAnsi" w:hAnsiTheme="majorHAnsi"/>
          <w:b/>
          <w:bCs/>
          <w:i/>
          <w:sz w:val="36"/>
        </w:rPr>
        <w:t>never</w:t>
      </w:r>
      <w:r>
        <w:rPr>
          <w:rStyle w:val="st"/>
          <w:rFonts w:asciiTheme="majorHAnsi" w:hAnsiTheme="majorHAnsi"/>
          <w:i/>
          <w:sz w:val="36"/>
        </w:rPr>
        <w:t xml:space="preserve"> be able to </w:t>
      </w:r>
      <w:r w:rsidRPr="0042777E">
        <w:rPr>
          <w:rStyle w:val="st"/>
          <w:rFonts w:asciiTheme="majorHAnsi" w:hAnsiTheme="majorHAnsi"/>
          <w:b/>
          <w:bCs/>
          <w:i/>
          <w:sz w:val="36"/>
        </w:rPr>
        <w:t>eat</w:t>
      </w:r>
      <w:r>
        <w:rPr>
          <w:rStyle w:val="st"/>
          <w:rFonts w:asciiTheme="majorHAnsi" w:hAnsiTheme="majorHAnsi"/>
          <w:i/>
          <w:sz w:val="36"/>
        </w:rPr>
        <w:t xml:space="preserve"> at </w:t>
      </w:r>
      <w:r w:rsidRPr="0042777E">
        <w:rPr>
          <w:rStyle w:val="st"/>
          <w:rFonts w:asciiTheme="majorHAnsi" w:hAnsiTheme="majorHAnsi"/>
          <w:b/>
          <w:bCs/>
          <w:i/>
          <w:sz w:val="36"/>
        </w:rPr>
        <w:t>dinner</w:t>
      </w:r>
      <w:r w:rsidRPr="003B2B01">
        <w:rPr>
          <w:rStyle w:val="st"/>
          <w:rFonts w:asciiTheme="majorHAnsi" w:hAnsiTheme="majorHAnsi"/>
          <w:i/>
          <w:sz w:val="36"/>
        </w:rPr>
        <w:t>?</w:t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Pr="001162D1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LAST WEEK’S RIDDLE: </w:t>
      </w:r>
      <w:r w:rsidRPr="001931F3">
        <w:rPr>
          <w:rStyle w:val="st"/>
          <w:rFonts w:asciiTheme="majorHAnsi" w:hAnsiTheme="majorHAnsi"/>
          <w:i/>
          <w:color w:val="646464"/>
        </w:rPr>
        <w:t>Take one letter away from this 8-letter word, and you still have a word. Take another letter away from the seven letters left, and you still have a word. Keep on doing that, each time making a new word, until you have one letter left. W</w:t>
      </w:r>
      <w:r w:rsidRPr="001931F3">
        <w:rPr>
          <w:rStyle w:val="st"/>
          <w:rFonts w:asciiTheme="majorHAnsi" w:hAnsiTheme="majorHAnsi"/>
          <w:i/>
          <w:color w:val="646464"/>
        </w:rPr>
        <w:t>hat is this word?</w:t>
      </w:r>
    </w:p>
    <w:p w:rsidR="005A4FD6" w:rsidRPr="001162D1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ANSWER: </w:t>
      </w:r>
      <w:r w:rsidRPr="001931F3">
        <w:rPr>
          <w:rStyle w:val="st"/>
          <w:rFonts w:asciiTheme="majorHAnsi" w:hAnsiTheme="majorHAnsi"/>
          <w:i/>
          <w:color w:val="646464"/>
        </w:rPr>
        <w:t>The word is starting. Starting, staring, string, sting, sing, sin, in, I</w:t>
      </w:r>
      <w:r>
        <w:rPr>
          <w:rStyle w:val="st"/>
          <w:rFonts w:asciiTheme="majorHAnsi" w:hAnsiTheme="majorHAnsi"/>
          <w:i/>
          <w:color w:val="646464"/>
        </w:rPr>
        <w:t>.</w:t>
      </w:r>
    </w:p>
    <w:p w:rsidR="005A4FD6" w:rsidRPr="0043614C" w:rsidRDefault="00D47382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Pr="00D47382" w:rsidRDefault="00D47382" w:rsidP="00D47382">
      <w:pPr>
        <w:spacing w:line="276" w:lineRule="auto"/>
        <w:jc w:val="center"/>
        <w:rPr>
          <w:rFonts w:asciiTheme="majorHAnsi" w:hAnsiTheme="majorHAnsi"/>
          <w:i/>
          <w:color w:val="A6A6A6" w:themeColor="background1" w:themeShade="A6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D47382" w:rsidP="005A4FD6">
      <w:pPr>
        <w:spacing w:line="276" w:lineRule="auto"/>
        <w:jc w:val="center"/>
        <w:rPr>
          <w:rFonts w:asciiTheme="majorHAnsi" w:hAnsiTheme="majorHAnsi" w:cs="Times New Roman"/>
          <w:sz w:val="6"/>
          <w:szCs w:val="32"/>
        </w:rPr>
      </w:pPr>
      <w:r w:rsidRPr="006E3EBF">
        <w:rPr>
          <w:rFonts w:asciiTheme="majorHAnsi" w:hAnsiTheme="majorHAnsi" w:cs="Times New Roman"/>
          <w:b/>
          <w:sz w:val="24"/>
          <w:szCs w:val="32"/>
        </w:rPr>
        <w:t xml:space="preserve">Know someone who could use information like this? </w:t>
      </w:r>
      <w:r>
        <w:rPr>
          <w:rFonts w:asciiTheme="majorHAnsi" w:hAnsiTheme="majorHAnsi" w:cs="Times New Roman"/>
          <w:b/>
          <w:sz w:val="24"/>
          <w:szCs w:val="32"/>
        </w:rPr>
        <w:br/>
      </w:r>
      <w:r>
        <w:rPr>
          <w:rFonts w:asciiTheme="majorHAnsi" w:hAnsiTheme="majorHAnsi" w:cs="Times New Roman"/>
          <w:sz w:val="24"/>
          <w:szCs w:val="32"/>
        </w:rPr>
        <w:t xml:space="preserve">Please feel free to send us their </w:t>
      </w:r>
      <w:r>
        <w:rPr>
          <w:rFonts w:asciiTheme="majorHAnsi" w:hAnsiTheme="majorHAnsi" w:cs="Times New Roman"/>
          <w:sz w:val="24"/>
          <w:szCs w:val="32"/>
        </w:rPr>
        <w:t>contact information via phone or email. (Don’t worry – we’ll request their permission before adding them to our mailing list.)</w:t>
      </w:r>
    </w:p>
    <w:p w:rsidR="00237981" w:rsidRDefault="00D47382" w:rsidP="00571E5C">
      <w:pPr>
        <w:spacing w:line="276" w:lineRule="auto"/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6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05" w:rsidRPr="0043614C" w:rsidRDefault="00D47382" w:rsidP="00571E5C">
      <w:pPr>
        <w:spacing w:line="276" w:lineRule="auto"/>
        <w:jc w:val="both"/>
        <w:rPr>
          <w:rFonts w:asciiTheme="majorHAnsi" w:hAnsiTheme="majorHAnsi"/>
          <w:color w:val="A6A6A6" w:themeColor="background1" w:themeShade="A6"/>
          <w:sz w:val="2"/>
          <w:szCs w:val="16"/>
        </w:rPr>
      </w:pPr>
    </w:p>
    <w:p w:rsidR="00D47382" w:rsidRDefault="00D47382" w:rsidP="00D47382">
      <w:pPr>
        <w:jc w:val="both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Securities offered through Kestra Investment Services, LLC (Kestra IS), a member FINRA/SIPC.  Investment advisory services offered through Kestra Advisory Services, LLC (Kestra AS), </w:t>
      </w:r>
      <w:proofErr w:type="gram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an</w:t>
      </w:r>
      <w:proofErr w:type="gram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affiliate of Kestra IS.  Levine Group, LLC is not affiliated with Kestra IS or Kestra AS.</w:t>
      </w:r>
    </w:p>
    <w:p w:rsidR="0042777E" w:rsidRPr="002543AC" w:rsidRDefault="00D47382" w:rsidP="0042777E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1" w:name="_Hlk2950709"/>
      <w:bookmarkStart w:id="2" w:name="_Hlk5367224"/>
      <w:bookmarkStart w:id="3" w:name="_Hlk1133051"/>
      <w:bookmarkStart w:id="4" w:name="_GoBack"/>
      <w:bookmarkEnd w:id="4"/>
      <w:r w:rsidRPr="002543AC">
        <w:rPr>
          <w:rFonts w:asciiTheme="majorHAnsi" w:hAnsiTheme="majorHAnsi" w:cs="Arial"/>
          <w:color w:val="646464"/>
          <w:sz w:val="16"/>
          <w:szCs w:val="16"/>
        </w:rPr>
        <w:t>CITATIONS:</w:t>
      </w:r>
    </w:p>
    <w:p w:rsidR="00936505" w:rsidRDefault="00D47382" w:rsidP="00B07751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5" w:name="_Hlk7787319"/>
      <w:r>
        <w:rPr>
          <w:rFonts w:asciiTheme="majorHAnsi" w:hAnsiTheme="majorHAnsi" w:cs="Arial"/>
          <w:color w:val="767171" w:themeColor="background2" w:themeShade="80"/>
          <w:sz w:val="16"/>
        </w:rPr>
        <w:lastRenderedPageBreak/>
        <w:t xml:space="preserve">1 - </w:t>
      </w:r>
      <w:r w:rsidRPr="00936505">
        <w:rPr>
          <w:rFonts w:asciiTheme="majorHAnsi" w:hAnsiTheme="majorHAnsi" w:cs="Arial"/>
          <w:color w:val="767171" w:themeColor="background2" w:themeShade="80"/>
          <w:sz w:val="16"/>
        </w:rPr>
        <w:t>apnews.com/e15c18b9dbc44efab400d2214e2cb6f9</w:t>
      </w:r>
      <w:r>
        <w:rPr>
          <w:rFonts w:asciiTheme="majorHAnsi" w:hAnsiTheme="majorHAnsi" w:cs="Arial"/>
          <w:color w:val="767171" w:themeColor="background2" w:themeShade="80"/>
          <w:sz w:val="16"/>
        </w:rPr>
        <w:t xml:space="preserve"> [8/2/19]</w:t>
      </w:r>
    </w:p>
    <w:p w:rsidR="0042777E" w:rsidRDefault="00D47382" w:rsidP="00B07751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>2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- </w:t>
      </w:r>
      <w:bookmarkStart w:id="6" w:name="_Hlk8391553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bookmarkEnd w:id="6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</w:t>
      </w:r>
      <w:r>
        <w:rPr>
          <w:rFonts w:asciiTheme="majorHAnsi" w:hAnsiTheme="majorHAnsi" w:cs="Arial"/>
          <w:color w:val="767171" w:themeColor="background2" w:themeShade="80"/>
          <w:sz w:val="16"/>
        </w:rPr>
        <w:t>/2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42777E" w:rsidRPr="00B07751" w:rsidRDefault="00D47382" w:rsidP="00B07751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3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bookmarkStart w:id="7" w:name="_Hlk3552605"/>
      <w:bookmarkStart w:id="8" w:name="_Hlk5972390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wsj.com/index/XX/990300/historical-prices</w:t>
      </w:r>
      <w:bookmarkEnd w:id="7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</w:t>
      </w:r>
      <w:bookmarkEnd w:id="8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8/2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42777E" w:rsidRDefault="00D47382" w:rsidP="00B07751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4 - </w:t>
      </w:r>
      <w:r w:rsidRPr="00C25586">
        <w:rPr>
          <w:rFonts w:asciiTheme="majorHAnsi" w:hAnsiTheme="majorHAnsi" w:cs="Arial"/>
          <w:color w:val="767171" w:themeColor="background2" w:themeShade="80"/>
          <w:sz w:val="16"/>
        </w:rPr>
        <w:t xml:space="preserve">forbes.com/sites/jjkinahan/2019/07/31/feds-quarter-point-rate-cut-weak-global-growth-trade-tensions-muted-inflation-cited </w:t>
      </w:r>
      <w:r>
        <w:rPr>
          <w:rFonts w:asciiTheme="majorHAnsi" w:hAnsiTheme="majorHAnsi" w:cs="Arial"/>
          <w:color w:val="767171" w:themeColor="background2" w:themeShade="80"/>
          <w:sz w:val="16"/>
        </w:rPr>
        <w:t>[7/31/19]</w:t>
      </w:r>
    </w:p>
    <w:p w:rsidR="0042777E" w:rsidRDefault="00D47382" w:rsidP="00B07751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5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r w:rsidRPr="00140029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cnn.com/2019/08/01/investing/asian-market-latest-trade-war/index.html 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[8/1/19]</w:t>
      </w:r>
    </w:p>
    <w:p w:rsidR="0042777E" w:rsidRPr="0024756A" w:rsidRDefault="00D47382" w:rsidP="00B07751">
      <w:pPr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  <w: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</w:rPr>
        <w:t>6</w:t>
      </w:r>
      <w:r w:rsidRPr="0024756A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</w:rPr>
        <w:t xml:space="preserve"> - cnn.com/2019/08/02/economy/july-jobs-report/index.html</w:t>
      </w:r>
      <w: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</w:rPr>
        <w:t xml:space="preserve"> [8/2/19]</w:t>
      </w:r>
    </w:p>
    <w:p w:rsidR="00B07751" w:rsidRDefault="00D47382" w:rsidP="0042777E">
      <w:pPr>
        <w:spacing w:line="276" w:lineRule="auto"/>
        <w:rPr>
          <w:noProof/>
        </w:rPr>
      </w:pPr>
      <w:bookmarkStart w:id="9" w:name="_Hlk2950788"/>
      <w:bookmarkStart w:id="10" w:name="_Hlk5367252"/>
      <w:bookmarkEnd w:id="1"/>
      <w:bookmarkEnd w:id="2"/>
      <w:bookmarkEnd w:id="5"/>
    </w:p>
    <w:p w:rsidR="0042777E" w:rsidRPr="002543AC" w:rsidRDefault="00D47382" w:rsidP="0042777E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r w:rsidRPr="002543AC">
        <w:rPr>
          <w:rFonts w:asciiTheme="majorHAnsi" w:hAnsiTheme="majorHAnsi" w:cs="Arial"/>
          <w:color w:val="646464"/>
          <w:sz w:val="16"/>
          <w:szCs w:val="16"/>
        </w:rPr>
        <w:t>CHART CITATIONS:</w:t>
      </w:r>
    </w:p>
    <w:p w:rsidR="0042777E" w:rsidRDefault="00D47382" w:rsidP="0042777E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11" w:name="_Hlk7787375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8/2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42777E" w:rsidRDefault="00D47382" w:rsidP="0042777E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 w:rsidRPr="00A52D6F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wsj.com/index/SPX/historical-prices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[8/2/19]</w:t>
      </w:r>
    </w:p>
    <w:bookmarkEnd w:id="11"/>
    <w:p w:rsidR="0042777E" w:rsidRPr="008E589A" w:rsidRDefault="00D47382" w:rsidP="0042777E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 w:rsidRPr="0095061F">
        <w:rPr>
          <w:rFonts w:asciiTheme="majorHAnsi" w:hAnsiTheme="majorHAnsi" w:cs="Arial"/>
          <w:color w:val="767171" w:themeColor="background2" w:themeShade="80"/>
          <w:sz w:val="16"/>
        </w:rPr>
        <w:t xml:space="preserve">treasury.gov/resource-center/data-chart-center/interest-rates/Pages/TextView.aspx?data=yieldYear&amp;year=2019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8/2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42777E" w:rsidRPr="008E589A" w:rsidRDefault="00D47382" w:rsidP="0042777E">
      <w:pPr>
        <w:spacing w:after="0" w:line="240" w:lineRule="auto"/>
        <w:rPr>
          <w:noProof/>
          <w:color w:val="767171" w:themeColor="background2" w:themeShade="80"/>
        </w:rPr>
      </w:pPr>
      <w:bookmarkStart w:id="12" w:name="_Hlk7787450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treasury.gov/resource-center/data-chart-center/interest-rates/Pages/TextView.aspx?data=yieldAll [</w:t>
      </w:r>
      <w:r>
        <w:rPr>
          <w:rFonts w:asciiTheme="majorHAnsi" w:hAnsiTheme="majorHAnsi" w:cs="Arial"/>
          <w:color w:val="767171" w:themeColor="background2" w:themeShade="80"/>
          <w:sz w:val="16"/>
        </w:rPr>
        <w:t>8/2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bookmarkEnd w:id="3"/>
    <w:bookmarkEnd w:id="9"/>
    <w:bookmarkEnd w:id="10"/>
    <w:bookmarkEnd w:id="12"/>
    <w:p w:rsidR="007916FF" w:rsidRPr="00E55C73" w:rsidRDefault="00D47382" w:rsidP="0042777E">
      <w:pPr>
        <w:spacing w:line="276" w:lineRule="auto"/>
        <w:rPr>
          <w:color w:val="767171" w:themeColor="background2" w:themeShade="80"/>
        </w:rPr>
      </w:pPr>
    </w:p>
    <w:sectPr w:rsidR="007916FF" w:rsidRPr="00E55C73" w:rsidSect="002B3955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82"/>
    <w:rsid w:val="00D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07059-88ED-4E71-B08A-1C22EED3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A2938"/>
  </w:style>
  <w:style w:type="paragraph" w:styleId="ListParagraph">
    <w:name w:val="List Paragraph"/>
    <w:basedOn w:val="Normal"/>
    <w:uiPriority w:val="34"/>
    <w:qFormat/>
    <w:rsid w:val="00B2579B"/>
    <w:pPr>
      <w:ind w:left="720"/>
      <w:contextualSpacing/>
    </w:pPr>
  </w:style>
  <w:style w:type="table" w:styleId="TableGrid">
    <w:name w:val="Table Grid"/>
    <w:basedOn w:val="TableNormal"/>
    <w:uiPriority w:val="39"/>
    <w:rsid w:val="006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981"/>
    <w:pPr>
      <w:autoSpaceDE w:val="0"/>
      <w:autoSpaceDN w:val="0"/>
      <w:adjustRightInd w:val="0"/>
      <w:spacing w:after="480" w:line="420" w:lineRule="exact"/>
    </w:pPr>
    <w:rPr>
      <w:rFonts w:ascii="Georgia" w:eastAsia="Times" w:hAnsi="Georgia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37981"/>
    <w:rPr>
      <w:rFonts w:ascii="Georgia" w:eastAsia="Times" w:hAnsi="Georgia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5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April Rome</cp:lastModifiedBy>
  <cp:revision>2</cp:revision>
  <dcterms:created xsi:type="dcterms:W3CDTF">2019-08-05T20:39:00Z</dcterms:created>
  <dcterms:modified xsi:type="dcterms:W3CDTF">2019-08-05T20:39:00Z</dcterms:modified>
</cp:coreProperties>
</file>