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CellSpacing w:w="0" w:type="dxa"/>
        <w:shd w:val="clear" w:color="auto" w:fill="FFFFFF"/>
        <w:tblCellMar>
          <w:left w:w="0" w:type="dxa"/>
          <w:right w:w="0" w:type="dxa"/>
        </w:tblCellMar>
        <w:tblLook w:val="04A0" w:firstRow="1" w:lastRow="0" w:firstColumn="1" w:lastColumn="0" w:noHBand="0" w:noVBand="1"/>
      </w:tblPr>
      <w:tblGrid>
        <w:gridCol w:w="10800"/>
      </w:tblGrid>
      <w:tr w:rsidR="003B3BEA" w:rsidRPr="003B3BEA" w:rsidTr="003B3BEA">
        <w:trPr>
          <w:tblCellSpacing w:w="0" w:type="dxa"/>
        </w:trPr>
        <w:tc>
          <w:tcPr>
            <w:tcW w:w="0" w:type="auto"/>
            <w:shd w:val="clear" w:color="auto" w:fill="FFFFFF"/>
            <w:vAlign w:val="center"/>
          </w:tcPr>
          <w:tbl>
            <w:tblPr>
              <w:tblW w:w="10800" w:type="dxa"/>
              <w:tblCellSpacing w:w="0" w:type="dxa"/>
              <w:shd w:val="clear" w:color="auto" w:fill="FFFFFF"/>
              <w:tblCellMar>
                <w:left w:w="0" w:type="dxa"/>
                <w:right w:w="0" w:type="dxa"/>
              </w:tblCellMar>
              <w:tblLook w:val="04A0" w:firstRow="1" w:lastRow="0" w:firstColumn="1" w:lastColumn="0" w:noHBand="0" w:noVBand="1"/>
            </w:tblPr>
            <w:tblGrid>
              <w:gridCol w:w="10800"/>
            </w:tblGrid>
            <w:tr w:rsidR="003B3BEA" w:rsidTr="003B3BEA">
              <w:trPr>
                <w:trHeight w:val="990"/>
                <w:tblCellSpacing w:w="0" w:type="dxa"/>
              </w:trPr>
              <w:tc>
                <w:tcPr>
                  <w:tcW w:w="0" w:type="auto"/>
                  <w:shd w:val="clear" w:color="auto" w:fill="FFFFFF"/>
                  <w:vAlign w:val="center"/>
                  <w:hideMark/>
                </w:tcPr>
                <w:p w:rsidR="003B3BEA" w:rsidRDefault="003B3BEA" w:rsidP="003B3BEA">
                  <w:pPr>
                    <w:spacing w:after="0" w:line="15" w:lineRule="atLeast"/>
                    <w:jc w:val="right"/>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573530" cy="329565"/>
                        <wp:effectExtent l="0" t="0" r="7620" b="0"/>
                        <wp:docPr id="9" name="Picture 9" descr="https://www.broadridgeadvisor.com/img/logos/RaymondJames_lowr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broadridgeadvisor.com/img/logos/RaymondJames_lowres.gif"/>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573530" cy="329565"/>
                                </a:xfrm>
                                <a:prstGeom prst="rect">
                                  <a:avLst/>
                                </a:prstGeom>
                                <a:noFill/>
                                <a:ln>
                                  <a:noFill/>
                                </a:ln>
                              </pic:spPr>
                            </pic:pic>
                          </a:graphicData>
                        </a:graphic>
                      </wp:inline>
                    </w:drawing>
                  </w:r>
                  <w:r>
                    <w:rPr>
                      <w:rFonts w:ascii="Times New Roman" w:hAnsi="Times New Roman" w:cs="Times New Roman"/>
                      <w:noProof/>
                      <w:sz w:val="24"/>
                      <w:szCs w:val="24"/>
                    </w:rPr>
                    <w:drawing>
                      <wp:inline distT="0" distB="0" distL="0" distR="0">
                        <wp:extent cx="6858000" cy="467995"/>
                        <wp:effectExtent l="0" t="0" r="0" b="8255"/>
                        <wp:docPr id="8" name="Picture 8" descr="https://www.broadridgeadvisor.com/img/emailcontent/Pebbles_bar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broadridgeadvisor.com/img/emailcontent/Pebbles_bar_2.jpg"/>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6858000" cy="467995"/>
                                </a:xfrm>
                                <a:prstGeom prst="rect">
                                  <a:avLst/>
                                </a:prstGeom>
                                <a:noFill/>
                                <a:ln>
                                  <a:noFill/>
                                </a:ln>
                              </pic:spPr>
                            </pic:pic>
                          </a:graphicData>
                        </a:graphic>
                      </wp:inline>
                    </w:drawing>
                  </w:r>
                </w:p>
              </w:tc>
            </w:tr>
            <w:tr w:rsidR="003B3BEA" w:rsidTr="003B3BEA">
              <w:trPr>
                <w:trHeight w:val="15"/>
                <w:tblCellSpacing w:w="0" w:type="dxa"/>
              </w:trPr>
              <w:tc>
                <w:tcPr>
                  <w:tcW w:w="0" w:type="auto"/>
                  <w:shd w:val="clear" w:color="auto" w:fill="FFFFFF"/>
                  <w:vAlign w:val="center"/>
                  <w:hideMark/>
                </w:tcPr>
                <w:p w:rsidR="003B3BEA" w:rsidRDefault="003B3BEA" w:rsidP="003B3BEA">
                  <w:pPr>
                    <w:rPr>
                      <w:rFonts w:ascii="Times New Roman" w:hAnsi="Times New Roman" w:cs="Times New Roman"/>
                      <w:sz w:val="24"/>
                      <w:szCs w:val="24"/>
                    </w:rPr>
                  </w:pPr>
                </w:p>
              </w:tc>
            </w:tr>
          </w:tbl>
          <w:p w:rsidR="003B3BEA" w:rsidRDefault="003B3BEA" w:rsidP="003B3BEA">
            <w:pPr>
              <w:spacing w:after="0" w:line="240" w:lineRule="auto"/>
              <w:rPr>
                <w:rFonts w:ascii="Times New Roman" w:hAnsi="Times New Roman" w:cs="Times New Roman"/>
                <w:vanish/>
                <w:sz w:val="24"/>
                <w:szCs w:val="24"/>
              </w:rPr>
            </w:pPr>
          </w:p>
          <w:tbl>
            <w:tblPr>
              <w:tblW w:w="10800" w:type="dxa"/>
              <w:tblCellSpacing w:w="0" w:type="dxa"/>
              <w:shd w:val="clear" w:color="auto" w:fill="FFFFFF"/>
              <w:tblCellMar>
                <w:left w:w="0" w:type="dxa"/>
                <w:right w:w="0" w:type="dxa"/>
              </w:tblCellMar>
              <w:tblLook w:val="04A0" w:firstRow="1" w:lastRow="0" w:firstColumn="1" w:lastColumn="0" w:noHBand="0" w:noVBand="1"/>
            </w:tblPr>
            <w:tblGrid>
              <w:gridCol w:w="5130"/>
              <w:gridCol w:w="5670"/>
            </w:tblGrid>
            <w:tr w:rsidR="003B3BEA" w:rsidTr="003B3BEA">
              <w:trPr>
                <w:trHeight w:val="2268"/>
                <w:tblCellSpacing w:w="0" w:type="dxa"/>
              </w:trPr>
              <w:tc>
                <w:tcPr>
                  <w:tcW w:w="5130" w:type="dxa"/>
                  <w:shd w:val="clear" w:color="auto" w:fill="FFFFFF"/>
                  <w:tcMar>
                    <w:top w:w="225" w:type="dxa"/>
                    <w:left w:w="75" w:type="dxa"/>
                    <w:bottom w:w="75" w:type="dxa"/>
                    <w:right w:w="75" w:type="dxa"/>
                  </w:tcMar>
                  <w:vAlign w:val="center"/>
                  <w:hideMark/>
                </w:tcPr>
                <w:p w:rsidR="003B3BEA" w:rsidRDefault="003B3BEA" w:rsidP="003B3BEA">
                  <w:pPr>
                    <w:spacing w:after="240" w:line="240" w:lineRule="auto"/>
                    <w:rPr>
                      <w:rFonts w:ascii="Arial" w:hAnsi="Arial" w:cs="Arial"/>
                      <w:sz w:val="20"/>
                      <w:szCs w:val="20"/>
                    </w:rPr>
                  </w:pPr>
                  <w:r>
                    <w:rPr>
                      <w:noProof/>
                    </w:rPr>
                    <w:drawing>
                      <wp:inline distT="0" distB="0" distL="0" distR="0">
                        <wp:extent cx="1573530" cy="1445895"/>
                        <wp:effectExtent l="0" t="0" r="7620" b="1905"/>
                        <wp:docPr id="7" name="Picture 7" descr="cid:image003.jpg@01D66419.B76FB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d:image003.jpg@01D66419.B76FB64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573530" cy="1445895"/>
                                </a:xfrm>
                                <a:prstGeom prst="rect">
                                  <a:avLst/>
                                </a:prstGeom>
                                <a:noFill/>
                                <a:ln>
                                  <a:noFill/>
                                </a:ln>
                              </pic:spPr>
                            </pic:pic>
                          </a:graphicData>
                        </a:graphic>
                      </wp:inline>
                    </w:drawing>
                  </w:r>
                  <w:r>
                    <w:rPr>
                      <w:rFonts w:ascii="Arial" w:hAnsi="Arial" w:cs="Arial"/>
                      <w:sz w:val="20"/>
                      <w:szCs w:val="20"/>
                    </w:rPr>
                    <w:br/>
                  </w:r>
                </w:p>
              </w:tc>
              <w:tc>
                <w:tcPr>
                  <w:tcW w:w="5670" w:type="dxa"/>
                  <w:shd w:val="clear" w:color="auto" w:fill="FFFFFF"/>
                  <w:tcMar>
                    <w:top w:w="150" w:type="dxa"/>
                    <w:left w:w="450" w:type="dxa"/>
                    <w:bottom w:w="150" w:type="dxa"/>
                    <w:right w:w="300" w:type="dxa"/>
                  </w:tcMar>
                  <w:vAlign w:val="center"/>
                  <w:hideMark/>
                </w:tcPr>
                <w:p w:rsidR="003B3BEA" w:rsidRDefault="003B3BEA" w:rsidP="003B3BEA">
                  <w:pPr>
                    <w:spacing w:after="0" w:line="240" w:lineRule="auto"/>
                    <w:jc w:val="right"/>
                    <w:rPr>
                      <w:rFonts w:ascii="Times New Roman" w:hAnsi="Times New Roman" w:cs="Times New Roman"/>
                      <w:sz w:val="24"/>
                      <w:szCs w:val="24"/>
                    </w:rPr>
                  </w:pPr>
                  <w:r>
                    <w:rPr>
                      <w:rFonts w:ascii="Arial" w:hAnsi="Arial" w:cs="Arial"/>
                      <w:sz w:val="20"/>
                      <w:szCs w:val="20"/>
                    </w:rPr>
                    <w:t>Wayne Maier</w:t>
                  </w:r>
                  <w:r>
                    <w:rPr>
                      <w:rFonts w:ascii="Arial" w:hAnsi="Arial" w:cs="Arial"/>
                      <w:sz w:val="20"/>
                      <w:szCs w:val="20"/>
                    </w:rPr>
                    <w:br/>
                    <w:t>5982 Westside Saginaw Rd</w:t>
                  </w:r>
                  <w:r>
                    <w:rPr>
                      <w:rFonts w:ascii="Arial" w:hAnsi="Arial" w:cs="Arial"/>
                      <w:sz w:val="20"/>
                      <w:szCs w:val="20"/>
                    </w:rPr>
                    <w:br/>
                    <w:t>Bay City, MI 48706</w:t>
                  </w:r>
                  <w:r>
                    <w:rPr>
                      <w:rFonts w:ascii="Arial" w:hAnsi="Arial" w:cs="Arial"/>
                      <w:sz w:val="20"/>
                      <w:szCs w:val="20"/>
                    </w:rPr>
                    <w:br/>
                    <w:t>989-684-8500</w:t>
                  </w:r>
                  <w:r>
                    <w:rPr>
                      <w:rFonts w:ascii="Arial" w:hAnsi="Arial" w:cs="Arial"/>
                      <w:sz w:val="20"/>
                      <w:szCs w:val="20"/>
                    </w:rPr>
                    <w:br/>
                  </w:r>
                  <w:hyperlink r:id="rId11" w:history="1">
                    <w:r>
                      <w:rPr>
                        <w:rStyle w:val="Hyperlink"/>
                        <w:rFonts w:ascii="Arial" w:hAnsi="Arial" w:cs="Arial"/>
                        <w:sz w:val="20"/>
                        <w:szCs w:val="20"/>
                      </w:rPr>
                      <w:t>waynem@maierandassociates.com</w:t>
                    </w:r>
                  </w:hyperlink>
                </w:p>
              </w:tc>
            </w:tr>
          </w:tbl>
          <w:p w:rsidR="003B3BEA" w:rsidRDefault="003B3BEA" w:rsidP="003B3BEA">
            <w:pPr>
              <w:spacing w:after="0" w:line="240" w:lineRule="auto"/>
              <w:rPr>
                <w:rFonts w:ascii="Times New Roman" w:hAnsi="Times New Roman" w:cs="Times New Roman"/>
                <w:vanish/>
                <w:sz w:val="24"/>
                <w:szCs w:val="24"/>
              </w:rPr>
            </w:pPr>
          </w:p>
          <w:p w:rsidR="003B3BEA" w:rsidRPr="003B3BEA" w:rsidRDefault="003B3BEA" w:rsidP="003B3BEA">
            <w:pPr>
              <w:spacing w:after="0" w:line="15" w:lineRule="atLeast"/>
              <w:rPr>
                <w:rFonts w:ascii="Times New Roman" w:eastAsia="Times New Roman" w:hAnsi="Times New Roman" w:cs="Times New Roman"/>
                <w:sz w:val="24"/>
                <w:szCs w:val="24"/>
              </w:rPr>
            </w:pPr>
          </w:p>
        </w:tc>
      </w:tr>
      <w:tr w:rsidR="003B3BEA" w:rsidRPr="003B3BEA" w:rsidTr="003B3BEA">
        <w:trPr>
          <w:trHeight w:val="15"/>
          <w:tblCellSpacing w:w="0" w:type="dxa"/>
        </w:trPr>
        <w:tc>
          <w:tcPr>
            <w:tcW w:w="0" w:type="auto"/>
            <w:shd w:val="clear" w:color="auto" w:fill="FFFFFF"/>
            <w:vAlign w:val="center"/>
          </w:tcPr>
          <w:p w:rsidR="003B3BEA" w:rsidRPr="003B3BEA" w:rsidRDefault="003B3BEA" w:rsidP="003B3BEA">
            <w:pPr>
              <w:spacing w:after="0" w:line="15" w:lineRule="atLeast"/>
              <w:rPr>
                <w:rFonts w:ascii="Times New Roman" w:eastAsia="Times New Roman" w:hAnsi="Times New Roman" w:cs="Times New Roman"/>
                <w:sz w:val="2"/>
                <w:szCs w:val="2"/>
              </w:rPr>
            </w:pPr>
          </w:p>
        </w:tc>
      </w:tr>
      <w:tr w:rsidR="003B3BEA" w:rsidRPr="003B3BEA">
        <w:trPr>
          <w:trHeight w:val="15"/>
          <w:tblCellSpacing w:w="0" w:type="dxa"/>
        </w:trPr>
        <w:tc>
          <w:tcPr>
            <w:tcW w:w="0" w:type="auto"/>
            <w:shd w:val="clear" w:color="auto" w:fill="FFFFFF"/>
            <w:vAlign w:val="center"/>
          </w:tcPr>
          <w:p w:rsidR="003B3BEA" w:rsidRPr="003B3BEA" w:rsidRDefault="003B3BEA" w:rsidP="003B3BEA">
            <w:pPr>
              <w:spacing w:after="0" w:line="15" w:lineRule="atLeast"/>
              <w:rPr>
                <w:rFonts w:ascii="Times New Roman" w:eastAsia="Times New Roman" w:hAnsi="Times New Roman" w:cs="Times New Roman"/>
                <w:noProof/>
                <w:sz w:val="2"/>
                <w:szCs w:val="2"/>
              </w:rPr>
            </w:pPr>
          </w:p>
        </w:tc>
      </w:tr>
      <w:tr w:rsidR="003B3BEA" w:rsidRPr="003B3BEA">
        <w:trPr>
          <w:trHeight w:val="15"/>
          <w:tblCellSpacing w:w="0" w:type="dxa"/>
        </w:trPr>
        <w:tc>
          <w:tcPr>
            <w:tcW w:w="0" w:type="auto"/>
            <w:shd w:val="clear" w:color="auto" w:fill="FFFFFF"/>
            <w:vAlign w:val="center"/>
          </w:tcPr>
          <w:p w:rsidR="003B3BEA" w:rsidRPr="003B3BEA" w:rsidRDefault="003B3BEA" w:rsidP="003B3BEA">
            <w:pPr>
              <w:spacing w:after="0" w:line="15" w:lineRule="atLeast"/>
              <w:rPr>
                <w:rFonts w:ascii="Times New Roman" w:eastAsia="Times New Roman" w:hAnsi="Times New Roman" w:cs="Times New Roman"/>
                <w:noProof/>
                <w:sz w:val="2"/>
                <w:szCs w:val="2"/>
              </w:rPr>
            </w:pPr>
          </w:p>
        </w:tc>
      </w:tr>
      <w:tr w:rsidR="003B3BEA" w:rsidRPr="003B3BEA">
        <w:trPr>
          <w:trHeight w:val="15"/>
          <w:tblCellSpacing w:w="0" w:type="dxa"/>
        </w:trPr>
        <w:tc>
          <w:tcPr>
            <w:tcW w:w="0" w:type="auto"/>
            <w:shd w:val="clear" w:color="auto" w:fill="FFFFFF"/>
            <w:vAlign w:val="center"/>
          </w:tcPr>
          <w:p w:rsidR="003B3BEA" w:rsidRPr="003B3BEA" w:rsidRDefault="003B3BEA" w:rsidP="003B3BEA">
            <w:pPr>
              <w:spacing w:after="0" w:line="15" w:lineRule="atLeast"/>
              <w:rPr>
                <w:rFonts w:ascii="Times New Roman" w:eastAsia="Times New Roman" w:hAnsi="Times New Roman" w:cs="Times New Roman"/>
                <w:noProof/>
                <w:sz w:val="2"/>
                <w:szCs w:val="2"/>
              </w:rPr>
            </w:pPr>
          </w:p>
        </w:tc>
      </w:tr>
      <w:tr w:rsidR="003B3BEA" w:rsidRPr="003B3BEA">
        <w:trPr>
          <w:trHeight w:val="15"/>
          <w:tblCellSpacing w:w="0" w:type="dxa"/>
        </w:trPr>
        <w:tc>
          <w:tcPr>
            <w:tcW w:w="0" w:type="auto"/>
            <w:shd w:val="clear" w:color="auto" w:fill="FFFFFF"/>
            <w:vAlign w:val="center"/>
          </w:tcPr>
          <w:p w:rsidR="003B3BEA" w:rsidRPr="003B3BEA" w:rsidRDefault="003B3BEA" w:rsidP="003B3BEA">
            <w:pPr>
              <w:spacing w:after="0" w:line="15" w:lineRule="atLeast"/>
              <w:rPr>
                <w:rFonts w:ascii="Times New Roman" w:eastAsia="Times New Roman" w:hAnsi="Times New Roman" w:cs="Times New Roman"/>
                <w:noProof/>
                <w:sz w:val="2"/>
                <w:szCs w:val="2"/>
              </w:rPr>
            </w:pPr>
          </w:p>
        </w:tc>
      </w:tr>
    </w:tbl>
    <w:p w:rsidR="003B3BEA" w:rsidRPr="003B3BEA" w:rsidRDefault="003B3BEA" w:rsidP="003B3BEA">
      <w:pPr>
        <w:spacing w:after="0" w:line="240" w:lineRule="auto"/>
        <w:rPr>
          <w:rFonts w:ascii="Times New Roman" w:eastAsia="Times New Roman" w:hAnsi="Times New Roman" w:cs="Times New Roman"/>
          <w:vanish/>
          <w:sz w:val="24"/>
          <w:szCs w:val="24"/>
        </w:rPr>
      </w:pPr>
    </w:p>
    <w:p w:rsidR="003B3BEA" w:rsidRPr="003B3BEA" w:rsidRDefault="003B3BEA" w:rsidP="003B3BEA">
      <w:pPr>
        <w:spacing w:after="0" w:line="240" w:lineRule="auto"/>
        <w:rPr>
          <w:rFonts w:ascii="Times New Roman" w:eastAsia="Times New Roman" w:hAnsi="Times New Roman" w:cs="Times New Roman"/>
          <w:vanish/>
          <w:sz w:val="24"/>
          <w:szCs w:val="24"/>
        </w:rPr>
      </w:pPr>
    </w:p>
    <w:tbl>
      <w:tblPr>
        <w:tblW w:w="10800" w:type="dxa"/>
        <w:tblCellSpacing w:w="0" w:type="dxa"/>
        <w:shd w:val="clear" w:color="auto" w:fill="FFFFFF"/>
        <w:tblCellMar>
          <w:left w:w="0" w:type="dxa"/>
          <w:right w:w="0" w:type="dxa"/>
        </w:tblCellMar>
        <w:tblLook w:val="04A0" w:firstRow="1" w:lastRow="0" w:firstColumn="1" w:lastColumn="0" w:noHBand="0" w:noVBand="1"/>
      </w:tblPr>
      <w:tblGrid>
        <w:gridCol w:w="6988"/>
        <w:gridCol w:w="3812"/>
      </w:tblGrid>
      <w:tr w:rsidR="003B3BEA" w:rsidRPr="003B3BEA">
        <w:trPr>
          <w:tblCellSpacing w:w="0" w:type="dxa"/>
        </w:trPr>
        <w:tc>
          <w:tcPr>
            <w:tcW w:w="0" w:type="auto"/>
            <w:shd w:val="clear" w:color="auto" w:fill="FFFFFF"/>
            <w:tcMar>
              <w:top w:w="75" w:type="dxa"/>
              <w:left w:w="450" w:type="dxa"/>
              <w:bottom w:w="0" w:type="dxa"/>
              <w:right w:w="0" w:type="dxa"/>
            </w:tcMar>
            <w:hideMark/>
          </w:tcPr>
          <w:p w:rsidR="003B3BEA" w:rsidRPr="003B3BEA" w:rsidRDefault="003B3BEA" w:rsidP="003B3BEA">
            <w:pPr>
              <w:spacing w:after="0" w:line="240" w:lineRule="auto"/>
              <w:rPr>
                <w:rFonts w:ascii="Arial" w:eastAsia="Times New Roman" w:hAnsi="Arial" w:cs="Arial"/>
                <w:sz w:val="20"/>
                <w:szCs w:val="20"/>
              </w:rPr>
            </w:pPr>
            <w:r w:rsidRPr="003B3BEA">
              <w:rPr>
                <w:rFonts w:ascii="Arial" w:eastAsia="Times New Roman" w:hAnsi="Arial" w:cs="Arial"/>
                <w:b/>
                <w:bCs/>
                <w:sz w:val="20"/>
                <w:szCs w:val="20"/>
              </w:rPr>
              <w:t>Prepared for:</w:t>
            </w:r>
            <w:r w:rsidRPr="003B3BEA">
              <w:rPr>
                <w:rFonts w:ascii="Arial" w:eastAsia="Times New Roman" w:hAnsi="Arial" w:cs="Arial"/>
                <w:sz w:val="20"/>
                <w:szCs w:val="20"/>
              </w:rPr>
              <w:t> Our Valuable Clients</w:t>
            </w:r>
            <w:r w:rsidRPr="003B3BEA">
              <w:rPr>
                <w:rFonts w:ascii="Arial" w:eastAsia="Times New Roman" w:hAnsi="Arial" w:cs="Arial"/>
                <w:sz w:val="20"/>
                <w:szCs w:val="20"/>
              </w:rPr>
              <w:br/>
            </w:r>
          </w:p>
        </w:tc>
        <w:tc>
          <w:tcPr>
            <w:tcW w:w="0" w:type="auto"/>
            <w:shd w:val="clear" w:color="auto" w:fill="FFFFFF"/>
            <w:tcMar>
              <w:top w:w="75" w:type="dxa"/>
              <w:left w:w="0" w:type="dxa"/>
              <w:bottom w:w="0" w:type="dxa"/>
              <w:right w:w="300" w:type="dxa"/>
            </w:tcMar>
            <w:hideMark/>
          </w:tcPr>
          <w:p w:rsidR="003B3BEA" w:rsidRPr="003B3BEA" w:rsidRDefault="003B3BEA" w:rsidP="003B3BEA">
            <w:pPr>
              <w:spacing w:after="0" w:line="240" w:lineRule="auto"/>
              <w:jc w:val="right"/>
              <w:rPr>
                <w:rFonts w:ascii="Arial" w:eastAsia="Times New Roman" w:hAnsi="Arial" w:cs="Arial"/>
                <w:sz w:val="20"/>
                <w:szCs w:val="20"/>
              </w:rPr>
            </w:pPr>
            <w:r w:rsidRPr="003B3BEA">
              <w:rPr>
                <w:rFonts w:ascii="Arial" w:eastAsia="Times New Roman" w:hAnsi="Arial" w:cs="Arial"/>
                <w:sz w:val="20"/>
                <w:szCs w:val="20"/>
              </w:rPr>
              <w:t>August 03, 2020</w:t>
            </w:r>
          </w:p>
        </w:tc>
      </w:tr>
      <w:tr w:rsidR="003B3BEA" w:rsidRPr="003B3BEA">
        <w:trPr>
          <w:tblCellSpacing w:w="0" w:type="dxa"/>
        </w:trPr>
        <w:tc>
          <w:tcPr>
            <w:tcW w:w="0" w:type="auto"/>
            <w:gridSpan w:val="2"/>
            <w:shd w:val="clear" w:color="auto" w:fill="FFFFFF"/>
            <w:tcMar>
              <w:top w:w="0" w:type="dxa"/>
              <w:left w:w="450" w:type="dxa"/>
              <w:bottom w:w="0" w:type="dxa"/>
              <w:right w:w="300"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29"/>
              <w:gridCol w:w="8321"/>
            </w:tblGrid>
            <w:tr w:rsidR="003B3BEA" w:rsidRPr="003B3BEA">
              <w:trPr>
                <w:tblCellSpacing w:w="15" w:type="dxa"/>
              </w:trPr>
              <w:tc>
                <w:tcPr>
                  <w:tcW w:w="1500" w:type="dxa"/>
                  <w:hideMark/>
                </w:tcPr>
                <w:p w:rsidR="003B3BEA" w:rsidRPr="003B3BEA" w:rsidRDefault="003B3BEA" w:rsidP="003B3BEA">
                  <w:pPr>
                    <w:spacing w:after="150" w:line="240" w:lineRule="auto"/>
                    <w:jc w:val="center"/>
                    <w:rPr>
                      <w:rFonts w:ascii="Times New Roman" w:eastAsia="Times New Roman" w:hAnsi="Times New Roman" w:cs="Times New Roman"/>
                      <w:sz w:val="24"/>
                      <w:szCs w:val="24"/>
                    </w:rPr>
                  </w:pPr>
                  <w:r w:rsidRPr="003B3BEA">
                    <w:rPr>
                      <w:rFonts w:ascii="Times New Roman" w:eastAsia="Times New Roman" w:hAnsi="Times New Roman" w:cs="Times New Roman"/>
                      <w:noProof/>
                      <w:sz w:val="24"/>
                      <w:szCs w:val="24"/>
                    </w:rPr>
                    <w:drawing>
                      <wp:inline distT="0" distB="0" distL="0" distR="0">
                        <wp:extent cx="956945" cy="956945"/>
                        <wp:effectExtent l="0" t="0" r="0" b="0"/>
                        <wp:docPr id="1" name="Picture 1" descr="https://www.broadridgeadvisor.com/images/market_review_imgs_800x800_Week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broadridgeadvisor.com/images/market_review_imgs_800x800_Week_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6945" cy="956945"/>
                                </a:xfrm>
                                <a:prstGeom prst="rect">
                                  <a:avLst/>
                                </a:prstGeom>
                                <a:noFill/>
                                <a:ln>
                                  <a:noFill/>
                                </a:ln>
                              </pic:spPr>
                            </pic:pic>
                          </a:graphicData>
                        </a:graphic>
                      </wp:inline>
                    </w:drawing>
                  </w:r>
                </w:p>
                <w:p w:rsidR="003B3BEA" w:rsidRPr="003B3BEA" w:rsidRDefault="003B3BEA" w:rsidP="003B3BEA">
                  <w:pPr>
                    <w:spacing w:after="105" w:line="240" w:lineRule="auto"/>
                    <w:rPr>
                      <w:rFonts w:ascii="Arial" w:eastAsia="Times New Roman" w:hAnsi="Arial" w:cs="Arial"/>
                      <w:b/>
                      <w:bCs/>
                      <w:i/>
                      <w:iCs/>
                      <w:color w:val="000080"/>
                      <w:sz w:val="24"/>
                      <w:szCs w:val="24"/>
                    </w:rPr>
                  </w:pPr>
                  <w:r w:rsidRPr="003B3BEA">
                    <w:rPr>
                      <w:rFonts w:ascii="Arial" w:eastAsia="Times New Roman" w:hAnsi="Arial" w:cs="Arial"/>
                      <w:b/>
                      <w:bCs/>
                      <w:i/>
                      <w:iCs/>
                      <w:color w:val="000080"/>
                      <w:sz w:val="24"/>
                      <w:szCs w:val="24"/>
                    </w:rPr>
                    <w:t xml:space="preserve">Key Dates/Data Releases </w:t>
                  </w:r>
                </w:p>
                <w:p w:rsidR="003B3BEA" w:rsidRPr="003B3BEA" w:rsidRDefault="003B3BEA" w:rsidP="003B3BEA">
                  <w:pPr>
                    <w:spacing w:after="105" w:line="240" w:lineRule="auto"/>
                    <w:rPr>
                      <w:rFonts w:ascii="Arial" w:eastAsia="Times New Roman" w:hAnsi="Arial" w:cs="Arial"/>
                      <w:b/>
                      <w:bCs/>
                      <w:i/>
                      <w:iCs/>
                      <w:color w:val="000080"/>
                      <w:sz w:val="24"/>
                      <w:szCs w:val="24"/>
                    </w:rPr>
                  </w:pPr>
                  <w:r w:rsidRPr="003B3BEA">
                    <w:rPr>
                      <w:rFonts w:ascii="Arial" w:eastAsia="Times New Roman" w:hAnsi="Arial" w:cs="Arial"/>
                      <w:b/>
                      <w:bCs/>
                      <w:i/>
                      <w:iCs/>
                      <w:color w:val="000080"/>
                      <w:sz w:val="24"/>
                      <w:szCs w:val="24"/>
                    </w:rPr>
                    <w:t>8/3: ISM PMI, Markit PMI</w:t>
                  </w:r>
                </w:p>
                <w:p w:rsidR="003B3BEA" w:rsidRPr="003B3BEA" w:rsidRDefault="003B3BEA" w:rsidP="003B3BEA">
                  <w:pPr>
                    <w:spacing w:after="105" w:line="240" w:lineRule="auto"/>
                    <w:rPr>
                      <w:rFonts w:ascii="Arial" w:eastAsia="Times New Roman" w:hAnsi="Arial" w:cs="Arial"/>
                      <w:b/>
                      <w:bCs/>
                      <w:i/>
                      <w:iCs/>
                      <w:color w:val="000080"/>
                      <w:sz w:val="24"/>
                      <w:szCs w:val="24"/>
                    </w:rPr>
                  </w:pPr>
                  <w:r w:rsidRPr="003B3BEA">
                    <w:rPr>
                      <w:rFonts w:ascii="Arial" w:eastAsia="Times New Roman" w:hAnsi="Arial" w:cs="Arial"/>
                      <w:b/>
                      <w:bCs/>
                      <w:i/>
                      <w:iCs/>
                      <w:color w:val="000080"/>
                      <w:sz w:val="24"/>
                      <w:szCs w:val="24"/>
                    </w:rPr>
                    <w:t>8/5: International trade in goods and services, ISM Non-Manufacturing Index</w:t>
                  </w:r>
                </w:p>
                <w:p w:rsidR="003B3BEA" w:rsidRPr="003B3BEA" w:rsidRDefault="003B3BEA" w:rsidP="003B3BEA">
                  <w:pPr>
                    <w:spacing w:after="150" w:line="240" w:lineRule="auto"/>
                    <w:rPr>
                      <w:rFonts w:ascii="Arial" w:eastAsia="Times New Roman" w:hAnsi="Arial" w:cs="Arial"/>
                      <w:b/>
                      <w:bCs/>
                      <w:i/>
                      <w:iCs/>
                      <w:color w:val="000080"/>
                      <w:sz w:val="24"/>
                      <w:szCs w:val="24"/>
                    </w:rPr>
                  </w:pPr>
                  <w:r w:rsidRPr="003B3BEA">
                    <w:rPr>
                      <w:rFonts w:ascii="Arial" w:eastAsia="Times New Roman" w:hAnsi="Arial" w:cs="Arial"/>
                      <w:b/>
                      <w:bCs/>
                      <w:i/>
                      <w:iCs/>
                      <w:color w:val="000080"/>
                      <w:sz w:val="24"/>
                      <w:szCs w:val="24"/>
                    </w:rPr>
                    <w:t>8/7: Employment situation</w:t>
                  </w:r>
                </w:p>
              </w:tc>
              <w:tc>
                <w:tcPr>
                  <w:tcW w:w="0" w:type="auto"/>
                  <w:vAlign w:val="center"/>
                  <w:hideMark/>
                </w:tcPr>
                <w:tbl>
                  <w:tblPr>
                    <w:tblW w:w="5000" w:type="pct"/>
                    <w:jc w:val="center"/>
                    <w:tblCellSpacing w:w="75" w:type="dxa"/>
                    <w:tblCellMar>
                      <w:left w:w="0" w:type="dxa"/>
                      <w:right w:w="0" w:type="dxa"/>
                    </w:tblCellMar>
                    <w:tblLook w:val="04A0" w:firstRow="1" w:lastRow="0" w:firstColumn="1" w:lastColumn="0" w:noHBand="0" w:noVBand="1"/>
                  </w:tblPr>
                  <w:tblGrid>
                    <w:gridCol w:w="8246"/>
                  </w:tblGrid>
                  <w:tr w:rsidR="003B3BEA" w:rsidRPr="003B3BEA">
                    <w:trPr>
                      <w:tblCellSpacing w:w="75" w:type="dxa"/>
                      <w:jc w:val="center"/>
                    </w:trPr>
                    <w:tc>
                      <w:tcPr>
                        <w:tcW w:w="0" w:type="auto"/>
                        <w:vAlign w:val="center"/>
                        <w:hideMark/>
                      </w:tcPr>
                      <w:p w:rsidR="003B3BEA" w:rsidRPr="003B3BEA" w:rsidRDefault="003B3BEA" w:rsidP="003B3BEA">
                        <w:pPr>
                          <w:spacing w:after="0" w:line="240" w:lineRule="auto"/>
                          <w:rPr>
                            <w:rFonts w:ascii="Times New Roman" w:eastAsia="Times New Roman" w:hAnsi="Times New Roman" w:cs="Times New Roman"/>
                            <w:b/>
                            <w:bCs/>
                            <w:caps/>
                            <w:sz w:val="24"/>
                            <w:szCs w:val="24"/>
                          </w:rPr>
                        </w:pPr>
                        <w:bookmarkStart w:id="0" w:name="_GoBack"/>
                        <w:r w:rsidRPr="003B3BEA">
                          <w:rPr>
                            <w:rFonts w:ascii="Times New Roman" w:eastAsia="Times New Roman" w:hAnsi="Times New Roman" w:cs="Times New Roman"/>
                            <w:b/>
                            <w:bCs/>
                            <w:caps/>
                            <w:sz w:val="24"/>
                            <w:szCs w:val="24"/>
                          </w:rPr>
                          <w:t>Market Week: August 3, 2020</w:t>
                        </w:r>
                        <w:bookmarkEnd w:id="0"/>
                      </w:p>
                    </w:tc>
                  </w:tr>
                  <w:tr w:rsidR="003B3BEA" w:rsidRPr="003B3BEA">
                    <w:trPr>
                      <w:tblCellSpacing w:w="75" w:type="dxa"/>
                      <w:jc w:val="center"/>
                    </w:trPr>
                    <w:tc>
                      <w:tcPr>
                        <w:tcW w:w="0" w:type="auto"/>
                        <w:shd w:val="clear" w:color="auto" w:fill="EBEBD7"/>
                        <w:tcMar>
                          <w:top w:w="150" w:type="dxa"/>
                          <w:left w:w="300" w:type="dxa"/>
                          <w:bottom w:w="150" w:type="dxa"/>
                          <w:right w:w="300" w:type="dxa"/>
                        </w:tcMar>
                        <w:vAlign w:val="center"/>
                        <w:hideMark/>
                      </w:tcPr>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7346"/>
                        </w:tblGrid>
                        <w:tr w:rsidR="003B3BEA" w:rsidRPr="003B3BEA">
                          <w:trPr>
                            <w:tblCellSpacing w:w="15" w:type="dxa"/>
                            <w:jc w:val="center"/>
                          </w:trPr>
                          <w:tc>
                            <w:tcPr>
                              <w:tcW w:w="0" w:type="auto"/>
                              <w:vAlign w:val="center"/>
                              <w:hideMark/>
                            </w:tcPr>
                            <w:p w:rsidR="003B3BEA" w:rsidRPr="003B3BEA" w:rsidRDefault="003B3BEA" w:rsidP="003B3BEA">
                              <w:pPr>
                                <w:spacing w:before="100" w:beforeAutospacing="1" w:after="100" w:afterAutospacing="1" w:line="240" w:lineRule="auto"/>
                                <w:outlineLvl w:val="1"/>
                                <w:rPr>
                                  <w:rFonts w:ascii="Times New Roman" w:eastAsia="Times New Roman" w:hAnsi="Times New Roman" w:cs="Times New Roman"/>
                                  <w:b/>
                                  <w:bCs/>
                                  <w:color w:val="000000"/>
                                  <w:sz w:val="24"/>
                                  <w:szCs w:val="24"/>
                                </w:rPr>
                              </w:pPr>
                              <w:r w:rsidRPr="003B3BEA">
                                <w:rPr>
                                  <w:rFonts w:ascii="Times New Roman" w:eastAsia="Times New Roman" w:hAnsi="Times New Roman" w:cs="Times New Roman"/>
                                  <w:b/>
                                  <w:bCs/>
                                  <w:color w:val="000000"/>
                                  <w:sz w:val="24"/>
                                  <w:szCs w:val="24"/>
                                </w:rPr>
                                <w:t xml:space="preserve">The Markets (as of market close July 31, 2020) </w:t>
                              </w:r>
                            </w:p>
                            <w:p w:rsidR="003B3BEA" w:rsidRPr="003B3BEA" w:rsidRDefault="003B3BEA" w:rsidP="003B3BEA">
                              <w:pPr>
                                <w:spacing w:after="105" w:line="240" w:lineRule="auto"/>
                                <w:rPr>
                                  <w:rFonts w:ascii="Arial" w:eastAsia="Times New Roman" w:hAnsi="Arial" w:cs="Arial"/>
                                  <w:color w:val="000000"/>
                                  <w:sz w:val="24"/>
                                  <w:szCs w:val="24"/>
                                </w:rPr>
                              </w:pPr>
                              <w:r w:rsidRPr="003B3BEA">
                                <w:rPr>
                                  <w:rFonts w:ascii="Arial" w:eastAsia="Times New Roman" w:hAnsi="Arial" w:cs="Arial"/>
                                  <w:color w:val="000000"/>
                                  <w:sz w:val="24"/>
                                  <w:szCs w:val="24"/>
                                </w:rPr>
                                <w:t>Equities continued their positive run of Mondays by posting solid gains again to start last week. The technology sector led the Nasdaq to power ahead by 1.7%. The small caps of the Russell 2000 advanced 1.2%, and the large caps of the S&amp;P 500 (0.7%) and the Dow (0.4%) also climbed higher last Monday. Crude oil prices and Treasury yields rose, while the dollar declined. Gold prices continued to soar as it reached its highest level in history, a possible indication that investors view the economy as stagnating.</w:t>
                              </w:r>
                            </w:p>
                            <w:p w:rsidR="003B3BEA" w:rsidRPr="003B3BEA" w:rsidRDefault="003B3BEA" w:rsidP="003B3BEA">
                              <w:pPr>
                                <w:spacing w:after="105" w:line="240" w:lineRule="auto"/>
                                <w:rPr>
                                  <w:rFonts w:ascii="Arial" w:eastAsia="Times New Roman" w:hAnsi="Arial" w:cs="Arial"/>
                                  <w:color w:val="000000"/>
                                  <w:sz w:val="24"/>
                                  <w:szCs w:val="24"/>
                                </w:rPr>
                              </w:pPr>
                              <w:r w:rsidRPr="003B3BEA">
                                <w:rPr>
                                  <w:rFonts w:ascii="Arial" w:eastAsia="Times New Roman" w:hAnsi="Arial" w:cs="Arial"/>
                                  <w:color w:val="000000"/>
                                  <w:sz w:val="24"/>
                                  <w:szCs w:val="24"/>
                                </w:rPr>
                                <w:t xml:space="preserve">While last Tuesday saw movement on further economic stimulus, that development didn't help stocks. Each of the benchmark indexes lost value, giving back Monday's gains. Less-than-favorable quarterly earnings reports from some major companies sent shares tumbling. The Nasdaq was hardest hit, falling 1.3%, followed by the Russell 2000, which gave back 1.0%. The Dow (-0.8%) and the S&amp;P 500 (-0.7%) also fell last Tuesday. Crude oil prices dipped 1.5%, Treasury yields dropped, while the dollar and gold rose. </w:t>
                              </w:r>
                            </w:p>
                            <w:p w:rsidR="003B3BEA" w:rsidRPr="003B3BEA" w:rsidRDefault="003B3BEA" w:rsidP="003B3BEA">
                              <w:pPr>
                                <w:spacing w:after="105" w:line="240" w:lineRule="auto"/>
                                <w:rPr>
                                  <w:rFonts w:ascii="Arial" w:eastAsia="Times New Roman" w:hAnsi="Arial" w:cs="Arial"/>
                                  <w:color w:val="000000"/>
                                  <w:sz w:val="24"/>
                                  <w:szCs w:val="24"/>
                                </w:rPr>
                              </w:pPr>
                              <w:r w:rsidRPr="003B3BEA">
                                <w:rPr>
                                  <w:rFonts w:ascii="Arial" w:eastAsia="Times New Roman" w:hAnsi="Arial" w:cs="Arial"/>
                                  <w:color w:val="000000"/>
                                  <w:sz w:val="24"/>
                                  <w:szCs w:val="24"/>
                                </w:rPr>
                                <w:t>After a slow start to the day, stocks rebounded last Wednesday following the Federal Reserve's announcement that interest rates will remain the same and economic stimulus will continue. The Dow rose 0.6%, the S&amp;P 500 advanced 1.3%, and the Nasdaq gained 1.4%. Crude oil prices climbed, while the dollar and Treasury yields fell.</w:t>
                              </w:r>
                            </w:p>
                            <w:p w:rsidR="003B3BEA" w:rsidRPr="003B3BEA" w:rsidRDefault="003B3BEA" w:rsidP="003B3BEA">
                              <w:pPr>
                                <w:spacing w:after="105" w:line="240" w:lineRule="auto"/>
                                <w:rPr>
                                  <w:rFonts w:ascii="Arial" w:eastAsia="Times New Roman" w:hAnsi="Arial" w:cs="Arial"/>
                                  <w:color w:val="000000"/>
                                  <w:sz w:val="24"/>
                                  <w:szCs w:val="24"/>
                                </w:rPr>
                              </w:pPr>
                              <w:r w:rsidRPr="003B3BEA">
                                <w:rPr>
                                  <w:rFonts w:ascii="Arial" w:eastAsia="Times New Roman" w:hAnsi="Arial" w:cs="Arial"/>
                                  <w:color w:val="000000"/>
                                  <w:sz w:val="24"/>
                                  <w:szCs w:val="24"/>
                                </w:rPr>
                                <w:t xml:space="preserve">Last Thursday proved to be another tough day for stocks. Only the Nasdaq gained value, rising 0.4% by the end of trading. The remaining benchmark indexes fell behind, led by the Dow, which dropped 0.9%, followed by the Global Dow, which landed -0.8% in the red. Both the S&amp;P 500 and the Russell 2000 lost 0.4%. Investors received little encouraging news on the day. A consensus has yet to be reached on the next round of government pandemic relief. The second-quarter GDP saw the economy regress at a rate of nearly 33%. And claims for unemployment insurance increased for the second straight week. </w:t>
                              </w:r>
                            </w:p>
                            <w:p w:rsidR="003B3BEA" w:rsidRPr="003B3BEA" w:rsidRDefault="003B3BEA" w:rsidP="003B3BEA">
                              <w:pPr>
                                <w:spacing w:after="105" w:line="240" w:lineRule="auto"/>
                                <w:rPr>
                                  <w:rFonts w:ascii="Arial" w:eastAsia="Times New Roman" w:hAnsi="Arial" w:cs="Arial"/>
                                  <w:color w:val="000000"/>
                                  <w:sz w:val="24"/>
                                  <w:szCs w:val="24"/>
                                </w:rPr>
                              </w:pPr>
                              <w:r w:rsidRPr="003B3BEA">
                                <w:rPr>
                                  <w:rFonts w:ascii="Arial" w:eastAsia="Times New Roman" w:hAnsi="Arial" w:cs="Arial"/>
                                  <w:color w:val="000000"/>
                                  <w:sz w:val="24"/>
                                  <w:szCs w:val="24"/>
                                </w:rPr>
                                <w:t xml:space="preserve">The week ended with tech stocks surging, driving the Nasdaq ahead 1.5% by the close of trading last Friday. Positive earnings report from some major market moving companies helped drive stocks higher, despite mixed overall earnings results, worries about economic recovery, and increasing virus cases. </w:t>
                              </w:r>
                            </w:p>
                            <w:p w:rsidR="003B3BEA" w:rsidRPr="003B3BEA" w:rsidRDefault="003B3BEA" w:rsidP="003B3BEA">
                              <w:pPr>
                                <w:spacing w:after="105" w:line="240" w:lineRule="auto"/>
                                <w:rPr>
                                  <w:rFonts w:ascii="Arial" w:eastAsia="Times New Roman" w:hAnsi="Arial" w:cs="Arial"/>
                                  <w:color w:val="000000"/>
                                  <w:sz w:val="24"/>
                                  <w:szCs w:val="24"/>
                                </w:rPr>
                              </w:pPr>
                              <w:r w:rsidRPr="003B3BEA">
                                <w:rPr>
                                  <w:rFonts w:ascii="Arial" w:eastAsia="Times New Roman" w:hAnsi="Arial" w:cs="Arial"/>
                                  <w:color w:val="000000"/>
                                  <w:sz w:val="24"/>
                                  <w:szCs w:val="24"/>
                                </w:rPr>
                                <w:t xml:space="preserve">The Nasdaq rebounded from a poor start to close last week up 3.7%. The S&amp;P 500 climbed 1.7%, followed by the Russell 2000, which advanced 0.9%. The Dow (-0.2%) and the Global Dow (-1.2%) ended last week in the red. Year to date, the Nasdaq is no longer the only benchmark index in the black. The S&amp;P 500 is now 1.25% ahead of its </w:t>
                              </w:r>
                              <w:proofErr w:type="gramStart"/>
                              <w:r w:rsidRPr="003B3BEA">
                                <w:rPr>
                                  <w:rFonts w:ascii="Arial" w:eastAsia="Times New Roman" w:hAnsi="Arial" w:cs="Arial"/>
                                  <w:color w:val="000000"/>
                                  <w:sz w:val="24"/>
                                  <w:szCs w:val="24"/>
                                </w:rPr>
                                <w:t>2019 year</w:t>
                              </w:r>
                              <w:proofErr w:type="gramEnd"/>
                              <w:r w:rsidRPr="003B3BEA">
                                <w:rPr>
                                  <w:rFonts w:ascii="Arial" w:eastAsia="Times New Roman" w:hAnsi="Arial" w:cs="Arial"/>
                                  <w:color w:val="000000"/>
                                  <w:sz w:val="24"/>
                                  <w:szCs w:val="24"/>
                                </w:rPr>
                                <w:t xml:space="preserve"> end value following last week's solid performance. </w:t>
                              </w:r>
                            </w:p>
                            <w:p w:rsidR="003B3BEA" w:rsidRPr="003B3BEA" w:rsidRDefault="003B3BEA" w:rsidP="003B3BEA">
                              <w:pPr>
                                <w:spacing w:after="105" w:line="240" w:lineRule="auto"/>
                                <w:rPr>
                                  <w:rFonts w:ascii="Arial" w:eastAsia="Times New Roman" w:hAnsi="Arial" w:cs="Arial"/>
                                  <w:color w:val="000000"/>
                                  <w:sz w:val="24"/>
                                  <w:szCs w:val="24"/>
                                </w:rPr>
                              </w:pPr>
                              <w:r w:rsidRPr="003B3BEA">
                                <w:rPr>
                                  <w:rFonts w:ascii="Arial" w:eastAsia="Times New Roman" w:hAnsi="Arial" w:cs="Arial"/>
                                  <w:color w:val="000000"/>
                                  <w:sz w:val="24"/>
                                  <w:szCs w:val="24"/>
                                </w:rPr>
                                <w:t xml:space="preserve">Crude oil prices ended the week at $40.41 per barrel by late Friday afternoon, down from the prior week's price of $40.58. The price of gold (COMEX) continues to surge, climbing for the seventh consecutive week. By the close of trading last Friday, the price of gold was $1,989.90, up from the prior week's price of $1,899.60. The national average retail price for regular gasoline was $2.175 per gallon on July 27, $0.011 lower than the prior week's price and $0.540 less than a year ago. </w:t>
                              </w:r>
                            </w:p>
                          </w:tc>
                        </w:tr>
                      </w:tbl>
                      <w:p w:rsidR="003B3BEA" w:rsidRPr="003B3BEA" w:rsidRDefault="003B3BEA" w:rsidP="003B3BEA">
                        <w:pPr>
                          <w:spacing w:after="0" w:line="240" w:lineRule="auto"/>
                          <w:rPr>
                            <w:rFonts w:ascii="Times New Roman" w:eastAsia="Times New Roman" w:hAnsi="Times New Roman" w:cs="Times New Roman"/>
                            <w:sz w:val="24"/>
                            <w:szCs w:val="24"/>
                          </w:rPr>
                        </w:pPr>
                      </w:p>
                    </w:tc>
                  </w:tr>
                  <w:tr w:rsidR="003B3BEA" w:rsidRPr="003B3BEA">
                    <w:trPr>
                      <w:tblCellSpacing w:w="75" w:type="dxa"/>
                      <w:jc w:val="center"/>
                    </w:trPr>
                    <w:tc>
                      <w:tcPr>
                        <w:tcW w:w="0" w:type="auto"/>
                        <w:vAlign w:val="center"/>
                        <w:hideMark/>
                      </w:tcPr>
                      <w:p w:rsidR="003B3BEA" w:rsidRPr="003B3BEA" w:rsidRDefault="003B3BEA" w:rsidP="003B3BEA">
                        <w:pPr>
                          <w:spacing w:after="75" w:line="240" w:lineRule="auto"/>
                          <w:outlineLvl w:val="2"/>
                          <w:rPr>
                            <w:rFonts w:ascii="Arial" w:eastAsia="Times New Roman" w:hAnsi="Arial" w:cs="Arial"/>
                            <w:b/>
                            <w:bCs/>
                            <w:color w:val="000080"/>
                            <w:sz w:val="24"/>
                            <w:szCs w:val="24"/>
                          </w:rPr>
                        </w:pPr>
                        <w:r w:rsidRPr="003B3BEA">
                          <w:rPr>
                            <w:rFonts w:ascii="Arial" w:eastAsia="Times New Roman" w:hAnsi="Arial" w:cs="Arial"/>
                            <w:b/>
                            <w:bCs/>
                            <w:color w:val="000080"/>
                            <w:sz w:val="24"/>
                            <w:szCs w:val="24"/>
                          </w:rPr>
                          <w:t>Stock Market Indexes</w:t>
                        </w:r>
                      </w:p>
                      <w:tbl>
                        <w:tblPr>
                          <w:tblW w:w="5000" w:type="pct"/>
                          <w:tblCellSpacing w:w="0" w:type="dxa"/>
                          <w:tblBorders>
                            <w:top w:val="single" w:sz="6" w:space="0" w:color="000080"/>
                          </w:tblBorders>
                          <w:tblCellMar>
                            <w:top w:w="150" w:type="dxa"/>
                            <w:left w:w="45" w:type="dxa"/>
                            <w:bottom w:w="45" w:type="dxa"/>
                            <w:right w:w="45" w:type="dxa"/>
                          </w:tblCellMar>
                          <w:tblLook w:val="04A0" w:firstRow="1" w:lastRow="0" w:firstColumn="1" w:lastColumn="0" w:noHBand="0" w:noVBand="1"/>
                        </w:tblPr>
                        <w:tblGrid>
                          <w:gridCol w:w="1928"/>
                          <w:gridCol w:w="1150"/>
                          <w:gridCol w:w="1150"/>
                          <w:gridCol w:w="1150"/>
                          <w:gridCol w:w="1390"/>
                          <w:gridCol w:w="1178"/>
                        </w:tblGrid>
                        <w:tr w:rsidR="003B3BEA" w:rsidRPr="003B3BEA">
                          <w:trPr>
                            <w:tblCellSpacing w:w="0" w:type="dxa"/>
                          </w:trPr>
                          <w:tc>
                            <w:tcPr>
                              <w:tcW w:w="0" w:type="auto"/>
                              <w:hideMark/>
                            </w:tcPr>
                            <w:p w:rsidR="003B3BEA" w:rsidRPr="003B3BEA" w:rsidRDefault="003B3BEA" w:rsidP="003B3BEA">
                              <w:pPr>
                                <w:spacing w:before="150" w:after="150" w:line="240" w:lineRule="auto"/>
                                <w:rPr>
                                  <w:rFonts w:ascii="Times New Roman" w:eastAsia="Times New Roman" w:hAnsi="Times New Roman" w:cs="Times New Roman"/>
                                  <w:b/>
                                  <w:bCs/>
                                  <w:sz w:val="18"/>
                                  <w:szCs w:val="18"/>
                                </w:rPr>
                              </w:pPr>
                              <w:r w:rsidRPr="003B3BEA">
                                <w:rPr>
                                  <w:rFonts w:ascii="Times New Roman" w:eastAsia="Times New Roman" w:hAnsi="Times New Roman" w:cs="Times New Roman"/>
                                  <w:b/>
                                  <w:bCs/>
                                  <w:sz w:val="18"/>
                                  <w:szCs w:val="18"/>
                                </w:rPr>
                                <w:t>Market/Index</w:t>
                              </w:r>
                            </w:p>
                          </w:tc>
                          <w:tc>
                            <w:tcPr>
                              <w:tcW w:w="0" w:type="auto"/>
                              <w:hideMark/>
                            </w:tcPr>
                            <w:p w:rsidR="003B3BEA" w:rsidRPr="003B3BEA" w:rsidRDefault="003B3BEA" w:rsidP="003B3BEA">
                              <w:pPr>
                                <w:spacing w:before="150" w:after="150" w:line="240" w:lineRule="auto"/>
                                <w:rPr>
                                  <w:rFonts w:ascii="Times New Roman" w:eastAsia="Times New Roman" w:hAnsi="Times New Roman" w:cs="Times New Roman"/>
                                  <w:b/>
                                  <w:bCs/>
                                  <w:sz w:val="18"/>
                                  <w:szCs w:val="18"/>
                                </w:rPr>
                              </w:pPr>
                              <w:r w:rsidRPr="003B3BEA">
                                <w:rPr>
                                  <w:rFonts w:ascii="Times New Roman" w:eastAsia="Times New Roman" w:hAnsi="Times New Roman" w:cs="Times New Roman"/>
                                  <w:b/>
                                  <w:bCs/>
                                  <w:sz w:val="18"/>
                                  <w:szCs w:val="18"/>
                                </w:rPr>
                                <w:t>2019 Close</w:t>
                              </w:r>
                            </w:p>
                          </w:tc>
                          <w:tc>
                            <w:tcPr>
                              <w:tcW w:w="0" w:type="auto"/>
                              <w:hideMark/>
                            </w:tcPr>
                            <w:p w:rsidR="003B3BEA" w:rsidRPr="003B3BEA" w:rsidRDefault="003B3BEA" w:rsidP="003B3BEA">
                              <w:pPr>
                                <w:spacing w:before="150" w:after="150" w:line="240" w:lineRule="auto"/>
                                <w:rPr>
                                  <w:rFonts w:ascii="Times New Roman" w:eastAsia="Times New Roman" w:hAnsi="Times New Roman" w:cs="Times New Roman"/>
                                  <w:b/>
                                  <w:bCs/>
                                  <w:sz w:val="18"/>
                                  <w:szCs w:val="18"/>
                                </w:rPr>
                              </w:pPr>
                              <w:r w:rsidRPr="003B3BEA">
                                <w:rPr>
                                  <w:rFonts w:ascii="Times New Roman" w:eastAsia="Times New Roman" w:hAnsi="Times New Roman" w:cs="Times New Roman"/>
                                  <w:b/>
                                  <w:bCs/>
                                  <w:sz w:val="18"/>
                                  <w:szCs w:val="18"/>
                                </w:rPr>
                                <w:t>Prior Week</w:t>
                              </w:r>
                            </w:p>
                          </w:tc>
                          <w:tc>
                            <w:tcPr>
                              <w:tcW w:w="0" w:type="auto"/>
                              <w:hideMark/>
                            </w:tcPr>
                            <w:p w:rsidR="003B3BEA" w:rsidRPr="003B3BEA" w:rsidRDefault="003B3BEA" w:rsidP="003B3BEA">
                              <w:pPr>
                                <w:spacing w:before="150" w:after="150" w:line="240" w:lineRule="auto"/>
                                <w:rPr>
                                  <w:rFonts w:ascii="Times New Roman" w:eastAsia="Times New Roman" w:hAnsi="Times New Roman" w:cs="Times New Roman"/>
                                  <w:b/>
                                  <w:bCs/>
                                  <w:sz w:val="18"/>
                                  <w:szCs w:val="18"/>
                                </w:rPr>
                              </w:pPr>
                              <w:r w:rsidRPr="003B3BEA">
                                <w:rPr>
                                  <w:rFonts w:ascii="Times New Roman" w:eastAsia="Times New Roman" w:hAnsi="Times New Roman" w:cs="Times New Roman"/>
                                  <w:b/>
                                  <w:bCs/>
                                  <w:sz w:val="18"/>
                                  <w:szCs w:val="18"/>
                                </w:rPr>
                                <w:t>As of 7/31</w:t>
                              </w:r>
                            </w:p>
                          </w:tc>
                          <w:tc>
                            <w:tcPr>
                              <w:tcW w:w="0" w:type="auto"/>
                              <w:hideMark/>
                            </w:tcPr>
                            <w:p w:rsidR="003B3BEA" w:rsidRPr="003B3BEA" w:rsidRDefault="003B3BEA" w:rsidP="003B3BEA">
                              <w:pPr>
                                <w:spacing w:before="150" w:after="150" w:line="240" w:lineRule="auto"/>
                                <w:rPr>
                                  <w:rFonts w:ascii="Times New Roman" w:eastAsia="Times New Roman" w:hAnsi="Times New Roman" w:cs="Times New Roman"/>
                                  <w:b/>
                                  <w:bCs/>
                                  <w:sz w:val="18"/>
                                  <w:szCs w:val="18"/>
                                </w:rPr>
                              </w:pPr>
                              <w:r w:rsidRPr="003B3BEA">
                                <w:rPr>
                                  <w:rFonts w:ascii="Times New Roman" w:eastAsia="Times New Roman" w:hAnsi="Times New Roman" w:cs="Times New Roman"/>
                                  <w:b/>
                                  <w:bCs/>
                                  <w:sz w:val="18"/>
                                  <w:szCs w:val="18"/>
                                </w:rPr>
                                <w:t>Weekly Change</w:t>
                              </w:r>
                            </w:p>
                          </w:tc>
                          <w:tc>
                            <w:tcPr>
                              <w:tcW w:w="0" w:type="auto"/>
                              <w:hideMark/>
                            </w:tcPr>
                            <w:p w:rsidR="003B3BEA" w:rsidRPr="003B3BEA" w:rsidRDefault="003B3BEA" w:rsidP="003B3BEA">
                              <w:pPr>
                                <w:spacing w:before="150" w:after="150" w:line="240" w:lineRule="auto"/>
                                <w:rPr>
                                  <w:rFonts w:ascii="Times New Roman" w:eastAsia="Times New Roman" w:hAnsi="Times New Roman" w:cs="Times New Roman"/>
                                  <w:b/>
                                  <w:bCs/>
                                  <w:sz w:val="18"/>
                                  <w:szCs w:val="18"/>
                                </w:rPr>
                              </w:pPr>
                              <w:r w:rsidRPr="003B3BEA">
                                <w:rPr>
                                  <w:rFonts w:ascii="Times New Roman" w:eastAsia="Times New Roman" w:hAnsi="Times New Roman" w:cs="Times New Roman"/>
                                  <w:b/>
                                  <w:bCs/>
                                  <w:sz w:val="18"/>
                                  <w:szCs w:val="18"/>
                                </w:rPr>
                                <w:t>YTD Change</w:t>
                              </w:r>
                            </w:p>
                          </w:tc>
                        </w:tr>
                        <w:tr w:rsidR="003B3BEA" w:rsidRPr="003B3BEA">
                          <w:trPr>
                            <w:tblCellSpacing w:w="0" w:type="dxa"/>
                          </w:trPr>
                          <w:tc>
                            <w:tcPr>
                              <w:tcW w:w="0" w:type="auto"/>
                              <w:shd w:val="clear" w:color="auto" w:fill="EBEBD7"/>
                              <w:hideMark/>
                            </w:tcPr>
                            <w:p w:rsidR="003B3BEA" w:rsidRPr="003B3BEA" w:rsidRDefault="003B3BEA" w:rsidP="003B3BEA">
                              <w:pPr>
                                <w:spacing w:before="150" w:after="150" w:line="240" w:lineRule="auto"/>
                                <w:rPr>
                                  <w:rFonts w:ascii="Times New Roman" w:eastAsia="Times New Roman" w:hAnsi="Times New Roman" w:cs="Times New Roman"/>
                                  <w:b/>
                                  <w:bCs/>
                                  <w:sz w:val="18"/>
                                  <w:szCs w:val="18"/>
                                </w:rPr>
                              </w:pPr>
                              <w:r w:rsidRPr="003B3BEA">
                                <w:rPr>
                                  <w:rFonts w:ascii="Times New Roman" w:eastAsia="Times New Roman" w:hAnsi="Times New Roman" w:cs="Times New Roman"/>
                                  <w:b/>
                                  <w:bCs/>
                                  <w:sz w:val="18"/>
                                  <w:szCs w:val="18"/>
                                </w:rPr>
                                <w:t>DJIA</w:t>
                              </w:r>
                            </w:p>
                          </w:tc>
                          <w:tc>
                            <w:tcPr>
                              <w:tcW w:w="0" w:type="auto"/>
                              <w:shd w:val="clear" w:color="auto" w:fill="EBEBD7"/>
                              <w:hideMark/>
                            </w:tcPr>
                            <w:p w:rsidR="003B3BEA" w:rsidRPr="003B3BEA" w:rsidRDefault="003B3BEA" w:rsidP="003B3BEA">
                              <w:pPr>
                                <w:spacing w:before="150" w:after="150" w:line="240" w:lineRule="auto"/>
                                <w:rPr>
                                  <w:rFonts w:ascii="Times New Roman" w:eastAsia="Times New Roman" w:hAnsi="Times New Roman" w:cs="Times New Roman"/>
                                  <w:sz w:val="18"/>
                                  <w:szCs w:val="18"/>
                                </w:rPr>
                              </w:pPr>
                              <w:r w:rsidRPr="003B3BEA">
                                <w:rPr>
                                  <w:rFonts w:ascii="Times New Roman" w:eastAsia="Times New Roman" w:hAnsi="Times New Roman" w:cs="Times New Roman"/>
                                  <w:sz w:val="18"/>
                                  <w:szCs w:val="18"/>
                                </w:rPr>
                                <w:t>28,538.44</w:t>
                              </w:r>
                            </w:p>
                          </w:tc>
                          <w:tc>
                            <w:tcPr>
                              <w:tcW w:w="0" w:type="auto"/>
                              <w:shd w:val="clear" w:color="auto" w:fill="EBEBD7"/>
                              <w:hideMark/>
                            </w:tcPr>
                            <w:p w:rsidR="003B3BEA" w:rsidRPr="003B3BEA" w:rsidRDefault="003B3BEA" w:rsidP="003B3BEA">
                              <w:pPr>
                                <w:spacing w:before="150" w:after="150" w:line="240" w:lineRule="auto"/>
                                <w:rPr>
                                  <w:rFonts w:ascii="Times New Roman" w:eastAsia="Times New Roman" w:hAnsi="Times New Roman" w:cs="Times New Roman"/>
                                  <w:sz w:val="18"/>
                                  <w:szCs w:val="18"/>
                                </w:rPr>
                              </w:pPr>
                              <w:r w:rsidRPr="003B3BEA">
                                <w:rPr>
                                  <w:rFonts w:ascii="Times New Roman" w:eastAsia="Times New Roman" w:hAnsi="Times New Roman" w:cs="Times New Roman"/>
                                  <w:sz w:val="18"/>
                                  <w:szCs w:val="18"/>
                                </w:rPr>
                                <w:t>26,469.89</w:t>
                              </w:r>
                            </w:p>
                          </w:tc>
                          <w:tc>
                            <w:tcPr>
                              <w:tcW w:w="0" w:type="auto"/>
                              <w:shd w:val="clear" w:color="auto" w:fill="EBEBD7"/>
                              <w:hideMark/>
                            </w:tcPr>
                            <w:p w:rsidR="003B3BEA" w:rsidRPr="003B3BEA" w:rsidRDefault="003B3BEA" w:rsidP="003B3BEA">
                              <w:pPr>
                                <w:spacing w:before="150" w:after="150" w:line="240" w:lineRule="auto"/>
                                <w:rPr>
                                  <w:rFonts w:ascii="Times New Roman" w:eastAsia="Times New Roman" w:hAnsi="Times New Roman" w:cs="Times New Roman"/>
                                  <w:sz w:val="18"/>
                                  <w:szCs w:val="18"/>
                                </w:rPr>
                              </w:pPr>
                              <w:r w:rsidRPr="003B3BEA">
                                <w:rPr>
                                  <w:rFonts w:ascii="Times New Roman" w:eastAsia="Times New Roman" w:hAnsi="Times New Roman" w:cs="Times New Roman"/>
                                  <w:sz w:val="18"/>
                                  <w:szCs w:val="18"/>
                                </w:rPr>
                                <w:t>26,428.32</w:t>
                              </w:r>
                            </w:p>
                          </w:tc>
                          <w:tc>
                            <w:tcPr>
                              <w:tcW w:w="0" w:type="auto"/>
                              <w:shd w:val="clear" w:color="auto" w:fill="EBEBD7"/>
                              <w:hideMark/>
                            </w:tcPr>
                            <w:p w:rsidR="003B3BEA" w:rsidRPr="003B3BEA" w:rsidRDefault="003B3BEA" w:rsidP="003B3BEA">
                              <w:pPr>
                                <w:spacing w:before="150" w:after="150" w:line="240" w:lineRule="auto"/>
                                <w:rPr>
                                  <w:rFonts w:ascii="Times New Roman" w:eastAsia="Times New Roman" w:hAnsi="Times New Roman" w:cs="Times New Roman"/>
                                  <w:sz w:val="18"/>
                                  <w:szCs w:val="18"/>
                                </w:rPr>
                              </w:pPr>
                              <w:r w:rsidRPr="003B3BEA">
                                <w:rPr>
                                  <w:rFonts w:ascii="Times New Roman" w:eastAsia="Times New Roman" w:hAnsi="Times New Roman" w:cs="Times New Roman"/>
                                  <w:sz w:val="18"/>
                                  <w:szCs w:val="18"/>
                                </w:rPr>
                                <w:t xml:space="preserve">-0.16% </w:t>
                              </w:r>
                            </w:p>
                          </w:tc>
                          <w:tc>
                            <w:tcPr>
                              <w:tcW w:w="0" w:type="auto"/>
                              <w:shd w:val="clear" w:color="auto" w:fill="EBEBD7"/>
                              <w:hideMark/>
                            </w:tcPr>
                            <w:p w:rsidR="003B3BEA" w:rsidRPr="003B3BEA" w:rsidRDefault="003B3BEA" w:rsidP="003B3BEA">
                              <w:pPr>
                                <w:spacing w:before="150" w:after="150" w:line="240" w:lineRule="auto"/>
                                <w:rPr>
                                  <w:rFonts w:ascii="Times New Roman" w:eastAsia="Times New Roman" w:hAnsi="Times New Roman" w:cs="Times New Roman"/>
                                  <w:sz w:val="18"/>
                                  <w:szCs w:val="18"/>
                                </w:rPr>
                              </w:pPr>
                              <w:r w:rsidRPr="003B3BEA">
                                <w:rPr>
                                  <w:rFonts w:ascii="Times New Roman" w:eastAsia="Times New Roman" w:hAnsi="Times New Roman" w:cs="Times New Roman"/>
                                  <w:sz w:val="18"/>
                                  <w:szCs w:val="18"/>
                                </w:rPr>
                                <w:t xml:space="preserve">-7.39% </w:t>
                              </w:r>
                            </w:p>
                          </w:tc>
                        </w:tr>
                        <w:tr w:rsidR="003B3BEA" w:rsidRPr="003B3BEA">
                          <w:trPr>
                            <w:tblCellSpacing w:w="0" w:type="dxa"/>
                          </w:trPr>
                          <w:tc>
                            <w:tcPr>
                              <w:tcW w:w="0" w:type="auto"/>
                              <w:hideMark/>
                            </w:tcPr>
                            <w:p w:rsidR="003B3BEA" w:rsidRPr="003B3BEA" w:rsidRDefault="003B3BEA" w:rsidP="003B3BEA">
                              <w:pPr>
                                <w:spacing w:before="150" w:after="150" w:line="240" w:lineRule="auto"/>
                                <w:rPr>
                                  <w:rFonts w:ascii="Times New Roman" w:eastAsia="Times New Roman" w:hAnsi="Times New Roman" w:cs="Times New Roman"/>
                                  <w:b/>
                                  <w:bCs/>
                                  <w:sz w:val="18"/>
                                  <w:szCs w:val="18"/>
                                </w:rPr>
                              </w:pPr>
                              <w:r w:rsidRPr="003B3BEA">
                                <w:rPr>
                                  <w:rFonts w:ascii="Times New Roman" w:eastAsia="Times New Roman" w:hAnsi="Times New Roman" w:cs="Times New Roman"/>
                                  <w:b/>
                                  <w:bCs/>
                                  <w:sz w:val="18"/>
                                  <w:szCs w:val="18"/>
                                </w:rPr>
                                <w:t>Nasdaq</w:t>
                              </w:r>
                            </w:p>
                          </w:tc>
                          <w:tc>
                            <w:tcPr>
                              <w:tcW w:w="0" w:type="auto"/>
                              <w:hideMark/>
                            </w:tcPr>
                            <w:p w:rsidR="003B3BEA" w:rsidRPr="003B3BEA" w:rsidRDefault="003B3BEA" w:rsidP="003B3BEA">
                              <w:pPr>
                                <w:spacing w:before="150" w:after="150" w:line="240" w:lineRule="auto"/>
                                <w:rPr>
                                  <w:rFonts w:ascii="Times New Roman" w:eastAsia="Times New Roman" w:hAnsi="Times New Roman" w:cs="Times New Roman"/>
                                  <w:sz w:val="18"/>
                                  <w:szCs w:val="18"/>
                                </w:rPr>
                              </w:pPr>
                              <w:r w:rsidRPr="003B3BEA">
                                <w:rPr>
                                  <w:rFonts w:ascii="Times New Roman" w:eastAsia="Times New Roman" w:hAnsi="Times New Roman" w:cs="Times New Roman"/>
                                  <w:sz w:val="18"/>
                                  <w:szCs w:val="18"/>
                                </w:rPr>
                                <w:t>8,972.60</w:t>
                              </w:r>
                            </w:p>
                          </w:tc>
                          <w:tc>
                            <w:tcPr>
                              <w:tcW w:w="0" w:type="auto"/>
                              <w:hideMark/>
                            </w:tcPr>
                            <w:p w:rsidR="003B3BEA" w:rsidRPr="003B3BEA" w:rsidRDefault="003B3BEA" w:rsidP="003B3BEA">
                              <w:pPr>
                                <w:spacing w:before="150" w:after="150" w:line="240" w:lineRule="auto"/>
                                <w:rPr>
                                  <w:rFonts w:ascii="Times New Roman" w:eastAsia="Times New Roman" w:hAnsi="Times New Roman" w:cs="Times New Roman"/>
                                  <w:sz w:val="18"/>
                                  <w:szCs w:val="18"/>
                                </w:rPr>
                              </w:pPr>
                              <w:r w:rsidRPr="003B3BEA">
                                <w:rPr>
                                  <w:rFonts w:ascii="Times New Roman" w:eastAsia="Times New Roman" w:hAnsi="Times New Roman" w:cs="Times New Roman"/>
                                  <w:sz w:val="18"/>
                                  <w:szCs w:val="18"/>
                                </w:rPr>
                                <w:t>10,363.18</w:t>
                              </w:r>
                            </w:p>
                          </w:tc>
                          <w:tc>
                            <w:tcPr>
                              <w:tcW w:w="0" w:type="auto"/>
                              <w:hideMark/>
                            </w:tcPr>
                            <w:p w:rsidR="003B3BEA" w:rsidRPr="003B3BEA" w:rsidRDefault="003B3BEA" w:rsidP="003B3BEA">
                              <w:pPr>
                                <w:spacing w:before="150" w:after="150" w:line="240" w:lineRule="auto"/>
                                <w:rPr>
                                  <w:rFonts w:ascii="Times New Roman" w:eastAsia="Times New Roman" w:hAnsi="Times New Roman" w:cs="Times New Roman"/>
                                  <w:sz w:val="18"/>
                                  <w:szCs w:val="18"/>
                                </w:rPr>
                              </w:pPr>
                              <w:r w:rsidRPr="003B3BEA">
                                <w:rPr>
                                  <w:rFonts w:ascii="Times New Roman" w:eastAsia="Times New Roman" w:hAnsi="Times New Roman" w:cs="Times New Roman"/>
                                  <w:sz w:val="18"/>
                                  <w:szCs w:val="18"/>
                                </w:rPr>
                                <w:t>10,745.27</w:t>
                              </w:r>
                            </w:p>
                          </w:tc>
                          <w:tc>
                            <w:tcPr>
                              <w:tcW w:w="0" w:type="auto"/>
                              <w:hideMark/>
                            </w:tcPr>
                            <w:p w:rsidR="003B3BEA" w:rsidRPr="003B3BEA" w:rsidRDefault="003B3BEA" w:rsidP="003B3BEA">
                              <w:pPr>
                                <w:spacing w:before="150" w:after="150" w:line="240" w:lineRule="auto"/>
                                <w:rPr>
                                  <w:rFonts w:ascii="Times New Roman" w:eastAsia="Times New Roman" w:hAnsi="Times New Roman" w:cs="Times New Roman"/>
                                  <w:sz w:val="18"/>
                                  <w:szCs w:val="18"/>
                                </w:rPr>
                              </w:pPr>
                              <w:r w:rsidRPr="003B3BEA">
                                <w:rPr>
                                  <w:rFonts w:ascii="Times New Roman" w:eastAsia="Times New Roman" w:hAnsi="Times New Roman" w:cs="Times New Roman"/>
                                  <w:sz w:val="18"/>
                                  <w:szCs w:val="18"/>
                                </w:rPr>
                                <w:t xml:space="preserve">3.69% </w:t>
                              </w:r>
                            </w:p>
                          </w:tc>
                          <w:tc>
                            <w:tcPr>
                              <w:tcW w:w="0" w:type="auto"/>
                              <w:hideMark/>
                            </w:tcPr>
                            <w:p w:rsidR="003B3BEA" w:rsidRPr="003B3BEA" w:rsidRDefault="003B3BEA" w:rsidP="003B3BEA">
                              <w:pPr>
                                <w:spacing w:before="150" w:after="150" w:line="240" w:lineRule="auto"/>
                                <w:rPr>
                                  <w:rFonts w:ascii="Times New Roman" w:eastAsia="Times New Roman" w:hAnsi="Times New Roman" w:cs="Times New Roman"/>
                                  <w:sz w:val="18"/>
                                  <w:szCs w:val="18"/>
                                </w:rPr>
                              </w:pPr>
                              <w:r w:rsidRPr="003B3BEA">
                                <w:rPr>
                                  <w:rFonts w:ascii="Times New Roman" w:eastAsia="Times New Roman" w:hAnsi="Times New Roman" w:cs="Times New Roman"/>
                                  <w:sz w:val="18"/>
                                  <w:szCs w:val="18"/>
                                </w:rPr>
                                <w:t xml:space="preserve">19.76% </w:t>
                              </w:r>
                            </w:p>
                          </w:tc>
                        </w:tr>
                        <w:tr w:rsidR="003B3BEA" w:rsidRPr="003B3BEA">
                          <w:trPr>
                            <w:tblCellSpacing w:w="0" w:type="dxa"/>
                          </w:trPr>
                          <w:tc>
                            <w:tcPr>
                              <w:tcW w:w="0" w:type="auto"/>
                              <w:shd w:val="clear" w:color="auto" w:fill="EBEBD7"/>
                              <w:hideMark/>
                            </w:tcPr>
                            <w:p w:rsidR="003B3BEA" w:rsidRPr="003B3BEA" w:rsidRDefault="003B3BEA" w:rsidP="003B3BEA">
                              <w:pPr>
                                <w:spacing w:before="150" w:after="150" w:line="240" w:lineRule="auto"/>
                                <w:rPr>
                                  <w:rFonts w:ascii="Times New Roman" w:eastAsia="Times New Roman" w:hAnsi="Times New Roman" w:cs="Times New Roman"/>
                                  <w:b/>
                                  <w:bCs/>
                                  <w:sz w:val="18"/>
                                  <w:szCs w:val="18"/>
                                </w:rPr>
                              </w:pPr>
                              <w:r w:rsidRPr="003B3BEA">
                                <w:rPr>
                                  <w:rFonts w:ascii="Times New Roman" w:eastAsia="Times New Roman" w:hAnsi="Times New Roman" w:cs="Times New Roman"/>
                                  <w:b/>
                                  <w:bCs/>
                                  <w:sz w:val="18"/>
                                  <w:szCs w:val="18"/>
                                </w:rPr>
                                <w:t>S&amp;P 500</w:t>
                              </w:r>
                            </w:p>
                          </w:tc>
                          <w:tc>
                            <w:tcPr>
                              <w:tcW w:w="0" w:type="auto"/>
                              <w:shd w:val="clear" w:color="auto" w:fill="EBEBD7"/>
                              <w:hideMark/>
                            </w:tcPr>
                            <w:p w:rsidR="003B3BEA" w:rsidRPr="003B3BEA" w:rsidRDefault="003B3BEA" w:rsidP="003B3BEA">
                              <w:pPr>
                                <w:spacing w:before="150" w:after="150" w:line="240" w:lineRule="auto"/>
                                <w:rPr>
                                  <w:rFonts w:ascii="Times New Roman" w:eastAsia="Times New Roman" w:hAnsi="Times New Roman" w:cs="Times New Roman"/>
                                  <w:sz w:val="18"/>
                                  <w:szCs w:val="18"/>
                                </w:rPr>
                              </w:pPr>
                              <w:r w:rsidRPr="003B3BEA">
                                <w:rPr>
                                  <w:rFonts w:ascii="Times New Roman" w:eastAsia="Times New Roman" w:hAnsi="Times New Roman" w:cs="Times New Roman"/>
                                  <w:sz w:val="18"/>
                                  <w:szCs w:val="18"/>
                                </w:rPr>
                                <w:t>3,230.78</w:t>
                              </w:r>
                            </w:p>
                          </w:tc>
                          <w:tc>
                            <w:tcPr>
                              <w:tcW w:w="0" w:type="auto"/>
                              <w:shd w:val="clear" w:color="auto" w:fill="EBEBD7"/>
                              <w:hideMark/>
                            </w:tcPr>
                            <w:p w:rsidR="003B3BEA" w:rsidRPr="003B3BEA" w:rsidRDefault="003B3BEA" w:rsidP="003B3BEA">
                              <w:pPr>
                                <w:spacing w:before="150" w:after="150" w:line="240" w:lineRule="auto"/>
                                <w:rPr>
                                  <w:rFonts w:ascii="Times New Roman" w:eastAsia="Times New Roman" w:hAnsi="Times New Roman" w:cs="Times New Roman"/>
                                  <w:sz w:val="18"/>
                                  <w:szCs w:val="18"/>
                                </w:rPr>
                              </w:pPr>
                              <w:r w:rsidRPr="003B3BEA">
                                <w:rPr>
                                  <w:rFonts w:ascii="Times New Roman" w:eastAsia="Times New Roman" w:hAnsi="Times New Roman" w:cs="Times New Roman"/>
                                  <w:sz w:val="18"/>
                                  <w:szCs w:val="18"/>
                                </w:rPr>
                                <w:t>3,215.63</w:t>
                              </w:r>
                            </w:p>
                          </w:tc>
                          <w:tc>
                            <w:tcPr>
                              <w:tcW w:w="0" w:type="auto"/>
                              <w:shd w:val="clear" w:color="auto" w:fill="EBEBD7"/>
                              <w:hideMark/>
                            </w:tcPr>
                            <w:p w:rsidR="003B3BEA" w:rsidRPr="003B3BEA" w:rsidRDefault="003B3BEA" w:rsidP="003B3BEA">
                              <w:pPr>
                                <w:spacing w:before="150" w:after="150" w:line="240" w:lineRule="auto"/>
                                <w:rPr>
                                  <w:rFonts w:ascii="Times New Roman" w:eastAsia="Times New Roman" w:hAnsi="Times New Roman" w:cs="Times New Roman"/>
                                  <w:sz w:val="18"/>
                                  <w:szCs w:val="18"/>
                                </w:rPr>
                              </w:pPr>
                              <w:r w:rsidRPr="003B3BEA">
                                <w:rPr>
                                  <w:rFonts w:ascii="Times New Roman" w:eastAsia="Times New Roman" w:hAnsi="Times New Roman" w:cs="Times New Roman"/>
                                  <w:sz w:val="18"/>
                                  <w:szCs w:val="18"/>
                                </w:rPr>
                                <w:t>3,271.12</w:t>
                              </w:r>
                            </w:p>
                          </w:tc>
                          <w:tc>
                            <w:tcPr>
                              <w:tcW w:w="0" w:type="auto"/>
                              <w:shd w:val="clear" w:color="auto" w:fill="EBEBD7"/>
                              <w:hideMark/>
                            </w:tcPr>
                            <w:p w:rsidR="003B3BEA" w:rsidRPr="003B3BEA" w:rsidRDefault="003B3BEA" w:rsidP="003B3BEA">
                              <w:pPr>
                                <w:spacing w:before="150" w:after="150" w:line="240" w:lineRule="auto"/>
                                <w:rPr>
                                  <w:rFonts w:ascii="Times New Roman" w:eastAsia="Times New Roman" w:hAnsi="Times New Roman" w:cs="Times New Roman"/>
                                  <w:sz w:val="18"/>
                                  <w:szCs w:val="18"/>
                                </w:rPr>
                              </w:pPr>
                              <w:r w:rsidRPr="003B3BEA">
                                <w:rPr>
                                  <w:rFonts w:ascii="Times New Roman" w:eastAsia="Times New Roman" w:hAnsi="Times New Roman" w:cs="Times New Roman"/>
                                  <w:sz w:val="18"/>
                                  <w:szCs w:val="18"/>
                                </w:rPr>
                                <w:t xml:space="preserve">1.73% </w:t>
                              </w:r>
                            </w:p>
                          </w:tc>
                          <w:tc>
                            <w:tcPr>
                              <w:tcW w:w="0" w:type="auto"/>
                              <w:shd w:val="clear" w:color="auto" w:fill="EBEBD7"/>
                              <w:hideMark/>
                            </w:tcPr>
                            <w:p w:rsidR="003B3BEA" w:rsidRPr="003B3BEA" w:rsidRDefault="003B3BEA" w:rsidP="003B3BEA">
                              <w:pPr>
                                <w:spacing w:before="150" w:after="150" w:line="240" w:lineRule="auto"/>
                                <w:rPr>
                                  <w:rFonts w:ascii="Times New Roman" w:eastAsia="Times New Roman" w:hAnsi="Times New Roman" w:cs="Times New Roman"/>
                                  <w:sz w:val="18"/>
                                  <w:szCs w:val="18"/>
                                </w:rPr>
                              </w:pPr>
                              <w:r w:rsidRPr="003B3BEA">
                                <w:rPr>
                                  <w:rFonts w:ascii="Times New Roman" w:eastAsia="Times New Roman" w:hAnsi="Times New Roman" w:cs="Times New Roman"/>
                                  <w:sz w:val="18"/>
                                  <w:szCs w:val="18"/>
                                </w:rPr>
                                <w:t xml:space="preserve">1.25% </w:t>
                              </w:r>
                            </w:p>
                          </w:tc>
                        </w:tr>
                        <w:tr w:rsidR="003B3BEA" w:rsidRPr="003B3BEA">
                          <w:trPr>
                            <w:tblCellSpacing w:w="0" w:type="dxa"/>
                          </w:trPr>
                          <w:tc>
                            <w:tcPr>
                              <w:tcW w:w="0" w:type="auto"/>
                              <w:hideMark/>
                            </w:tcPr>
                            <w:p w:rsidR="003B3BEA" w:rsidRPr="003B3BEA" w:rsidRDefault="003B3BEA" w:rsidP="003B3BEA">
                              <w:pPr>
                                <w:spacing w:before="150" w:after="150" w:line="240" w:lineRule="auto"/>
                                <w:rPr>
                                  <w:rFonts w:ascii="Times New Roman" w:eastAsia="Times New Roman" w:hAnsi="Times New Roman" w:cs="Times New Roman"/>
                                  <w:b/>
                                  <w:bCs/>
                                  <w:sz w:val="18"/>
                                  <w:szCs w:val="18"/>
                                </w:rPr>
                              </w:pPr>
                              <w:r w:rsidRPr="003B3BEA">
                                <w:rPr>
                                  <w:rFonts w:ascii="Times New Roman" w:eastAsia="Times New Roman" w:hAnsi="Times New Roman" w:cs="Times New Roman"/>
                                  <w:b/>
                                  <w:bCs/>
                                  <w:sz w:val="18"/>
                                  <w:szCs w:val="18"/>
                                </w:rPr>
                                <w:t>Russell 2000</w:t>
                              </w:r>
                            </w:p>
                          </w:tc>
                          <w:tc>
                            <w:tcPr>
                              <w:tcW w:w="0" w:type="auto"/>
                              <w:hideMark/>
                            </w:tcPr>
                            <w:p w:rsidR="003B3BEA" w:rsidRPr="003B3BEA" w:rsidRDefault="003B3BEA" w:rsidP="003B3BEA">
                              <w:pPr>
                                <w:spacing w:before="150" w:after="150" w:line="240" w:lineRule="auto"/>
                                <w:rPr>
                                  <w:rFonts w:ascii="Times New Roman" w:eastAsia="Times New Roman" w:hAnsi="Times New Roman" w:cs="Times New Roman"/>
                                  <w:sz w:val="18"/>
                                  <w:szCs w:val="18"/>
                                </w:rPr>
                              </w:pPr>
                              <w:r w:rsidRPr="003B3BEA">
                                <w:rPr>
                                  <w:rFonts w:ascii="Times New Roman" w:eastAsia="Times New Roman" w:hAnsi="Times New Roman" w:cs="Times New Roman"/>
                                  <w:sz w:val="18"/>
                                  <w:szCs w:val="18"/>
                                </w:rPr>
                                <w:t>1,668.47</w:t>
                              </w:r>
                            </w:p>
                          </w:tc>
                          <w:tc>
                            <w:tcPr>
                              <w:tcW w:w="0" w:type="auto"/>
                              <w:hideMark/>
                            </w:tcPr>
                            <w:p w:rsidR="003B3BEA" w:rsidRPr="003B3BEA" w:rsidRDefault="003B3BEA" w:rsidP="003B3BEA">
                              <w:pPr>
                                <w:spacing w:before="150" w:after="150" w:line="240" w:lineRule="auto"/>
                                <w:rPr>
                                  <w:rFonts w:ascii="Times New Roman" w:eastAsia="Times New Roman" w:hAnsi="Times New Roman" w:cs="Times New Roman"/>
                                  <w:sz w:val="18"/>
                                  <w:szCs w:val="18"/>
                                </w:rPr>
                              </w:pPr>
                              <w:r w:rsidRPr="003B3BEA">
                                <w:rPr>
                                  <w:rFonts w:ascii="Times New Roman" w:eastAsia="Times New Roman" w:hAnsi="Times New Roman" w:cs="Times New Roman"/>
                                  <w:sz w:val="18"/>
                                  <w:szCs w:val="18"/>
                                </w:rPr>
                                <w:t>1,467.55</w:t>
                              </w:r>
                            </w:p>
                          </w:tc>
                          <w:tc>
                            <w:tcPr>
                              <w:tcW w:w="0" w:type="auto"/>
                              <w:hideMark/>
                            </w:tcPr>
                            <w:p w:rsidR="003B3BEA" w:rsidRPr="003B3BEA" w:rsidRDefault="003B3BEA" w:rsidP="003B3BEA">
                              <w:pPr>
                                <w:spacing w:before="150" w:after="150" w:line="240" w:lineRule="auto"/>
                                <w:rPr>
                                  <w:rFonts w:ascii="Times New Roman" w:eastAsia="Times New Roman" w:hAnsi="Times New Roman" w:cs="Times New Roman"/>
                                  <w:sz w:val="18"/>
                                  <w:szCs w:val="18"/>
                                </w:rPr>
                              </w:pPr>
                              <w:r w:rsidRPr="003B3BEA">
                                <w:rPr>
                                  <w:rFonts w:ascii="Times New Roman" w:eastAsia="Times New Roman" w:hAnsi="Times New Roman" w:cs="Times New Roman"/>
                                  <w:sz w:val="18"/>
                                  <w:szCs w:val="18"/>
                                </w:rPr>
                                <w:t>1,480.43</w:t>
                              </w:r>
                            </w:p>
                          </w:tc>
                          <w:tc>
                            <w:tcPr>
                              <w:tcW w:w="0" w:type="auto"/>
                              <w:hideMark/>
                            </w:tcPr>
                            <w:p w:rsidR="003B3BEA" w:rsidRPr="003B3BEA" w:rsidRDefault="003B3BEA" w:rsidP="003B3BEA">
                              <w:pPr>
                                <w:spacing w:before="150" w:after="150" w:line="240" w:lineRule="auto"/>
                                <w:rPr>
                                  <w:rFonts w:ascii="Times New Roman" w:eastAsia="Times New Roman" w:hAnsi="Times New Roman" w:cs="Times New Roman"/>
                                  <w:sz w:val="18"/>
                                  <w:szCs w:val="18"/>
                                </w:rPr>
                              </w:pPr>
                              <w:r w:rsidRPr="003B3BEA">
                                <w:rPr>
                                  <w:rFonts w:ascii="Times New Roman" w:eastAsia="Times New Roman" w:hAnsi="Times New Roman" w:cs="Times New Roman"/>
                                  <w:sz w:val="18"/>
                                  <w:szCs w:val="18"/>
                                </w:rPr>
                                <w:t xml:space="preserve">0.88% </w:t>
                              </w:r>
                            </w:p>
                          </w:tc>
                          <w:tc>
                            <w:tcPr>
                              <w:tcW w:w="0" w:type="auto"/>
                              <w:hideMark/>
                            </w:tcPr>
                            <w:p w:rsidR="003B3BEA" w:rsidRPr="003B3BEA" w:rsidRDefault="003B3BEA" w:rsidP="003B3BEA">
                              <w:pPr>
                                <w:spacing w:before="150" w:after="150" w:line="240" w:lineRule="auto"/>
                                <w:rPr>
                                  <w:rFonts w:ascii="Times New Roman" w:eastAsia="Times New Roman" w:hAnsi="Times New Roman" w:cs="Times New Roman"/>
                                  <w:sz w:val="18"/>
                                  <w:szCs w:val="18"/>
                                </w:rPr>
                              </w:pPr>
                              <w:r w:rsidRPr="003B3BEA">
                                <w:rPr>
                                  <w:rFonts w:ascii="Times New Roman" w:eastAsia="Times New Roman" w:hAnsi="Times New Roman" w:cs="Times New Roman"/>
                                  <w:sz w:val="18"/>
                                  <w:szCs w:val="18"/>
                                </w:rPr>
                                <w:t xml:space="preserve">-11.27% </w:t>
                              </w:r>
                            </w:p>
                          </w:tc>
                        </w:tr>
                        <w:tr w:rsidR="003B3BEA" w:rsidRPr="003B3BEA">
                          <w:trPr>
                            <w:tblCellSpacing w:w="0" w:type="dxa"/>
                          </w:trPr>
                          <w:tc>
                            <w:tcPr>
                              <w:tcW w:w="0" w:type="auto"/>
                              <w:shd w:val="clear" w:color="auto" w:fill="EBEBD7"/>
                              <w:hideMark/>
                            </w:tcPr>
                            <w:p w:rsidR="003B3BEA" w:rsidRPr="003B3BEA" w:rsidRDefault="003B3BEA" w:rsidP="003B3BEA">
                              <w:pPr>
                                <w:spacing w:before="150" w:after="150" w:line="240" w:lineRule="auto"/>
                                <w:rPr>
                                  <w:rFonts w:ascii="Times New Roman" w:eastAsia="Times New Roman" w:hAnsi="Times New Roman" w:cs="Times New Roman"/>
                                  <w:b/>
                                  <w:bCs/>
                                  <w:sz w:val="18"/>
                                  <w:szCs w:val="18"/>
                                </w:rPr>
                              </w:pPr>
                              <w:r w:rsidRPr="003B3BEA">
                                <w:rPr>
                                  <w:rFonts w:ascii="Times New Roman" w:eastAsia="Times New Roman" w:hAnsi="Times New Roman" w:cs="Times New Roman"/>
                                  <w:b/>
                                  <w:bCs/>
                                  <w:sz w:val="18"/>
                                  <w:szCs w:val="18"/>
                                </w:rPr>
                                <w:t>Global Dow</w:t>
                              </w:r>
                            </w:p>
                          </w:tc>
                          <w:tc>
                            <w:tcPr>
                              <w:tcW w:w="0" w:type="auto"/>
                              <w:shd w:val="clear" w:color="auto" w:fill="EBEBD7"/>
                              <w:hideMark/>
                            </w:tcPr>
                            <w:p w:rsidR="003B3BEA" w:rsidRPr="003B3BEA" w:rsidRDefault="003B3BEA" w:rsidP="003B3BEA">
                              <w:pPr>
                                <w:spacing w:before="150" w:after="150" w:line="240" w:lineRule="auto"/>
                                <w:rPr>
                                  <w:rFonts w:ascii="Times New Roman" w:eastAsia="Times New Roman" w:hAnsi="Times New Roman" w:cs="Times New Roman"/>
                                  <w:sz w:val="18"/>
                                  <w:szCs w:val="18"/>
                                </w:rPr>
                              </w:pPr>
                              <w:r w:rsidRPr="003B3BEA">
                                <w:rPr>
                                  <w:rFonts w:ascii="Times New Roman" w:eastAsia="Times New Roman" w:hAnsi="Times New Roman" w:cs="Times New Roman"/>
                                  <w:sz w:val="18"/>
                                  <w:szCs w:val="18"/>
                                </w:rPr>
                                <w:t>3,251.24</w:t>
                              </w:r>
                            </w:p>
                          </w:tc>
                          <w:tc>
                            <w:tcPr>
                              <w:tcW w:w="0" w:type="auto"/>
                              <w:shd w:val="clear" w:color="auto" w:fill="EBEBD7"/>
                              <w:hideMark/>
                            </w:tcPr>
                            <w:p w:rsidR="003B3BEA" w:rsidRPr="003B3BEA" w:rsidRDefault="003B3BEA" w:rsidP="003B3BEA">
                              <w:pPr>
                                <w:spacing w:before="150" w:after="150" w:line="240" w:lineRule="auto"/>
                                <w:rPr>
                                  <w:rFonts w:ascii="Times New Roman" w:eastAsia="Times New Roman" w:hAnsi="Times New Roman" w:cs="Times New Roman"/>
                                  <w:sz w:val="18"/>
                                  <w:szCs w:val="18"/>
                                </w:rPr>
                              </w:pPr>
                              <w:r w:rsidRPr="003B3BEA">
                                <w:rPr>
                                  <w:rFonts w:ascii="Times New Roman" w:eastAsia="Times New Roman" w:hAnsi="Times New Roman" w:cs="Times New Roman"/>
                                  <w:sz w:val="18"/>
                                  <w:szCs w:val="18"/>
                                </w:rPr>
                                <w:t>2,956.92</w:t>
                              </w:r>
                            </w:p>
                          </w:tc>
                          <w:tc>
                            <w:tcPr>
                              <w:tcW w:w="0" w:type="auto"/>
                              <w:shd w:val="clear" w:color="auto" w:fill="EBEBD7"/>
                              <w:hideMark/>
                            </w:tcPr>
                            <w:p w:rsidR="003B3BEA" w:rsidRPr="003B3BEA" w:rsidRDefault="003B3BEA" w:rsidP="003B3BEA">
                              <w:pPr>
                                <w:spacing w:before="150" w:after="150" w:line="240" w:lineRule="auto"/>
                                <w:rPr>
                                  <w:rFonts w:ascii="Times New Roman" w:eastAsia="Times New Roman" w:hAnsi="Times New Roman" w:cs="Times New Roman"/>
                                  <w:sz w:val="18"/>
                                  <w:szCs w:val="18"/>
                                </w:rPr>
                              </w:pPr>
                              <w:r w:rsidRPr="003B3BEA">
                                <w:rPr>
                                  <w:rFonts w:ascii="Times New Roman" w:eastAsia="Times New Roman" w:hAnsi="Times New Roman" w:cs="Times New Roman"/>
                                  <w:sz w:val="18"/>
                                  <w:szCs w:val="18"/>
                                </w:rPr>
                                <w:t>2,920.53</w:t>
                              </w:r>
                            </w:p>
                          </w:tc>
                          <w:tc>
                            <w:tcPr>
                              <w:tcW w:w="0" w:type="auto"/>
                              <w:shd w:val="clear" w:color="auto" w:fill="EBEBD7"/>
                              <w:hideMark/>
                            </w:tcPr>
                            <w:p w:rsidR="003B3BEA" w:rsidRPr="003B3BEA" w:rsidRDefault="003B3BEA" w:rsidP="003B3BEA">
                              <w:pPr>
                                <w:spacing w:before="150" w:after="150" w:line="240" w:lineRule="auto"/>
                                <w:rPr>
                                  <w:rFonts w:ascii="Times New Roman" w:eastAsia="Times New Roman" w:hAnsi="Times New Roman" w:cs="Times New Roman"/>
                                  <w:sz w:val="18"/>
                                  <w:szCs w:val="18"/>
                                </w:rPr>
                              </w:pPr>
                              <w:r w:rsidRPr="003B3BEA">
                                <w:rPr>
                                  <w:rFonts w:ascii="Times New Roman" w:eastAsia="Times New Roman" w:hAnsi="Times New Roman" w:cs="Times New Roman"/>
                                  <w:sz w:val="18"/>
                                  <w:szCs w:val="18"/>
                                </w:rPr>
                                <w:t xml:space="preserve">-1.23% </w:t>
                              </w:r>
                            </w:p>
                          </w:tc>
                          <w:tc>
                            <w:tcPr>
                              <w:tcW w:w="0" w:type="auto"/>
                              <w:shd w:val="clear" w:color="auto" w:fill="EBEBD7"/>
                              <w:hideMark/>
                            </w:tcPr>
                            <w:p w:rsidR="003B3BEA" w:rsidRPr="003B3BEA" w:rsidRDefault="003B3BEA" w:rsidP="003B3BEA">
                              <w:pPr>
                                <w:spacing w:before="150" w:after="150" w:line="240" w:lineRule="auto"/>
                                <w:rPr>
                                  <w:rFonts w:ascii="Times New Roman" w:eastAsia="Times New Roman" w:hAnsi="Times New Roman" w:cs="Times New Roman"/>
                                  <w:sz w:val="18"/>
                                  <w:szCs w:val="18"/>
                                </w:rPr>
                              </w:pPr>
                              <w:r w:rsidRPr="003B3BEA">
                                <w:rPr>
                                  <w:rFonts w:ascii="Times New Roman" w:eastAsia="Times New Roman" w:hAnsi="Times New Roman" w:cs="Times New Roman"/>
                                  <w:sz w:val="18"/>
                                  <w:szCs w:val="18"/>
                                </w:rPr>
                                <w:t xml:space="preserve">-10.17% </w:t>
                              </w:r>
                            </w:p>
                          </w:tc>
                        </w:tr>
                        <w:tr w:rsidR="003B3BEA" w:rsidRPr="003B3BEA">
                          <w:trPr>
                            <w:tblCellSpacing w:w="0" w:type="dxa"/>
                          </w:trPr>
                          <w:tc>
                            <w:tcPr>
                              <w:tcW w:w="0" w:type="auto"/>
                              <w:hideMark/>
                            </w:tcPr>
                            <w:p w:rsidR="003B3BEA" w:rsidRPr="003B3BEA" w:rsidRDefault="003B3BEA" w:rsidP="003B3BEA">
                              <w:pPr>
                                <w:spacing w:before="150" w:after="150" w:line="240" w:lineRule="auto"/>
                                <w:rPr>
                                  <w:rFonts w:ascii="Times New Roman" w:eastAsia="Times New Roman" w:hAnsi="Times New Roman" w:cs="Times New Roman"/>
                                  <w:b/>
                                  <w:bCs/>
                                  <w:sz w:val="18"/>
                                  <w:szCs w:val="18"/>
                                </w:rPr>
                              </w:pPr>
                              <w:r w:rsidRPr="003B3BEA">
                                <w:rPr>
                                  <w:rFonts w:ascii="Times New Roman" w:eastAsia="Times New Roman" w:hAnsi="Times New Roman" w:cs="Times New Roman"/>
                                  <w:b/>
                                  <w:bCs/>
                                  <w:sz w:val="18"/>
                                  <w:szCs w:val="18"/>
                                </w:rPr>
                                <w:t>Fed. Funds target rate</w:t>
                              </w:r>
                            </w:p>
                          </w:tc>
                          <w:tc>
                            <w:tcPr>
                              <w:tcW w:w="0" w:type="auto"/>
                              <w:hideMark/>
                            </w:tcPr>
                            <w:p w:rsidR="003B3BEA" w:rsidRPr="003B3BEA" w:rsidRDefault="003B3BEA" w:rsidP="003B3BEA">
                              <w:pPr>
                                <w:spacing w:before="150" w:after="150" w:line="240" w:lineRule="auto"/>
                                <w:rPr>
                                  <w:rFonts w:ascii="Times New Roman" w:eastAsia="Times New Roman" w:hAnsi="Times New Roman" w:cs="Times New Roman"/>
                                  <w:sz w:val="18"/>
                                  <w:szCs w:val="18"/>
                                </w:rPr>
                              </w:pPr>
                              <w:r w:rsidRPr="003B3BEA">
                                <w:rPr>
                                  <w:rFonts w:ascii="Times New Roman" w:eastAsia="Times New Roman" w:hAnsi="Times New Roman" w:cs="Times New Roman"/>
                                  <w:sz w:val="18"/>
                                  <w:szCs w:val="18"/>
                                </w:rPr>
                                <w:t>1.50%-1.75%</w:t>
                              </w:r>
                            </w:p>
                          </w:tc>
                          <w:tc>
                            <w:tcPr>
                              <w:tcW w:w="0" w:type="auto"/>
                              <w:hideMark/>
                            </w:tcPr>
                            <w:p w:rsidR="003B3BEA" w:rsidRPr="003B3BEA" w:rsidRDefault="003B3BEA" w:rsidP="003B3BEA">
                              <w:pPr>
                                <w:spacing w:before="150" w:after="150" w:line="240" w:lineRule="auto"/>
                                <w:rPr>
                                  <w:rFonts w:ascii="Times New Roman" w:eastAsia="Times New Roman" w:hAnsi="Times New Roman" w:cs="Times New Roman"/>
                                  <w:sz w:val="18"/>
                                  <w:szCs w:val="18"/>
                                </w:rPr>
                              </w:pPr>
                              <w:r w:rsidRPr="003B3BEA">
                                <w:rPr>
                                  <w:rFonts w:ascii="Times New Roman" w:eastAsia="Times New Roman" w:hAnsi="Times New Roman" w:cs="Times New Roman"/>
                                  <w:sz w:val="18"/>
                                  <w:szCs w:val="18"/>
                                </w:rPr>
                                <w:t>0.00%-0.25%</w:t>
                              </w:r>
                            </w:p>
                          </w:tc>
                          <w:tc>
                            <w:tcPr>
                              <w:tcW w:w="0" w:type="auto"/>
                              <w:hideMark/>
                            </w:tcPr>
                            <w:p w:rsidR="003B3BEA" w:rsidRPr="003B3BEA" w:rsidRDefault="003B3BEA" w:rsidP="003B3BEA">
                              <w:pPr>
                                <w:spacing w:before="150" w:after="150" w:line="240" w:lineRule="auto"/>
                                <w:rPr>
                                  <w:rFonts w:ascii="Times New Roman" w:eastAsia="Times New Roman" w:hAnsi="Times New Roman" w:cs="Times New Roman"/>
                                  <w:sz w:val="18"/>
                                  <w:szCs w:val="18"/>
                                </w:rPr>
                              </w:pPr>
                              <w:r w:rsidRPr="003B3BEA">
                                <w:rPr>
                                  <w:rFonts w:ascii="Times New Roman" w:eastAsia="Times New Roman" w:hAnsi="Times New Roman" w:cs="Times New Roman"/>
                                  <w:sz w:val="18"/>
                                  <w:szCs w:val="18"/>
                                </w:rPr>
                                <w:t>0.00%-0.25%</w:t>
                              </w:r>
                            </w:p>
                          </w:tc>
                          <w:tc>
                            <w:tcPr>
                              <w:tcW w:w="0" w:type="auto"/>
                              <w:hideMark/>
                            </w:tcPr>
                            <w:p w:rsidR="003B3BEA" w:rsidRPr="003B3BEA" w:rsidRDefault="003B3BEA" w:rsidP="003B3BEA">
                              <w:pPr>
                                <w:spacing w:before="150" w:after="150" w:line="240" w:lineRule="auto"/>
                                <w:rPr>
                                  <w:rFonts w:ascii="Times New Roman" w:eastAsia="Times New Roman" w:hAnsi="Times New Roman" w:cs="Times New Roman"/>
                                  <w:sz w:val="18"/>
                                  <w:szCs w:val="18"/>
                                </w:rPr>
                              </w:pPr>
                              <w:r w:rsidRPr="003B3BEA">
                                <w:rPr>
                                  <w:rFonts w:ascii="Times New Roman" w:eastAsia="Times New Roman" w:hAnsi="Times New Roman" w:cs="Times New Roman"/>
                                  <w:sz w:val="18"/>
                                  <w:szCs w:val="18"/>
                                </w:rPr>
                                <w:t>0 bps</w:t>
                              </w:r>
                            </w:p>
                          </w:tc>
                          <w:tc>
                            <w:tcPr>
                              <w:tcW w:w="0" w:type="auto"/>
                              <w:hideMark/>
                            </w:tcPr>
                            <w:p w:rsidR="003B3BEA" w:rsidRPr="003B3BEA" w:rsidRDefault="003B3BEA" w:rsidP="003B3BEA">
                              <w:pPr>
                                <w:spacing w:before="150" w:after="150" w:line="240" w:lineRule="auto"/>
                                <w:rPr>
                                  <w:rFonts w:ascii="Times New Roman" w:eastAsia="Times New Roman" w:hAnsi="Times New Roman" w:cs="Times New Roman"/>
                                  <w:sz w:val="18"/>
                                  <w:szCs w:val="18"/>
                                </w:rPr>
                              </w:pPr>
                              <w:r w:rsidRPr="003B3BEA">
                                <w:rPr>
                                  <w:rFonts w:ascii="Times New Roman" w:eastAsia="Times New Roman" w:hAnsi="Times New Roman" w:cs="Times New Roman"/>
                                  <w:sz w:val="18"/>
                                  <w:szCs w:val="18"/>
                                </w:rPr>
                                <w:t>-150 bps</w:t>
                              </w:r>
                            </w:p>
                          </w:tc>
                        </w:tr>
                        <w:tr w:rsidR="003B3BEA" w:rsidRPr="003B3BEA">
                          <w:trPr>
                            <w:tblCellSpacing w:w="0" w:type="dxa"/>
                          </w:trPr>
                          <w:tc>
                            <w:tcPr>
                              <w:tcW w:w="0" w:type="auto"/>
                              <w:shd w:val="clear" w:color="auto" w:fill="EBEBD7"/>
                              <w:hideMark/>
                            </w:tcPr>
                            <w:p w:rsidR="003B3BEA" w:rsidRPr="003B3BEA" w:rsidRDefault="003B3BEA" w:rsidP="003B3BEA">
                              <w:pPr>
                                <w:spacing w:before="150" w:after="150" w:line="240" w:lineRule="auto"/>
                                <w:rPr>
                                  <w:rFonts w:ascii="Times New Roman" w:eastAsia="Times New Roman" w:hAnsi="Times New Roman" w:cs="Times New Roman"/>
                                  <w:b/>
                                  <w:bCs/>
                                  <w:sz w:val="18"/>
                                  <w:szCs w:val="18"/>
                                </w:rPr>
                              </w:pPr>
                              <w:r w:rsidRPr="003B3BEA">
                                <w:rPr>
                                  <w:rFonts w:ascii="Times New Roman" w:eastAsia="Times New Roman" w:hAnsi="Times New Roman" w:cs="Times New Roman"/>
                                  <w:b/>
                                  <w:bCs/>
                                  <w:sz w:val="18"/>
                                  <w:szCs w:val="18"/>
                                </w:rPr>
                                <w:t>10-year Treasuries</w:t>
                              </w:r>
                            </w:p>
                          </w:tc>
                          <w:tc>
                            <w:tcPr>
                              <w:tcW w:w="0" w:type="auto"/>
                              <w:shd w:val="clear" w:color="auto" w:fill="EBEBD7"/>
                              <w:hideMark/>
                            </w:tcPr>
                            <w:p w:rsidR="003B3BEA" w:rsidRPr="003B3BEA" w:rsidRDefault="003B3BEA" w:rsidP="003B3BEA">
                              <w:pPr>
                                <w:spacing w:before="150" w:after="150" w:line="240" w:lineRule="auto"/>
                                <w:rPr>
                                  <w:rFonts w:ascii="Times New Roman" w:eastAsia="Times New Roman" w:hAnsi="Times New Roman" w:cs="Times New Roman"/>
                                  <w:sz w:val="18"/>
                                  <w:szCs w:val="18"/>
                                </w:rPr>
                              </w:pPr>
                              <w:r w:rsidRPr="003B3BEA">
                                <w:rPr>
                                  <w:rFonts w:ascii="Times New Roman" w:eastAsia="Times New Roman" w:hAnsi="Times New Roman" w:cs="Times New Roman"/>
                                  <w:sz w:val="18"/>
                                  <w:szCs w:val="18"/>
                                </w:rPr>
                                <w:t>1.91%</w:t>
                              </w:r>
                            </w:p>
                          </w:tc>
                          <w:tc>
                            <w:tcPr>
                              <w:tcW w:w="0" w:type="auto"/>
                              <w:shd w:val="clear" w:color="auto" w:fill="EBEBD7"/>
                              <w:hideMark/>
                            </w:tcPr>
                            <w:p w:rsidR="003B3BEA" w:rsidRPr="003B3BEA" w:rsidRDefault="003B3BEA" w:rsidP="003B3BEA">
                              <w:pPr>
                                <w:spacing w:before="150" w:after="150" w:line="240" w:lineRule="auto"/>
                                <w:rPr>
                                  <w:rFonts w:ascii="Times New Roman" w:eastAsia="Times New Roman" w:hAnsi="Times New Roman" w:cs="Times New Roman"/>
                                  <w:sz w:val="18"/>
                                  <w:szCs w:val="18"/>
                                </w:rPr>
                              </w:pPr>
                              <w:r w:rsidRPr="003B3BEA">
                                <w:rPr>
                                  <w:rFonts w:ascii="Times New Roman" w:eastAsia="Times New Roman" w:hAnsi="Times New Roman" w:cs="Times New Roman"/>
                                  <w:sz w:val="18"/>
                                  <w:szCs w:val="18"/>
                                </w:rPr>
                                <w:t>0.58%</w:t>
                              </w:r>
                            </w:p>
                          </w:tc>
                          <w:tc>
                            <w:tcPr>
                              <w:tcW w:w="0" w:type="auto"/>
                              <w:shd w:val="clear" w:color="auto" w:fill="EBEBD7"/>
                              <w:hideMark/>
                            </w:tcPr>
                            <w:p w:rsidR="003B3BEA" w:rsidRPr="003B3BEA" w:rsidRDefault="003B3BEA" w:rsidP="003B3BEA">
                              <w:pPr>
                                <w:spacing w:before="150" w:after="150" w:line="240" w:lineRule="auto"/>
                                <w:rPr>
                                  <w:rFonts w:ascii="Times New Roman" w:eastAsia="Times New Roman" w:hAnsi="Times New Roman" w:cs="Times New Roman"/>
                                  <w:sz w:val="18"/>
                                  <w:szCs w:val="18"/>
                                </w:rPr>
                              </w:pPr>
                              <w:r w:rsidRPr="003B3BEA">
                                <w:rPr>
                                  <w:rFonts w:ascii="Times New Roman" w:eastAsia="Times New Roman" w:hAnsi="Times New Roman" w:cs="Times New Roman"/>
                                  <w:sz w:val="18"/>
                                  <w:szCs w:val="18"/>
                                </w:rPr>
                                <w:t>0.53%</w:t>
                              </w:r>
                            </w:p>
                          </w:tc>
                          <w:tc>
                            <w:tcPr>
                              <w:tcW w:w="0" w:type="auto"/>
                              <w:shd w:val="clear" w:color="auto" w:fill="EBEBD7"/>
                              <w:hideMark/>
                            </w:tcPr>
                            <w:p w:rsidR="003B3BEA" w:rsidRPr="003B3BEA" w:rsidRDefault="003B3BEA" w:rsidP="003B3BEA">
                              <w:pPr>
                                <w:spacing w:before="150" w:after="150" w:line="240" w:lineRule="auto"/>
                                <w:rPr>
                                  <w:rFonts w:ascii="Times New Roman" w:eastAsia="Times New Roman" w:hAnsi="Times New Roman" w:cs="Times New Roman"/>
                                  <w:sz w:val="18"/>
                                  <w:szCs w:val="18"/>
                                </w:rPr>
                              </w:pPr>
                              <w:r w:rsidRPr="003B3BEA">
                                <w:rPr>
                                  <w:rFonts w:ascii="Times New Roman" w:eastAsia="Times New Roman" w:hAnsi="Times New Roman" w:cs="Times New Roman"/>
                                  <w:sz w:val="18"/>
                                  <w:szCs w:val="18"/>
                                </w:rPr>
                                <w:t>-5 bps</w:t>
                              </w:r>
                            </w:p>
                          </w:tc>
                          <w:tc>
                            <w:tcPr>
                              <w:tcW w:w="0" w:type="auto"/>
                              <w:shd w:val="clear" w:color="auto" w:fill="EBEBD7"/>
                              <w:hideMark/>
                            </w:tcPr>
                            <w:p w:rsidR="003B3BEA" w:rsidRPr="003B3BEA" w:rsidRDefault="003B3BEA" w:rsidP="003B3BEA">
                              <w:pPr>
                                <w:spacing w:before="150" w:after="150" w:line="240" w:lineRule="auto"/>
                                <w:rPr>
                                  <w:rFonts w:ascii="Times New Roman" w:eastAsia="Times New Roman" w:hAnsi="Times New Roman" w:cs="Times New Roman"/>
                                  <w:sz w:val="18"/>
                                  <w:szCs w:val="18"/>
                                </w:rPr>
                              </w:pPr>
                              <w:r w:rsidRPr="003B3BEA">
                                <w:rPr>
                                  <w:rFonts w:ascii="Times New Roman" w:eastAsia="Times New Roman" w:hAnsi="Times New Roman" w:cs="Times New Roman"/>
                                  <w:sz w:val="18"/>
                                  <w:szCs w:val="18"/>
                                </w:rPr>
                                <w:t>-138 bps</w:t>
                              </w:r>
                            </w:p>
                          </w:tc>
                        </w:tr>
                      </w:tbl>
                      <w:p w:rsidR="003B3BEA" w:rsidRPr="003B3BEA" w:rsidRDefault="003B3BEA" w:rsidP="003B3BEA">
                        <w:pPr>
                          <w:spacing w:after="105" w:line="240" w:lineRule="auto"/>
                          <w:rPr>
                            <w:rFonts w:ascii="Arial" w:eastAsia="Times New Roman" w:hAnsi="Arial" w:cs="Arial"/>
                            <w:color w:val="000000"/>
                            <w:sz w:val="24"/>
                            <w:szCs w:val="24"/>
                          </w:rPr>
                        </w:pPr>
                        <w:r w:rsidRPr="003B3BEA">
                          <w:rPr>
                            <w:rFonts w:ascii="Arial" w:eastAsia="Times New Roman" w:hAnsi="Arial" w:cs="Arial"/>
                            <w:color w:val="000000"/>
                            <w:sz w:val="24"/>
                            <w:szCs w:val="24"/>
                          </w:rPr>
                          <w:t xml:space="preserve">Chart reflects price changes, not total return. Because it does not include dividends or splits, it should not be used to benchmark performance of specific investments. </w:t>
                        </w:r>
                      </w:p>
                      <w:p w:rsidR="003B3BEA" w:rsidRPr="003B3BEA" w:rsidRDefault="003B3BEA" w:rsidP="003B3BEA">
                        <w:pPr>
                          <w:spacing w:after="75" w:line="240" w:lineRule="auto"/>
                          <w:outlineLvl w:val="2"/>
                          <w:rPr>
                            <w:rFonts w:ascii="Arial" w:eastAsia="Times New Roman" w:hAnsi="Arial" w:cs="Arial"/>
                            <w:b/>
                            <w:bCs/>
                            <w:color w:val="000080"/>
                            <w:sz w:val="24"/>
                            <w:szCs w:val="24"/>
                          </w:rPr>
                        </w:pPr>
                        <w:r w:rsidRPr="003B3BEA">
                          <w:rPr>
                            <w:rFonts w:ascii="Arial" w:eastAsia="Times New Roman" w:hAnsi="Arial" w:cs="Arial"/>
                            <w:b/>
                            <w:bCs/>
                            <w:color w:val="000080"/>
                            <w:sz w:val="24"/>
                            <w:szCs w:val="24"/>
                          </w:rPr>
                          <w:t xml:space="preserve">Last Week's Economic News </w:t>
                        </w:r>
                      </w:p>
                      <w:p w:rsidR="003B3BEA" w:rsidRPr="003B3BEA" w:rsidRDefault="003B3BEA" w:rsidP="003B3BEA">
                        <w:pPr>
                          <w:numPr>
                            <w:ilvl w:val="0"/>
                            <w:numId w:val="1"/>
                          </w:numPr>
                          <w:spacing w:before="100" w:beforeAutospacing="1" w:after="100" w:afterAutospacing="1" w:line="240" w:lineRule="auto"/>
                          <w:ind w:left="360"/>
                          <w:rPr>
                            <w:rFonts w:ascii="Arial" w:eastAsia="Times New Roman" w:hAnsi="Arial" w:cs="Arial"/>
                            <w:color w:val="000000"/>
                            <w:sz w:val="24"/>
                            <w:szCs w:val="24"/>
                          </w:rPr>
                        </w:pPr>
                        <w:r w:rsidRPr="003B3BEA">
                          <w:rPr>
                            <w:rFonts w:ascii="Arial" w:eastAsia="Times New Roman" w:hAnsi="Arial" w:cs="Arial"/>
                            <w:color w:val="000000"/>
                            <w:sz w:val="24"/>
                            <w:szCs w:val="24"/>
                          </w:rPr>
                          <w:t>Following its latest meeting, which concluded on July 29, the Federal Open Market Committee decided to maintain the federal funds target rate range at its current 0.00%-0.25%. Mirroring its statement last June, the Committee noted that although economic activity and job growth have picked up recently, it is nowhere near the levels reached at the beginning of the year. In fact, overall financial conditions have improved due to policy measures to support the economy and the flow of credit to U.S. households and businesses. In keeping with that trend, the Committee decided to hold quantitative easing in place and will increase holdings of Treasuries and mortgage-backed securities at least at the current pace. The FOMC isn't scheduled to meet again until September.</w:t>
                        </w:r>
                      </w:p>
                      <w:p w:rsidR="003B3BEA" w:rsidRPr="003B3BEA" w:rsidRDefault="003B3BEA" w:rsidP="003B3BEA">
                        <w:pPr>
                          <w:numPr>
                            <w:ilvl w:val="0"/>
                            <w:numId w:val="2"/>
                          </w:numPr>
                          <w:spacing w:before="100" w:beforeAutospacing="1" w:after="100" w:afterAutospacing="1" w:line="240" w:lineRule="auto"/>
                          <w:ind w:left="360"/>
                          <w:rPr>
                            <w:rFonts w:ascii="Arial" w:eastAsia="Times New Roman" w:hAnsi="Arial" w:cs="Arial"/>
                            <w:color w:val="000000"/>
                            <w:sz w:val="24"/>
                            <w:szCs w:val="24"/>
                          </w:rPr>
                        </w:pPr>
                        <w:r w:rsidRPr="003B3BEA">
                          <w:rPr>
                            <w:rFonts w:ascii="Arial" w:eastAsia="Times New Roman" w:hAnsi="Arial" w:cs="Arial"/>
                            <w:color w:val="000000"/>
                            <w:sz w:val="24"/>
                            <w:szCs w:val="24"/>
                          </w:rPr>
                          <w:t>We knew the pandemic took a big bite out of the economy, but the initial report on gross domestic product for the second quarter shows the enormity of the drop. The second-quarter GDP decreased at an annualized rate of 32.9% according to the first, or advance, estimate. Consumer spending dropped 34.6%, nonresidential fixed investment fell 27.0%, and residential investment plummeted 38.7%. Exports plunged 64.1% and imports sank 53.4%. Much of the drag on the economy happened in April and parts of May. What will the third-quarter GDP look like? It should reflect improvement based on available information and reports from June and July.</w:t>
                        </w:r>
                      </w:p>
                      <w:p w:rsidR="003B3BEA" w:rsidRPr="003B3BEA" w:rsidRDefault="003B3BEA" w:rsidP="003B3BEA">
                        <w:pPr>
                          <w:numPr>
                            <w:ilvl w:val="0"/>
                            <w:numId w:val="3"/>
                          </w:numPr>
                          <w:spacing w:before="100" w:beforeAutospacing="1" w:after="100" w:afterAutospacing="1" w:line="240" w:lineRule="auto"/>
                          <w:ind w:left="360"/>
                          <w:rPr>
                            <w:rFonts w:ascii="Arial" w:eastAsia="Times New Roman" w:hAnsi="Arial" w:cs="Arial"/>
                            <w:color w:val="000000"/>
                            <w:sz w:val="24"/>
                            <w:szCs w:val="24"/>
                          </w:rPr>
                        </w:pPr>
                        <w:r w:rsidRPr="003B3BEA">
                          <w:rPr>
                            <w:rFonts w:ascii="Arial" w:eastAsia="Times New Roman" w:hAnsi="Arial" w:cs="Arial"/>
                            <w:color w:val="000000"/>
                            <w:sz w:val="24"/>
                            <w:szCs w:val="24"/>
                          </w:rPr>
                          <w:t xml:space="preserve">According to the latest information from the Bureau of Economic Analysis, consumer prices increased 0.4% in June, although personal income and disposable (after-tax) income decreased 1.1% and 1.4%, respectively. Consumer spending ramped up 5.6% in June. The decrease in personal income in June was more than accounted for by a decrease in government social benefits to persons as payments made to individuals from federal economic recovery programs in response to the COVID-19 pandemic continued, but at a lower level than in May. Partially offsetting the decrease in other government social benefits were increases in compensation of employees and proprietors' income as portions of the economy continued to reopen in June. Over the past 12 months ended in June, prices for consumer goods and services are up only 0.8% and 0.9%, excluding food and energy — well below the Fed's 2.0% target rate for inflation. </w:t>
                        </w:r>
                      </w:p>
                      <w:p w:rsidR="003B3BEA" w:rsidRPr="003B3BEA" w:rsidRDefault="003B3BEA" w:rsidP="003B3BEA">
                        <w:pPr>
                          <w:numPr>
                            <w:ilvl w:val="0"/>
                            <w:numId w:val="4"/>
                          </w:numPr>
                          <w:spacing w:before="100" w:beforeAutospacing="1" w:after="100" w:afterAutospacing="1" w:line="240" w:lineRule="auto"/>
                          <w:ind w:left="360"/>
                          <w:rPr>
                            <w:rFonts w:ascii="Arial" w:eastAsia="Times New Roman" w:hAnsi="Arial" w:cs="Arial"/>
                            <w:color w:val="000000"/>
                            <w:sz w:val="24"/>
                            <w:szCs w:val="24"/>
                          </w:rPr>
                        </w:pPr>
                        <w:r w:rsidRPr="003B3BEA">
                          <w:rPr>
                            <w:rFonts w:ascii="Arial" w:eastAsia="Times New Roman" w:hAnsi="Arial" w:cs="Arial"/>
                            <w:color w:val="000000"/>
                            <w:sz w:val="24"/>
                            <w:szCs w:val="24"/>
                          </w:rPr>
                          <w:t>New orders for manufactured durable goods increased 7.3% in June following a 15.1% increase in May. Much of the increase centered around transportation, which climbed 20.0% last month. Excluding transportation, new orders for durable goods rose 3.3% in June. Shipments jumped 14.9%; unfilled orders, down three of the last four months, decreased 1.4%; while inventories inched up 0.1%. New orders for nondefense capital goods (assets used to produce consumer goods) fell 16.4% in June.</w:t>
                        </w:r>
                      </w:p>
                      <w:p w:rsidR="003B3BEA" w:rsidRPr="003B3BEA" w:rsidRDefault="003B3BEA" w:rsidP="003B3BEA">
                        <w:pPr>
                          <w:numPr>
                            <w:ilvl w:val="0"/>
                            <w:numId w:val="5"/>
                          </w:numPr>
                          <w:spacing w:before="100" w:beforeAutospacing="1" w:after="100" w:afterAutospacing="1" w:line="240" w:lineRule="auto"/>
                          <w:ind w:left="360"/>
                          <w:rPr>
                            <w:rFonts w:ascii="Arial" w:eastAsia="Times New Roman" w:hAnsi="Arial" w:cs="Arial"/>
                            <w:color w:val="000000"/>
                            <w:sz w:val="24"/>
                            <w:szCs w:val="24"/>
                          </w:rPr>
                        </w:pPr>
                        <w:r w:rsidRPr="003B3BEA">
                          <w:rPr>
                            <w:rFonts w:ascii="Arial" w:eastAsia="Times New Roman" w:hAnsi="Arial" w:cs="Arial"/>
                            <w:color w:val="000000"/>
                            <w:sz w:val="24"/>
                            <w:szCs w:val="24"/>
                          </w:rPr>
                          <w:t xml:space="preserve">The international trade in goods deficit was $70.6 billion in June, down $4.6 billion from May. Exports of goods for June were $102.6 billion, $12.5 billion more than May exports. Imports of goods for June were $173.2 billion, $7.9 billion more than May imports. A surge in both exports and imports of motor vehicles drove the overall June advance. </w:t>
                        </w:r>
                      </w:p>
                      <w:p w:rsidR="003B3BEA" w:rsidRPr="003B3BEA" w:rsidRDefault="003B3BEA" w:rsidP="003B3BEA">
                        <w:pPr>
                          <w:numPr>
                            <w:ilvl w:val="0"/>
                            <w:numId w:val="6"/>
                          </w:numPr>
                          <w:spacing w:before="100" w:beforeAutospacing="1" w:after="100" w:afterAutospacing="1" w:line="240" w:lineRule="auto"/>
                          <w:ind w:left="360"/>
                          <w:rPr>
                            <w:rFonts w:ascii="Arial" w:eastAsia="Times New Roman" w:hAnsi="Arial" w:cs="Arial"/>
                            <w:color w:val="000000"/>
                            <w:sz w:val="24"/>
                            <w:szCs w:val="24"/>
                          </w:rPr>
                        </w:pPr>
                        <w:r w:rsidRPr="003B3BEA">
                          <w:rPr>
                            <w:rFonts w:ascii="Arial" w:eastAsia="Times New Roman" w:hAnsi="Arial" w:cs="Arial"/>
                            <w:color w:val="000000"/>
                            <w:sz w:val="24"/>
                            <w:szCs w:val="24"/>
                          </w:rPr>
                          <w:t>For the week ended July 25, there were 1,434,000 claims for unemployment insurance, an increase of 12,000 from the previous week's level, which was revised up by 6,000. According to the Department of Labor, the advance rate for insured unemployment claims was 11.6% for the week ended July 18, an increase of 0.5 percentage point from the prior week's rate. The advance number of those receiving unemployment insurance benefits during the week ended July 18 was 17,018,000, an increase of 867,000 from the prior week's level, which was revised down by 46,000.</w:t>
                        </w:r>
                      </w:p>
                      <w:p w:rsidR="003B3BEA" w:rsidRPr="003B3BEA" w:rsidRDefault="003B3BEA" w:rsidP="003B3BEA">
                        <w:pPr>
                          <w:spacing w:after="75" w:line="240" w:lineRule="auto"/>
                          <w:outlineLvl w:val="2"/>
                          <w:rPr>
                            <w:rFonts w:ascii="Arial" w:eastAsia="Times New Roman" w:hAnsi="Arial" w:cs="Arial"/>
                            <w:b/>
                            <w:bCs/>
                            <w:color w:val="000080"/>
                            <w:sz w:val="24"/>
                            <w:szCs w:val="24"/>
                          </w:rPr>
                        </w:pPr>
                        <w:r w:rsidRPr="003B3BEA">
                          <w:rPr>
                            <w:rFonts w:ascii="Arial" w:eastAsia="Times New Roman" w:hAnsi="Arial" w:cs="Arial"/>
                            <w:b/>
                            <w:bCs/>
                            <w:color w:val="000080"/>
                            <w:sz w:val="24"/>
                            <w:szCs w:val="24"/>
                          </w:rPr>
                          <w:t xml:space="preserve">Eye on the Week Ahead </w:t>
                        </w:r>
                      </w:p>
                      <w:p w:rsidR="003B3BEA" w:rsidRPr="003B3BEA" w:rsidRDefault="003B3BEA" w:rsidP="003B3BEA">
                        <w:pPr>
                          <w:spacing w:after="105" w:line="240" w:lineRule="auto"/>
                          <w:rPr>
                            <w:rFonts w:ascii="Arial" w:eastAsia="Times New Roman" w:hAnsi="Arial" w:cs="Arial"/>
                            <w:color w:val="000000"/>
                            <w:sz w:val="24"/>
                            <w:szCs w:val="24"/>
                          </w:rPr>
                        </w:pPr>
                        <w:r w:rsidRPr="003B3BEA">
                          <w:rPr>
                            <w:rFonts w:ascii="Arial" w:eastAsia="Times New Roman" w:hAnsi="Arial" w:cs="Arial"/>
                            <w:color w:val="000000"/>
                            <w:sz w:val="24"/>
                            <w:szCs w:val="24"/>
                          </w:rPr>
                          <w:t xml:space="preserve">The first week of August focuses on manufacturing, international trade, and employment. Purchasing managers reported growth in the manufacturing sector in June. As more businesses opened in July, it is expected that the latest report for July will show further growth in manufacturing. The international trade in goods and services deficit was $55 billion in May. The deficit is expected to narrow slightly for June. There were 4,800,000 new jobs added in June, although average earnings fell 1.2%. July is expected to see a slight drop in the number of new jobs created compared to June. </w:t>
                        </w:r>
                      </w:p>
                      <w:p w:rsidR="003B3BEA" w:rsidRPr="003B3BEA" w:rsidRDefault="003B3BEA" w:rsidP="003B3BEA">
                        <w:pPr>
                          <w:spacing w:after="105" w:line="240" w:lineRule="auto"/>
                          <w:rPr>
                            <w:rFonts w:ascii="Arial" w:eastAsia="Times New Roman" w:hAnsi="Arial" w:cs="Arial"/>
                            <w:color w:val="000000"/>
                            <w:sz w:val="24"/>
                            <w:szCs w:val="24"/>
                          </w:rPr>
                        </w:pPr>
                        <w:r w:rsidRPr="003B3BEA">
                          <w:rPr>
                            <w:rFonts w:ascii="Arial" w:eastAsia="Times New Roman" w:hAnsi="Arial" w:cs="Arial"/>
                            <w:i/>
                            <w:iCs/>
                            <w:color w:val="000000"/>
                            <w:sz w:val="24"/>
                            <w:szCs w:val="24"/>
                          </w:rPr>
                          <w:t xml:space="preserve">Data sources: Economic: Based on data from U.S. Bureau of Labor Statistics (unemployment, inflation); U.S. Department of Commerce (GDP, corporate profits, retail sales, housing); S&amp;P/Case-Shiller 20-City Composite Index (home prices); Institute for Supply Management (manufacturing/services). Performance: Based on data reported in WSJ Market Data Center (indexes); U.S. Treasury (Treasury yields); U.S. Energy Information Administration/Bloomberg.com Market Data (oil spot price, WTI, Cushing, OK); www.goldprice.org (spot gold/silver); </w:t>
                        </w:r>
                        <w:proofErr w:type="spellStart"/>
                        <w:r w:rsidRPr="003B3BEA">
                          <w:rPr>
                            <w:rFonts w:ascii="Arial" w:eastAsia="Times New Roman" w:hAnsi="Arial" w:cs="Arial"/>
                            <w:i/>
                            <w:iCs/>
                            <w:color w:val="000000"/>
                            <w:sz w:val="24"/>
                            <w:szCs w:val="24"/>
                          </w:rPr>
                          <w:t>Oanda</w:t>
                        </w:r>
                        <w:proofErr w:type="spellEnd"/>
                        <w:r w:rsidRPr="003B3BEA">
                          <w:rPr>
                            <w:rFonts w:ascii="Arial" w:eastAsia="Times New Roman" w:hAnsi="Arial" w:cs="Arial"/>
                            <w:i/>
                            <w:iCs/>
                            <w:color w:val="000000"/>
                            <w:sz w:val="24"/>
                            <w:szCs w:val="24"/>
                          </w:rPr>
                          <w:t xml:space="preserve">/FX Street (currency exchange rates). News items are based on reports from multiple commonly available international news sources (i.e. wire services) and are independently verified when necessary with secondary sources such as government agencies, corporate press releases, or trade organizations. All information is based on sources deemed reliable, but no warranty or guarantee is made as to its accuracy or completeness. Neither the information nor any opinion expressed herein constitutes a solicitation for the purchase or sale of any </w:t>
                        </w:r>
                        <w:proofErr w:type="gramStart"/>
                        <w:r w:rsidRPr="003B3BEA">
                          <w:rPr>
                            <w:rFonts w:ascii="Arial" w:eastAsia="Times New Roman" w:hAnsi="Arial" w:cs="Arial"/>
                            <w:i/>
                            <w:iCs/>
                            <w:color w:val="000000"/>
                            <w:sz w:val="24"/>
                            <w:szCs w:val="24"/>
                          </w:rPr>
                          <w:t>securities, and</w:t>
                        </w:r>
                        <w:proofErr w:type="gramEnd"/>
                        <w:r w:rsidRPr="003B3BEA">
                          <w:rPr>
                            <w:rFonts w:ascii="Arial" w:eastAsia="Times New Roman" w:hAnsi="Arial" w:cs="Arial"/>
                            <w:i/>
                            <w:iCs/>
                            <w:color w:val="000000"/>
                            <w:sz w:val="24"/>
                            <w:szCs w:val="24"/>
                          </w:rPr>
                          <w:t xml:space="preserve"> should not be relied on as financial advice. Past performance is no guarantee of future results. All investing involves risk, including the potential loss of principal, and there can be no guarantee that any investing strategy will be successful.</w:t>
                        </w:r>
                        <w:r w:rsidRPr="003B3BEA">
                          <w:rPr>
                            <w:rFonts w:ascii="Arial" w:eastAsia="Times New Roman" w:hAnsi="Arial" w:cs="Arial"/>
                            <w:color w:val="000000"/>
                            <w:sz w:val="24"/>
                            <w:szCs w:val="24"/>
                          </w:rPr>
                          <w:t xml:space="preserve"> </w:t>
                        </w:r>
                      </w:p>
                      <w:p w:rsidR="003B3BEA" w:rsidRPr="003B3BEA" w:rsidRDefault="003B3BEA" w:rsidP="003B3BEA">
                        <w:pPr>
                          <w:spacing w:after="105" w:line="240" w:lineRule="auto"/>
                          <w:rPr>
                            <w:rFonts w:ascii="Arial" w:eastAsia="Times New Roman" w:hAnsi="Arial" w:cs="Arial"/>
                            <w:color w:val="000000"/>
                            <w:sz w:val="24"/>
                            <w:szCs w:val="24"/>
                          </w:rPr>
                        </w:pPr>
                        <w:r w:rsidRPr="003B3BEA">
                          <w:rPr>
                            <w:rFonts w:ascii="Arial" w:eastAsia="Times New Roman" w:hAnsi="Arial" w:cs="Arial"/>
                            <w:i/>
                            <w:iCs/>
                            <w:color w:val="000000"/>
                            <w:sz w:val="24"/>
                            <w:szCs w:val="24"/>
                          </w:rPr>
                          <w:t>The Dow Jones Industrial Average (DJIA) is a price-weighted index composed of 30 widely traded blue-chip U.S. common stocks. The S&amp;P 500 is a market-cap weighted index composed of the common stocks of 500 largest, publicly traded companies in leading industries of the U.S. economy. The NASDAQ Composite Index is a market-value weighted index of all common stocks listed on the NASDAQ stock exchange. The Russell 2000 is a market-cap weighted index composed of 2,000 U.S. small-cap common stocks. The Global Dow is an equally weighted index of 150 widely traded blue-chip common stocks worldwide. The U.S. Dollar Index is a geometrically weighted index of the value of the U.S. dollar relative to six foreign currencies. Market indices listed are unmanaged and are not available for direct investment.</w:t>
                        </w:r>
                        <w:r w:rsidRPr="003B3BEA">
                          <w:rPr>
                            <w:rFonts w:ascii="Arial" w:eastAsia="Times New Roman" w:hAnsi="Arial" w:cs="Arial"/>
                            <w:color w:val="000000"/>
                            <w:sz w:val="24"/>
                            <w:szCs w:val="24"/>
                          </w:rPr>
                          <w:t xml:space="preserve"> </w:t>
                        </w:r>
                      </w:p>
                    </w:tc>
                  </w:tr>
                </w:tbl>
                <w:p w:rsidR="003B3BEA" w:rsidRPr="003B3BEA" w:rsidRDefault="003B3BEA" w:rsidP="003B3BEA">
                  <w:pPr>
                    <w:spacing w:after="0" w:line="240" w:lineRule="auto"/>
                    <w:rPr>
                      <w:rFonts w:ascii="Times New Roman" w:eastAsia="Times New Roman" w:hAnsi="Times New Roman" w:cs="Times New Roman"/>
                      <w:sz w:val="24"/>
                      <w:szCs w:val="24"/>
                    </w:rPr>
                  </w:pPr>
                </w:p>
              </w:tc>
            </w:tr>
          </w:tbl>
          <w:p w:rsidR="003B3BEA" w:rsidRPr="003B3BEA" w:rsidRDefault="003B3BEA" w:rsidP="003B3BEA">
            <w:pPr>
              <w:spacing w:after="0" w:line="240" w:lineRule="auto"/>
              <w:rPr>
                <w:rFonts w:ascii="Times New Roman" w:eastAsia="Times New Roman" w:hAnsi="Times New Roman" w:cs="Times New Roman"/>
                <w:sz w:val="24"/>
                <w:szCs w:val="24"/>
              </w:rPr>
            </w:pPr>
          </w:p>
        </w:tc>
      </w:tr>
      <w:tr w:rsidR="003B3BEA" w:rsidRPr="003B3BEA">
        <w:trPr>
          <w:tblCellSpacing w:w="0" w:type="dxa"/>
        </w:trPr>
        <w:tc>
          <w:tcPr>
            <w:tcW w:w="0" w:type="auto"/>
            <w:gridSpan w:val="2"/>
            <w:shd w:val="clear" w:color="auto" w:fill="FFFFFF"/>
            <w:tcMar>
              <w:top w:w="0" w:type="dxa"/>
              <w:left w:w="450" w:type="dxa"/>
              <w:bottom w:w="0" w:type="dxa"/>
              <w:right w:w="30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5025"/>
              <w:gridCol w:w="5025"/>
            </w:tblGrid>
            <w:tr w:rsidR="003B3BEA" w:rsidRPr="003B3BEA">
              <w:trPr>
                <w:tblCellSpacing w:w="0" w:type="dxa"/>
              </w:trPr>
              <w:tc>
                <w:tcPr>
                  <w:tcW w:w="2500" w:type="pct"/>
                  <w:tcMar>
                    <w:top w:w="150" w:type="dxa"/>
                    <w:left w:w="0" w:type="dxa"/>
                    <w:bottom w:w="75" w:type="dxa"/>
                    <w:right w:w="0" w:type="dxa"/>
                  </w:tcMar>
                  <w:vAlign w:val="center"/>
                  <w:hideMark/>
                </w:tcPr>
                <w:p w:rsidR="003B3BEA" w:rsidRPr="003B3BEA" w:rsidRDefault="003B3BEA" w:rsidP="003B3BEA">
                  <w:pPr>
                    <w:spacing w:after="0" w:line="240" w:lineRule="auto"/>
                    <w:rPr>
                      <w:rFonts w:ascii="Times New Roman" w:eastAsia="Times New Roman" w:hAnsi="Times New Roman" w:cs="Times New Roman"/>
                      <w:sz w:val="24"/>
                      <w:szCs w:val="24"/>
                    </w:rPr>
                  </w:pPr>
                  <w:hyperlink r:id="rId13" w:history="1">
                    <w:r w:rsidRPr="003B3BEA">
                      <w:rPr>
                        <w:rFonts w:ascii="Times New Roman" w:eastAsia="Times New Roman" w:hAnsi="Times New Roman" w:cs="Times New Roman"/>
                        <w:b/>
                        <w:bCs/>
                        <w:color w:val="0000FF"/>
                        <w:sz w:val="18"/>
                        <w:szCs w:val="18"/>
                        <w:u w:val="single"/>
                      </w:rPr>
                      <w:t>Refer a friend</w:t>
                    </w:r>
                  </w:hyperlink>
                </w:p>
              </w:tc>
              <w:tc>
                <w:tcPr>
                  <w:tcW w:w="2500" w:type="pct"/>
                  <w:tcMar>
                    <w:top w:w="150" w:type="dxa"/>
                    <w:left w:w="0" w:type="dxa"/>
                    <w:bottom w:w="75" w:type="dxa"/>
                    <w:right w:w="0" w:type="dxa"/>
                  </w:tcMar>
                  <w:vAlign w:val="center"/>
                  <w:hideMark/>
                </w:tcPr>
                <w:p w:rsidR="003B3BEA" w:rsidRPr="003B3BEA" w:rsidRDefault="003B3BEA" w:rsidP="003B3BEA">
                  <w:pPr>
                    <w:spacing w:after="0" w:line="240" w:lineRule="auto"/>
                    <w:jc w:val="right"/>
                    <w:rPr>
                      <w:rFonts w:ascii="Times New Roman" w:eastAsia="Times New Roman" w:hAnsi="Times New Roman" w:cs="Times New Roman"/>
                      <w:sz w:val="24"/>
                      <w:szCs w:val="24"/>
                    </w:rPr>
                  </w:pPr>
                  <w:r w:rsidRPr="003B3BEA">
                    <w:rPr>
                      <w:rFonts w:ascii="Times New Roman" w:eastAsia="Times New Roman" w:hAnsi="Times New Roman" w:cs="Times New Roman"/>
                      <w:b/>
                      <w:bCs/>
                      <w:sz w:val="18"/>
                      <w:szCs w:val="18"/>
                    </w:rPr>
                    <w:t xml:space="preserve">To find out more click </w:t>
                  </w:r>
                  <w:hyperlink r:id="rId14" w:history="1">
                    <w:r w:rsidRPr="003B3BEA">
                      <w:rPr>
                        <w:rFonts w:ascii="Times New Roman" w:eastAsia="Times New Roman" w:hAnsi="Times New Roman" w:cs="Times New Roman"/>
                        <w:b/>
                        <w:bCs/>
                        <w:color w:val="0000FF"/>
                        <w:sz w:val="18"/>
                        <w:szCs w:val="18"/>
                        <w:u w:val="single"/>
                      </w:rPr>
                      <w:t>here</w:t>
                    </w:r>
                  </w:hyperlink>
                </w:p>
              </w:tc>
            </w:tr>
          </w:tbl>
          <w:p w:rsidR="003B3BEA" w:rsidRPr="003B3BEA" w:rsidRDefault="003B3BEA" w:rsidP="003B3BEA">
            <w:pPr>
              <w:spacing w:after="0" w:line="240" w:lineRule="auto"/>
              <w:rPr>
                <w:rFonts w:ascii="Times New Roman" w:eastAsia="Times New Roman" w:hAnsi="Times New Roman" w:cs="Times New Roman"/>
                <w:sz w:val="24"/>
                <w:szCs w:val="24"/>
              </w:rPr>
            </w:pPr>
          </w:p>
        </w:tc>
      </w:tr>
      <w:tr w:rsidR="003B3BEA" w:rsidRPr="003B3BEA">
        <w:trPr>
          <w:tblCellSpacing w:w="0" w:type="dxa"/>
        </w:trPr>
        <w:tc>
          <w:tcPr>
            <w:tcW w:w="0" w:type="auto"/>
            <w:gridSpan w:val="2"/>
            <w:shd w:val="clear" w:color="auto" w:fill="FFFFFF"/>
            <w:tcMar>
              <w:top w:w="0" w:type="dxa"/>
              <w:left w:w="450" w:type="dxa"/>
              <w:bottom w:w="450" w:type="dxa"/>
              <w:right w:w="300" w:type="dxa"/>
            </w:tcMar>
            <w:vAlign w:val="center"/>
            <w:hideMark/>
          </w:tcPr>
          <w:tbl>
            <w:tblPr>
              <w:tblW w:w="5000" w:type="pct"/>
              <w:tblCellSpacing w:w="0" w:type="dxa"/>
              <w:tblBorders>
                <w:top w:val="single" w:sz="6" w:space="0" w:color="999999"/>
              </w:tblBorders>
              <w:shd w:val="clear" w:color="auto" w:fill="FFFFFF"/>
              <w:tblCellMar>
                <w:top w:w="75" w:type="dxa"/>
                <w:left w:w="0" w:type="dxa"/>
                <w:right w:w="0" w:type="dxa"/>
              </w:tblCellMar>
              <w:tblLook w:val="04A0" w:firstRow="1" w:lastRow="0" w:firstColumn="1" w:lastColumn="0" w:noHBand="0" w:noVBand="1"/>
            </w:tblPr>
            <w:tblGrid>
              <w:gridCol w:w="10050"/>
            </w:tblGrid>
            <w:tr w:rsidR="003B3BEA" w:rsidRPr="003B3BEA">
              <w:trPr>
                <w:tblCellSpacing w:w="0" w:type="dxa"/>
              </w:trPr>
              <w:tc>
                <w:tcPr>
                  <w:tcW w:w="0" w:type="auto"/>
                  <w:shd w:val="clear" w:color="auto" w:fill="FFFFFF"/>
                  <w:vAlign w:val="center"/>
                  <w:hideMark/>
                </w:tcPr>
                <w:p w:rsidR="003B3BEA" w:rsidRPr="003B3BEA" w:rsidRDefault="003B3BEA" w:rsidP="003B3BEA">
                  <w:pPr>
                    <w:spacing w:before="100" w:beforeAutospacing="1" w:after="100" w:afterAutospacing="1" w:line="240" w:lineRule="auto"/>
                    <w:rPr>
                      <w:rFonts w:ascii="Times New Roman" w:eastAsia="Times New Roman" w:hAnsi="Times New Roman" w:cs="Times New Roman"/>
                      <w:b/>
                      <w:bCs/>
                      <w:sz w:val="16"/>
                      <w:szCs w:val="16"/>
                    </w:rPr>
                  </w:pPr>
                  <w:r w:rsidRPr="003B3BEA">
                    <w:rPr>
                      <w:rFonts w:ascii="Times New Roman" w:eastAsia="Times New Roman" w:hAnsi="Times New Roman" w:cs="Times New Roman"/>
                      <w:b/>
                      <w:bCs/>
                      <w:sz w:val="16"/>
                      <w:szCs w:val="16"/>
                    </w:rPr>
                    <w:t>Prepared by Broadridge Advisor Solutions Copyright 2020.</w:t>
                  </w:r>
                </w:p>
                <w:p w:rsidR="003B3BEA" w:rsidRPr="003B3BEA" w:rsidRDefault="003B3BEA" w:rsidP="003B3BEA">
                  <w:pPr>
                    <w:spacing w:after="0" w:line="240" w:lineRule="auto"/>
                    <w:rPr>
                      <w:rFonts w:ascii="Times New Roman" w:eastAsia="Times New Roman" w:hAnsi="Times New Roman" w:cs="Times New Roman"/>
                      <w:sz w:val="24"/>
                      <w:szCs w:val="24"/>
                    </w:rPr>
                  </w:pPr>
                  <w:r w:rsidRPr="003B3BEA">
                    <w:rPr>
                      <w:rFonts w:ascii="Times New Roman" w:eastAsia="Times New Roman" w:hAnsi="Times New Roman" w:cs="Times New Roman"/>
                      <w:sz w:val="24"/>
                      <w:szCs w:val="24"/>
                    </w:rPr>
                    <w:t xml:space="preserve">The information contained within this commercial email has been obtained from sources considered reliable, but we do not guarantee the foregoing material is accurate or complete. Please </w:t>
                  </w:r>
                  <w:hyperlink r:id="rId15" w:history="1">
                    <w:r w:rsidRPr="003B3BEA">
                      <w:rPr>
                        <w:rFonts w:ascii="Times New Roman" w:eastAsia="Times New Roman" w:hAnsi="Times New Roman" w:cs="Times New Roman"/>
                        <w:color w:val="0000FF"/>
                        <w:sz w:val="24"/>
                        <w:szCs w:val="24"/>
                        <w:u w:val="single"/>
                      </w:rPr>
                      <w:t>click here</w:t>
                    </w:r>
                  </w:hyperlink>
                  <w:r w:rsidRPr="003B3BEA">
                    <w:rPr>
                      <w:rFonts w:ascii="Times New Roman" w:eastAsia="Times New Roman" w:hAnsi="Times New Roman" w:cs="Times New Roman"/>
                      <w:sz w:val="24"/>
                      <w:szCs w:val="24"/>
                    </w:rPr>
                    <w:t xml:space="preserve"> to unsubscribe from Broadridge Advisor Solutions emails.</w:t>
                  </w:r>
                </w:p>
              </w:tc>
            </w:tr>
          </w:tbl>
          <w:p w:rsidR="003B3BEA" w:rsidRPr="003B3BEA" w:rsidRDefault="003B3BEA" w:rsidP="003B3BEA">
            <w:pPr>
              <w:spacing w:after="0" w:line="240" w:lineRule="auto"/>
              <w:rPr>
                <w:rFonts w:ascii="Times New Roman" w:eastAsia="Times New Roman" w:hAnsi="Times New Roman" w:cs="Times New Roman"/>
                <w:sz w:val="24"/>
                <w:szCs w:val="24"/>
              </w:rPr>
            </w:pPr>
          </w:p>
        </w:tc>
      </w:tr>
    </w:tbl>
    <w:p w:rsidR="002105B0" w:rsidRDefault="002105B0"/>
    <w:sectPr w:rsidR="002105B0" w:rsidSect="003B3BE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502B5"/>
    <w:multiLevelType w:val="multilevel"/>
    <w:tmpl w:val="00B8D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1C84823"/>
    <w:multiLevelType w:val="multilevel"/>
    <w:tmpl w:val="5EB82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B9F559B"/>
    <w:multiLevelType w:val="multilevel"/>
    <w:tmpl w:val="C8DEA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BE2146D"/>
    <w:multiLevelType w:val="multilevel"/>
    <w:tmpl w:val="A724A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8FD4E4A"/>
    <w:multiLevelType w:val="multilevel"/>
    <w:tmpl w:val="5B5AE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3A66BE9"/>
    <w:multiLevelType w:val="multilevel"/>
    <w:tmpl w:val="561AA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2"/>
  </w:num>
  <w:num w:numId="3">
    <w:abstractNumId w:val="5"/>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BEA"/>
    <w:rsid w:val="002105B0"/>
    <w:rsid w:val="003B3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B369B"/>
  <w15:chartTrackingRefBased/>
  <w15:docId w15:val="{CDBF0BDD-82A9-4442-AB60-C60D3F9F2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3B3BE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B3BE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B3BE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B3BE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B3BE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B3B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267184">
      <w:bodyDiv w:val="1"/>
      <w:marLeft w:val="0"/>
      <w:marRight w:val="0"/>
      <w:marTop w:val="0"/>
      <w:marBottom w:val="0"/>
      <w:divBdr>
        <w:top w:val="none" w:sz="0" w:space="0" w:color="auto"/>
        <w:left w:val="none" w:sz="0" w:space="0" w:color="auto"/>
        <w:bottom w:val="none" w:sz="0" w:space="0" w:color="auto"/>
        <w:right w:val="none" w:sz="0" w:space="0" w:color="auto"/>
      </w:divBdr>
      <w:divsChild>
        <w:div w:id="605163713">
          <w:marLeft w:val="0"/>
          <w:marRight w:val="0"/>
          <w:marTop w:val="0"/>
          <w:marBottom w:val="150"/>
          <w:divBdr>
            <w:top w:val="none" w:sz="0" w:space="0" w:color="auto"/>
            <w:left w:val="none" w:sz="0" w:space="0" w:color="auto"/>
            <w:bottom w:val="none" w:sz="0" w:space="0" w:color="auto"/>
            <w:right w:val="none" w:sz="0" w:space="0" w:color="auto"/>
          </w:divBdr>
        </w:div>
        <w:div w:id="1154109137">
          <w:marLeft w:val="0"/>
          <w:marRight w:val="0"/>
          <w:marTop w:val="0"/>
          <w:marBottom w:val="150"/>
          <w:divBdr>
            <w:top w:val="none" w:sz="0" w:space="0" w:color="auto"/>
            <w:left w:val="none" w:sz="0" w:space="0" w:color="auto"/>
            <w:bottom w:val="none" w:sz="0" w:space="0" w:color="auto"/>
            <w:right w:val="none" w:sz="0" w:space="0" w:color="auto"/>
          </w:divBdr>
        </w:div>
      </w:divsChild>
    </w:div>
    <w:div w:id="187644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jpg@01D66419.B76FB640" TargetMode="External"/><Relationship Id="rId13" Type="http://schemas.openxmlformats.org/officeDocument/2006/relationships/hyperlink" Target="mailto:waynem@maierandassociates.com?subject=Sign%20up%20my%20friends%20and%20colleagues&amp;body=Hi%20Wayne.%20Here%20are%20the%20names%20and%20email%20addresses%20of%20some%20people%20who%20I%20think%20would%20like%20to%20receive%20information%20from%20you:"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cid:image001.gif@01D66419.B76FB640" TargetMode="External"/><Relationship Id="rId11" Type="http://schemas.openxmlformats.org/officeDocument/2006/relationships/hyperlink" Target="mailto:waynem@maierandassociates.com" TargetMode="External"/><Relationship Id="rId5" Type="http://schemas.openxmlformats.org/officeDocument/2006/relationships/image" Target="media/image1.gif"/><Relationship Id="rId15" Type="http://schemas.openxmlformats.org/officeDocument/2006/relationships/hyperlink" Target="https://www.broadridgeadvisor.com/kt/NoEmail.aspx?req=%2BSq7yvJYFeH7jKUP%2Bt3Whp9pQuXWzTyM" TargetMode="External"/><Relationship Id="rId10" Type="http://schemas.openxmlformats.org/officeDocument/2006/relationships/image" Target="cid:image003.jpg@01D66419.B76FB640"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mailto:waynem@maierandassociates.com?subject=Tell%20me%20more%20about%20Market%20Week:%20August%203,%202020&amp;body=Hi%20Wayne.%20Please%20tell%20me%20more%20about%20Market%20Week:%20August%203,%202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1751</Words>
  <Characters>9987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Doane</dc:creator>
  <cp:keywords/>
  <dc:description/>
  <cp:lastModifiedBy>Gail Doane</cp:lastModifiedBy>
  <cp:revision>1</cp:revision>
  <dcterms:created xsi:type="dcterms:W3CDTF">2020-08-03T13:33:00Z</dcterms:created>
  <dcterms:modified xsi:type="dcterms:W3CDTF">2020-08-03T13:38:00Z</dcterms:modified>
</cp:coreProperties>
</file>