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2A42A" w14:textId="77777777" w:rsidR="0065357D" w:rsidRDefault="00F17B1D" w:rsidP="0065357D">
      <w:pPr>
        <w:ind w:right="-36"/>
        <w:jc w:val="center"/>
        <w:outlineLvl w:val="0"/>
        <w:rPr>
          <w:b/>
          <w:bCs/>
          <w:color w:val="639D3F"/>
          <w:sz w:val="32"/>
          <w:szCs w:val="32"/>
        </w:rPr>
      </w:pPr>
      <w:r w:rsidRPr="00BA3FF2">
        <w:rPr>
          <w:b/>
          <w:bCs/>
          <w:color w:val="387C04"/>
          <w:sz w:val="32"/>
          <w:szCs w:val="32"/>
        </w:rPr>
        <w:softHyphen/>
      </w:r>
      <w:r w:rsidR="0065357D">
        <w:rPr>
          <w:b/>
          <w:bCs/>
          <w:color w:val="639D3F"/>
          <w:sz w:val="32"/>
          <w:szCs w:val="32"/>
        </w:rPr>
        <w:t>Weekly Market Commentary</w:t>
      </w:r>
    </w:p>
    <w:p w14:paraId="49D0CAC8" w14:textId="77777777" w:rsidR="0065357D" w:rsidRDefault="0065357D" w:rsidP="0065357D">
      <w:pPr>
        <w:ind w:right="-36"/>
        <w:jc w:val="center"/>
        <w:outlineLvl w:val="0"/>
        <w:rPr>
          <w:b/>
          <w:bCs/>
          <w:color w:val="639D3F"/>
          <w:sz w:val="32"/>
          <w:szCs w:val="32"/>
        </w:rPr>
      </w:pPr>
      <w:r>
        <w:rPr>
          <w:b/>
          <w:bCs/>
          <w:color w:val="639D3F"/>
          <w:sz w:val="32"/>
          <w:szCs w:val="32"/>
        </w:rPr>
        <w:t>April 16, 2018</w:t>
      </w:r>
    </w:p>
    <w:p w14:paraId="6A00274E" w14:textId="77777777" w:rsidR="0065357D" w:rsidRDefault="0065357D" w:rsidP="0065357D">
      <w:pPr>
        <w:ind w:right="-36"/>
        <w:rPr>
          <w:bCs/>
          <w:color w:val="639D3F"/>
          <w:sz w:val="24"/>
          <w:szCs w:val="32"/>
        </w:rPr>
      </w:pPr>
    </w:p>
    <w:p w14:paraId="22F0D492" w14:textId="77777777" w:rsidR="0065357D" w:rsidRDefault="0065357D" w:rsidP="0065357D">
      <w:pPr>
        <w:autoSpaceDE/>
        <w:ind w:right="-36"/>
        <w:outlineLvl w:val="0"/>
        <w:rPr>
          <w:b/>
          <w:bCs/>
          <w:color w:val="639D3F"/>
          <w:sz w:val="28"/>
          <w:szCs w:val="28"/>
        </w:rPr>
      </w:pPr>
      <w:r>
        <w:rPr>
          <w:b/>
          <w:bCs/>
          <w:color w:val="639D3F"/>
          <w:sz w:val="28"/>
          <w:szCs w:val="28"/>
        </w:rPr>
        <w:t>The Markets</w:t>
      </w:r>
    </w:p>
    <w:p w14:paraId="0C17BAD6" w14:textId="77777777" w:rsidR="0065357D" w:rsidRDefault="0065357D" w:rsidP="0065357D">
      <w:pPr>
        <w:ind w:right="-36"/>
        <w:rPr>
          <w:sz w:val="24"/>
          <w:szCs w:val="24"/>
        </w:rPr>
      </w:pPr>
    </w:p>
    <w:p w14:paraId="05675666" w14:textId="77777777" w:rsidR="0065357D" w:rsidRDefault="0065357D" w:rsidP="0065357D">
      <w:pPr>
        <w:ind w:right="-36"/>
        <w:outlineLvl w:val="0"/>
        <w:rPr>
          <w:sz w:val="24"/>
          <w:szCs w:val="24"/>
        </w:rPr>
      </w:pPr>
      <w:r>
        <w:rPr>
          <w:sz w:val="24"/>
          <w:szCs w:val="24"/>
        </w:rPr>
        <w:t>What do you think?</w:t>
      </w:r>
    </w:p>
    <w:p w14:paraId="686A3270" w14:textId="77777777" w:rsidR="0065357D" w:rsidRDefault="0065357D" w:rsidP="0065357D">
      <w:pPr>
        <w:ind w:right="-36"/>
        <w:rPr>
          <w:sz w:val="24"/>
          <w:szCs w:val="24"/>
        </w:rPr>
      </w:pPr>
    </w:p>
    <w:p w14:paraId="4D1DD30B" w14:textId="77777777" w:rsidR="0065357D" w:rsidRDefault="0065357D" w:rsidP="0065357D">
      <w:pPr>
        <w:pStyle w:val="ListParagraph"/>
        <w:numPr>
          <w:ilvl w:val="0"/>
          <w:numId w:val="21"/>
        </w:numPr>
        <w:ind w:right="-36"/>
        <w:rPr>
          <w:sz w:val="24"/>
          <w:szCs w:val="24"/>
        </w:rPr>
      </w:pPr>
      <w:r>
        <w:rPr>
          <w:sz w:val="24"/>
          <w:szCs w:val="24"/>
        </w:rPr>
        <w:t xml:space="preserve">Are you bullish, bearish, or neutral about the U.S. stock market? </w:t>
      </w:r>
    </w:p>
    <w:p w14:paraId="0C363D78" w14:textId="77777777" w:rsidR="0065357D" w:rsidRDefault="0065357D" w:rsidP="0065357D">
      <w:pPr>
        <w:pStyle w:val="ListParagraph"/>
        <w:numPr>
          <w:ilvl w:val="0"/>
          <w:numId w:val="21"/>
        </w:numPr>
        <w:ind w:right="-36"/>
        <w:rPr>
          <w:sz w:val="24"/>
          <w:szCs w:val="24"/>
        </w:rPr>
      </w:pPr>
      <w:r>
        <w:rPr>
          <w:sz w:val="24"/>
          <w:szCs w:val="24"/>
        </w:rPr>
        <w:t>Are U.S. stocks undervalued, overvalued, or fairly valued?</w:t>
      </w:r>
    </w:p>
    <w:p w14:paraId="17E0CA5C" w14:textId="77777777" w:rsidR="0065357D" w:rsidRDefault="0065357D" w:rsidP="0065357D">
      <w:pPr>
        <w:pStyle w:val="ListParagraph"/>
        <w:numPr>
          <w:ilvl w:val="0"/>
          <w:numId w:val="21"/>
        </w:numPr>
        <w:ind w:right="-36"/>
        <w:rPr>
          <w:sz w:val="24"/>
          <w:szCs w:val="24"/>
        </w:rPr>
      </w:pPr>
      <w:r>
        <w:rPr>
          <w:sz w:val="24"/>
          <w:szCs w:val="24"/>
        </w:rPr>
        <w:t>What is the biggest threat the U.S. stock market faces this year?</w:t>
      </w:r>
    </w:p>
    <w:p w14:paraId="25BFF3E1" w14:textId="77777777" w:rsidR="0065357D" w:rsidRDefault="0065357D" w:rsidP="0065357D">
      <w:pPr>
        <w:ind w:right="-36"/>
        <w:rPr>
          <w:sz w:val="24"/>
          <w:szCs w:val="24"/>
        </w:rPr>
      </w:pPr>
    </w:p>
    <w:p w14:paraId="4FFBCB04" w14:textId="77777777" w:rsidR="0065357D" w:rsidRDefault="0065357D" w:rsidP="0065357D">
      <w:pPr>
        <w:ind w:right="-36"/>
        <w:rPr>
          <w:sz w:val="24"/>
          <w:szCs w:val="24"/>
        </w:rPr>
      </w:pPr>
      <w:r>
        <w:rPr>
          <w:sz w:val="24"/>
          <w:szCs w:val="24"/>
        </w:rPr>
        <w:t>During the first four months of 2018, U.S. stocks have experienced not one, but two, 10 percent declines. These short-term reversals are known as corrections. They occur relatively often, helping to wring out investor exuberance and, sometimes, to create buying opportunities as share prices drop.</w:t>
      </w:r>
    </w:p>
    <w:p w14:paraId="09A82ED9" w14:textId="77777777" w:rsidR="0065357D" w:rsidRDefault="0065357D" w:rsidP="0065357D">
      <w:pPr>
        <w:ind w:right="-36"/>
        <w:rPr>
          <w:sz w:val="24"/>
          <w:szCs w:val="24"/>
        </w:rPr>
      </w:pPr>
    </w:p>
    <w:p w14:paraId="1419FEDF" w14:textId="77777777" w:rsidR="0065357D" w:rsidRDefault="0065357D" w:rsidP="0065357D">
      <w:pPr>
        <w:ind w:right="-36"/>
        <w:rPr>
          <w:sz w:val="24"/>
          <w:szCs w:val="24"/>
        </w:rPr>
      </w:pPr>
      <w:r>
        <w:rPr>
          <w:sz w:val="24"/>
          <w:szCs w:val="24"/>
        </w:rPr>
        <w:t xml:space="preserve">The current twinset of corrections appears to have created a fair amount of uncertainty, according to </w:t>
      </w:r>
      <w:r>
        <w:rPr>
          <w:i/>
          <w:sz w:val="24"/>
          <w:szCs w:val="24"/>
        </w:rPr>
        <w:t>Barron’s</w:t>
      </w:r>
      <w:r>
        <w:rPr>
          <w:sz w:val="24"/>
          <w:szCs w:val="24"/>
        </w:rPr>
        <w:t xml:space="preserve"> bi-annual </w:t>
      </w:r>
      <w:r>
        <w:rPr>
          <w:i/>
          <w:sz w:val="24"/>
          <w:szCs w:val="24"/>
        </w:rPr>
        <w:t xml:space="preserve">Big Money Poll </w:t>
      </w:r>
      <w:r>
        <w:rPr>
          <w:sz w:val="24"/>
          <w:szCs w:val="24"/>
        </w:rPr>
        <w:t>of professional investors. The ranks of the bullish have diminished, and the bearish remain relatively unchanged, but the number of those who are ‘neutral’ has swelled:</w:t>
      </w:r>
    </w:p>
    <w:p w14:paraId="445361CA" w14:textId="77777777" w:rsidR="0065357D" w:rsidRDefault="0065357D" w:rsidP="0065357D">
      <w:pPr>
        <w:ind w:right="-36"/>
        <w:rPr>
          <w:sz w:val="24"/>
          <w:szCs w:val="24"/>
        </w:rPr>
      </w:pPr>
    </w:p>
    <w:p w14:paraId="4DDB65BD" w14:textId="77777777" w:rsidR="0065357D" w:rsidRDefault="0065357D" w:rsidP="0065357D">
      <w:pPr>
        <w:tabs>
          <w:tab w:val="left" w:pos="2160"/>
          <w:tab w:val="left" w:pos="3780"/>
        </w:tabs>
        <w:ind w:right="-36"/>
        <w:rPr>
          <w:b/>
          <w:sz w:val="24"/>
          <w:szCs w:val="24"/>
        </w:rPr>
      </w:pPr>
      <w:r>
        <w:rPr>
          <w:b/>
          <w:sz w:val="24"/>
          <w:szCs w:val="24"/>
        </w:rPr>
        <w:tab/>
      </w:r>
      <w:r>
        <w:rPr>
          <w:b/>
          <w:sz w:val="24"/>
          <w:szCs w:val="24"/>
          <w:u w:val="single"/>
        </w:rPr>
        <w:t>Fall 2017</w:t>
      </w:r>
      <w:r>
        <w:rPr>
          <w:b/>
          <w:sz w:val="24"/>
          <w:szCs w:val="24"/>
        </w:rPr>
        <w:tab/>
      </w:r>
      <w:r>
        <w:rPr>
          <w:b/>
          <w:sz w:val="24"/>
          <w:szCs w:val="24"/>
          <w:u w:val="single"/>
        </w:rPr>
        <w:t>Spring 2018</w:t>
      </w:r>
    </w:p>
    <w:p w14:paraId="74DAD7F4" w14:textId="77777777" w:rsidR="0065357D" w:rsidRDefault="0065357D" w:rsidP="0065357D">
      <w:pPr>
        <w:tabs>
          <w:tab w:val="left" w:pos="2160"/>
          <w:tab w:val="left" w:pos="3870"/>
        </w:tabs>
        <w:ind w:left="720" w:right="-36"/>
        <w:rPr>
          <w:sz w:val="24"/>
          <w:szCs w:val="24"/>
        </w:rPr>
      </w:pPr>
      <w:r>
        <w:rPr>
          <w:b/>
          <w:sz w:val="24"/>
          <w:szCs w:val="24"/>
        </w:rPr>
        <w:t>Bullish</w:t>
      </w:r>
      <w:r>
        <w:rPr>
          <w:sz w:val="24"/>
          <w:szCs w:val="24"/>
        </w:rPr>
        <w:tab/>
        <w:t>61 percent</w:t>
      </w:r>
      <w:r>
        <w:rPr>
          <w:sz w:val="24"/>
          <w:szCs w:val="24"/>
        </w:rPr>
        <w:tab/>
        <w:t>55 percent</w:t>
      </w:r>
    </w:p>
    <w:p w14:paraId="0A9B92BF" w14:textId="77777777" w:rsidR="0065357D" w:rsidRDefault="0065357D" w:rsidP="0065357D">
      <w:pPr>
        <w:tabs>
          <w:tab w:val="left" w:pos="2160"/>
          <w:tab w:val="left" w:pos="3870"/>
        </w:tabs>
        <w:ind w:left="720" w:right="-36"/>
        <w:rPr>
          <w:sz w:val="24"/>
          <w:szCs w:val="24"/>
        </w:rPr>
      </w:pPr>
      <w:r>
        <w:rPr>
          <w:b/>
          <w:sz w:val="24"/>
          <w:szCs w:val="24"/>
        </w:rPr>
        <w:t>Bearish</w:t>
      </w:r>
      <w:r>
        <w:rPr>
          <w:sz w:val="24"/>
          <w:szCs w:val="24"/>
        </w:rPr>
        <w:tab/>
        <w:t>12 percent</w:t>
      </w:r>
      <w:r>
        <w:rPr>
          <w:sz w:val="24"/>
          <w:szCs w:val="24"/>
        </w:rPr>
        <w:tab/>
        <w:t>11 percent</w:t>
      </w:r>
    </w:p>
    <w:p w14:paraId="0D595A78" w14:textId="77777777" w:rsidR="0065357D" w:rsidRDefault="0065357D" w:rsidP="0065357D">
      <w:pPr>
        <w:tabs>
          <w:tab w:val="left" w:pos="2160"/>
          <w:tab w:val="left" w:pos="3870"/>
        </w:tabs>
        <w:ind w:left="720" w:right="-36"/>
        <w:rPr>
          <w:sz w:val="24"/>
          <w:szCs w:val="24"/>
        </w:rPr>
      </w:pPr>
      <w:r>
        <w:rPr>
          <w:b/>
          <w:sz w:val="24"/>
          <w:szCs w:val="24"/>
        </w:rPr>
        <w:t>Neutral</w:t>
      </w:r>
      <w:r>
        <w:rPr>
          <w:sz w:val="24"/>
          <w:szCs w:val="24"/>
        </w:rPr>
        <w:tab/>
        <w:t>27 percent</w:t>
      </w:r>
      <w:r>
        <w:rPr>
          <w:sz w:val="24"/>
          <w:szCs w:val="24"/>
        </w:rPr>
        <w:tab/>
        <w:t>34 percent</w:t>
      </w:r>
    </w:p>
    <w:p w14:paraId="37F06019" w14:textId="77777777" w:rsidR="0065357D" w:rsidRDefault="0065357D" w:rsidP="0065357D">
      <w:pPr>
        <w:ind w:right="-36"/>
        <w:rPr>
          <w:sz w:val="24"/>
          <w:szCs w:val="24"/>
        </w:rPr>
      </w:pPr>
    </w:p>
    <w:p w14:paraId="1BA362E5" w14:textId="77777777" w:rsidR="0065357D" w:rsidRDefault="0065357D" w:rsidP="0065357D">
      <w:pPr>
        <w:ind w:right="-36"/>
        <w:rPr>
          <w:sz w:val="24"/>
          <w:szCs w:val="24"/>
        </w:rPr>
      </w:pPr>
      <w:r>
        <w:rPr>
          <w:sz w:val="24"/>
          <w:szCs w:val="24"/>
        </w:rPr>
        <w:t>Professional investors say their clients are also unsure about stock markets. They indicated 60 percent of clients were neutral about stocks, while 23 percent were bullish and 17 percent were bearish.</w:t>
      </w:r>
    </w:p>
    <w:p w14:paraId="6615AD6D" w14:textId="77777777" w:rsidR="0065357D" w:rsidRDefault="0065357D" w:rsidP="0065357D">
      <w:pPr>
        <w:ind w:right="-36"/>
        <w:rPr>
          <w:sz w:val="24"/>
          <w:szCs w:val="24"/>
        </w:rPr>
      </w:pPr>
    </w:p>
    <w:p w14:paraId="68AB1E50" w14:textId="77777777" w:rsidR="0065357D" w:rsidRDefault="0065357D" w:rsidP="0065357D">
      <w:pPr>
        <w:ind w:right="-36"/>
        <w:rPr>
          <w:sz w:val="24"/>
          <w:szCs w:val="24"/>
        </w:rPr>
      </w:pPr>
      <w:r>
        <w:rPr>
          <w:sz w:val="24"/>
          <w:szCs w:val="24"/>
        </w:rPr>
        <w:t>When asked about market valuations, a majority thought U.S. stocks were fairly valued (57 percent) after the corrections. Thirty-five percent believe stocks remain overvalued, and 8 percent believe stocks have become undervalued.</w:t>
      </w:r>
    </w:p>
    <w:p w14:paraId="07B6DC9A" w14:textId="77777777" w:rsidR="0065357D" w:rsidRDefault="0065357D" w:rsidP="0065357D">
      <w:pPr>
        <w:ind w:right="-36"/>
        <w:rPr>
          <w:sz w:val="24"/>
          <w:szCs w:val="24"/>
        </w:rPr>
      </w:pPr>
    </w:p>
    <w:p w14:paraId="0D39A4E3" w14:textId="77777777" w:rsidR="0065357D" w:rsidRDefault="0065357D" w:rsidP="0065357D">
      <w:pPr>
        <w:ind w:right="-36"/>
        <w:rPr>
          <w:sz w:val="24"/>
          <w:szCs w:val="24"/>
        </w:rPr>
      </w:pPr>
      <w:r>
        <w:rPr>
          <w:sz w:val="24"/>
          <w:szCs w:val="24"/>
        </w:rPr>
        <w:t>If either ‘political/policy missteps’ or ‘rising interest rates’ was your answer to the biggest threat to U.S. stocks, then you’re thinking like a professional investor. Their list of worries included:</w:t>
      </w:r>
    </w:p>
    <w:p w14:paraId="777760FE" w14:textId="77777777" w:rsidR="0065357D" w:rsidRDefault="0065357D" w:rsidP="0065357D">
      <w:pPr>
        <w:ind w:right="-36"/>
        <w:rPr>
          <w:sz w:val="24"/>
          <w:szCs w:val="24"/>
        </w:rPr>
      </w:pPr>
    </w:p>
    <w:p w14:paraId="39D0E9E2" w14:textId="77777777" w:rsidR="0065357D" w:rsidRDefault="0065357D" w:rsidP="0065357D">
      <w:pPr>
        <w:tabs>
          <w:tab w:val="right" w:pos="4860"/>
        </w:tabs>
        <w:ind w:left="720" w:right="-36"/>
        <w:rPr>
          <w:sz w:val="24"/>
          <w:szCs w:val="24"/>
        </w:rPr>
      </w:pPr>
      <w:r>
        <w:rPr>
          <w:sz w:val="24"/>
          <w:szCs w:val="24"/>
        </w:rPr>
        <w:t>Political/policy missteps</w:t>
      </w:r>
      <w:r>
        <w:rPr>
          <w:sz w:val="24"/>
          <w:szCs w:val="24"/>
        </w:rPr>
        <w:tab/>
        <w:t>35 percent</w:t>
      </w:r>
    </w:p>
    <w:p w14:paraId="1EA95573" w14:textId="77777777" w:rsidR="0065357D" w:rsidRDefault="0065357D" w:rsidP="0065357D">
      <w:pPr>
        <w:tabs>
          <w:tab w:val="right" w:pos="4860"/>
        </w:tabs>
        <w:ind w:left="720" w:right="-36"/>
        <w:rPr>
          <w:sz w:val="24"/>
          <w:szCs w:val="24"/>
        </w:rPr>
      </w:pPr>
      <w:r>
        <w:rPr>
          <w:sz w:val="24"/>
          <w:szCs w:val="24"/>
        </w:rPr>
        <w:t>Rising interest rates</w:t>
      </w:r>
      <w:r>
        <w:rPr>
          <w:sz w:val="24"/>
          <w:szCs w:val="24"/>
        </w:rPr>
        <w:tab/>
        <w:t>32 percent</w:t>
      </w:r>
    </w:p>
    <w:p w14:paraId="613FE827" w14:textId="77777777" w:rsidR="0065357D" w:rsidRDefault="0065357D" w:rsidP="0065357D">
      <w:pPr>
        <w:tabs>
          <w:tab w:val="right" w:pos="4860"/>
        </w:tabs>
        <w:ind w:left="720" w:right="-36"/>
        <w:rPr>
          <w:sz w:val="24"/>
          <w:szCs w:val="24"/>
        </w:rPr>
      </w:pPr>
      <w:r>
        <w:rPr>
          <w:sz w:val="24"/>
          <w:szCs w:val="24"/>
        </w:rPr>
        <w:t>Earnings disappointments</w:t>
      </w:r>
      <w:r>
        <w:rPr>
          <w:sz w:val="24"/>
          <w:szCs w:val="24"/>
        </w:rPr>
        <w:tab/>
        <w:t>7 percent</w:t>
      </w:r>
    </w:p>
    <w:p w14:paraId="6BBA1607" w14:textId="77777777" w:rsidR="0065357D" w:rsidRDefault="0065357D" w:rsidP="0065357D">
      <w:pPr>
        <w:tabs>
          <w:tab w:val="right" w:pos="4860"/>
        </w:tabs>
        <w:ind w:left="720" w:right="-36"/>
        <w:rPr>
          <w:sz w:val="24"/>
          <w:szCs w:val="24"/>
        </w:rPr>
      </w:pPr>
      <w:r>
        <w:rPr>
          <w:sz w:val="24"/>
          <w:szCs w:val="24"/>
        </w:rPr>
        <w:t>Geopolitical crises</w:t>
      </w:r>
      <w:r>
        <w:rPr>
          <w:sz w:val="24"/>
          <w:szCs w:val="24"/>
        </w:rPr>
        <w:tab/>
        <w:t>7 percent</w:t>
      </w:r>
    </w:p>
    <w:p w14:paraId="5CEC0007" w14:textId="77777777" w:rsidR="0065357D" w:rsidRDefault="0065357D" w:rsidP="0065357D">
      <w:pPr>
        <w:ind w:right="-36"/>
        <w:rPr>
          <w:sz w:val="24"/>
          <w:szCs w:val="24"/>
        </w:rPr>
      </w:pPr>
    </w:p>
    <w:p w14:paraId="64CA058D" w14:textId="77777777" w:rsidR="0065357D" w:rsidRDefault="0065357D" w:rsidP="0065357D">
      <w:pPr>
        <w:ind w:right="-36"/>
        <w:rPr>
          <w:sz w:val="24"/>
          <w:szCs w:val="24"/>
        </w:rPr>
      </w:pPr>
      <w:r>
        <w:rPr>
          <w:sz w:val="24"/>
          <w:szCs w:val="24"/>
        </w:rPr>
        <w:t>Last week, the Dow Jones Industrial Average gained 1.8 percent, the Standard &amp; Poor’s 500 Index was up 2.0 percent, and the NASDAQ Composite rose 2.8 percent.</w:t>
      </w:r>
    </w:p>
    <w:p w14:paraId="3543D97A" w14:textId="77777777" w:rsidR="0065357D" w:rsidRDefault="0065357D" w:rsidP="0065357D">
      <w:pPr>
        <w:ind w:right="-36"/>
        <w:rPr>
          <w:sz w:val="24"/>
          <w:szCs w:val="24"/>
        </w:rPr>
      </w:pPr>
    </w:p>
    <w:tbl>
      <w:tblPr>
        <w:tblW w:w="9135" w:type="dxa"/>
        <w:tblInd w:w="108" w:type="dxa"/>
        <w:tblLayout w:type="fixed"/>
        <w:tblLook w:val="04A0" w:firstRow="1" w:lastRow="0" w:firstColumn="1" w:lastColumn="0" w:noHBand="0" w:noVBand="1"/>
      </w:tblPr>
      <w:tblGrid>
        <w:gridCol w:w="3578"/>
        <w:gridCol w:w="1043"/>
        <w:gridCol w:w="887"/>
        <w:gridCol w:w="913"/>
        <w:gridCol w:w="805"/>
        <w:gridCol w:w="852"/>
        <w:gridCol w:w="1057"/>
      </w:tblGrid>
      <w:tr w:rsidR="0065357D" w14:paraId="0C60484D" w14:textId="77777777" w:rsidTr="0065357D">
        <w:trPr>
          <w:trHeight w:val="255"/>
        </w:trPr>
        <w:tc>
          <w:tcPr>
            <w:tcW w:w="3578" w:type="dxa"/>
            <w:tcBorders>
              <w:top w:val="single" w:sz="4" w:space="0" w:color="auto"/>
              <w:left w:val="single" w:sz="4" w:space="0" w:color="auto"/>
              <w:bottom w:val="single" w:sz="4" w:space="0" w:color="auto"/>
              <w:right w:val="single" w:sz="4" w:space="0" w:color="auto"/>
            </w:tcBorders>
            <w:noWrap/>
            <w:vAlign w:val="center"/>
            <w:hideMark/>
          </w:tcPr>
          <w:p w14:paraId="06FADC57" w14:textId="77777777" w:rsidR="0065357D" w:rsidRDefault="0065357D">
            <w:pPr>
              <w:ind w:right="-36"/>
              <w:jc w:val="center"/>
              <w:rPr>
                <w:b/>
                <w:bCs/>
                <w:color w:val="000000" w:themeColor="text1"/>
                <w:szCs w:val="24"/>
              </w:rPr>
            </w:pPr>
            <w:r>
              <w:rPr>
                <w:color w:val="000000" w:themeColor="text1"/>
                <w:szCs w:val="24"/>
              </w:rPr>
              <w:br w:type="page"/>
            </w:r>
            <w:r>
              <w:rPr>
                <w:b/>
                <w:bCs/>
                <w:color w:val="000000" w:themeColor="text1"/>
                <w:szCs w:val="24"/>
              </w:rPr>
              <w:t>Data as of 4/13/18</w:t>
            </w:r>
          </w:p>
        </w:tc>
        <w:tc>
          <w:tcPr>
            <w:tcW w:w="1043" w:type="dxa"/>
            <w:tcBorders>
              <w:top w:val="single" w:sz="4" w:space="0" w:color="auto"/>
              <w:left w:val="nil"/>
              <w:bottom w:val="single" w:sz="4" w:space="0" w:color="auto"/>
              <w:right w:val="single" w:sz="4" w:space="0" w:color="auto"/>
            </w:tcBorders>
            <w:vAlign w:val="center"/>
            <w:hideMark/>
          </w:tcPr>
          <w:p w14:paraId="60E39FDD" w14:textId="77777777" w:rsidR="0065357D" w:rsidRDefault="0065357D">
            <w:pPr>
              <w:ind w:right="-36"/>
              <w:jc w:val="center"/>
              <w:rPr>
                <w:b/>
                <w:bCs/>
                <w:color w:val="000000" w:themeColor="text1"/>
                <w:szCs w:val="24"/>
              </w:rPr>
            </w:pPr>
            <w:r>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noWrap/>
            <w:vAlign w:val="center"/>
            <w:hideMark/>
          </w:tcPr>
          <w:p w14:paraId="1778CC36" w14:textId="77777777" w:rsidR="0065357D" w:rsidRDefault="0065357D">
            <w:pPr>
              <w:ind w:right="-36"/>
              <w:jc w:val="center"/>
              <w:rPr>
                <w:b/>
                <w:bCs/>
                <w:color w:val="000000" w:themeColor="text1"/>
                <w:szCs w:val="24"/>
              </w:rPr>
            </w:pPr>
            <w:r>
              <w:rPr>
                <w:b/>
                <w:bCs/>
                <w:color w:val="000000" w:themeColor="text1"/>
                <w:szCs w:val="24"/>
              </w:rPr>
              <w:t>Y-T-D</w:t>
            </w:r>
          </w:p>
        </w:tc>
        <w:tc>
          <w:tcPr>
            <w:tcW w:w="913" w:type="dxa"/>
            <w:tcBorders>
              <w:top w:val="single" w:sz="4" w:space="0" w:color="auto"/>
              <w:left w:val="nil"/>
              <w:bottom w:val="single" w:sz="4" w:space="0" w:color="auto"/>
              <w:right w:val="single" w:sz="4" w:space="0" w:color="auto"/>
            </w:tcBorders>
            <w:noWrap/>
            <w:vAlign w:val="center"/>
            <w:hideMark/>
          </w:tcPr>
          <w:p w14:paraId="103EEED0" w14:textId="77777777" w:rsidR="0065357D" w:rsidRDefault="0065357D">
            <w:pPr>
              <w:ind w:right="-36"/>
              <w:jc w:val="center"/>
              <w:rPr>
                <w:b/>
                <w:bCs/>
                <w:color w:val="000000" w:themeColor="text1"/>
                <w:szCs w:val="24"/>
              </w:rPr>
            </w:pPr>
            <w:r>
              <w:rPr>
                <w:b/>
                <w:bCs/>
                <w:color w:val="000000" w:themeColor="text1"/>
                <w:szCs w:val="24"/>
              </w:rPr>
              <w:t>1-Year</w:t>
            </w:r>
          </w:p>
        </w:tc>
        <w:tc>
          <w:tcPr>
            <w:tcW w:w="805" w:type="dxa"/>
            <w:tcBorders>
              <w:top w:val="single" w:sz="4" w:space="0" w:color="auto"/>
              <w:left w:val="nil"/>
              <w:bottom w:val="single" w:sz="4" w:space="0" w:color="auto"/>
              <w:right w:val="single" w:sz="4" w:space="0" w:color="auto"/>
            </w:tcBorders>
            <w:vAlign w:val="center"/>
            <w:hideMark/>
          </w:tcPr>
          <w:p w14:paraId="595C6812" w14:textId="77777777" w:rsidR="0065357D" w:rsidRDefault="0065357D">
            <w:pPr>
              <w:ind w:right="-36"/>
              <w:jc w:val="center"/>
              <w:rPr>
                <w:b/>
                <w:bCs/>
                <w:color w:val="000000" w:themeColor="text1"/>
                <w:szCs w:val="24"/>
              </w:rPr>
            </w:pPr>
            <w:r>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vAlign w:val="center"/>
            <w:hideMark/>
          </w:tcPr>
          <w:p w14:paraId="49115175" w14:textId="77777777" w:rsidR="0065357D" w:rsidRDefault="0065357D">
            <w:pPr>
              <w:ind w:right="-36"/>
              <w:jc w:val="center"/>
              <w:rPr>
                <w:b/>
                <w:bCs/>
                <w:color w:val="000000" w:themeColor="text1"/>
                <w:szCs w:val="24"/>
              </w:rPr>
            </w:pPr>
            <w:r>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86EC3F4" w14:textId="77777777" w:rsidR="0065357D" w:rsidRDefault="0065357D">
            <w:pPr>
              <w:ind w:right="-36"/>
              <w:jc w:val="center"/>
              <w:rPr>
                <w:b/>
                <w:bCs/>
                <w:color w:val="000000" w:themeColor="text1"/>
                <w:szCs w:val="24"/>
              </w:rPr>
            </w:pPr>
            <w:r>
              <w:rPr>
                <w:b/>
                <w:bCs/>
                <w:color w:val="000000" w:themeColor="text1"/>
                <w:szCs w:val="24"/>
              </w:rPr>
              <w:t>10-Year</w:t>
            </w:r>
          </w:p>
        </w:tc>
      </w:tr>
      <w:tr w:rsidR="0065357D" w14:paraId="3F9C6A62" w14:textId="77777777" w:rsidTr="0065357D">
        <w:trPr>
          <w:trHeight w:val="215"/>
        </w:trPr>
        <w:tc>
          <w:tcPr>
            <w:tcW w:w="3578" w:type="dxa"/>
            <w:tcBorders>
              <w:top w:val="nil"/>
              <w:left w:val="single" w:sz="4" w:space="0" w:color="auto"/>
              <w:bottom w:val="single" w:sz="4" w:space="0" w:color="auto"/>
              <w:right w:val="single" w:sz="4" w:space="0" w:color="auto"/>
            </w:tcBorders>
            <w:noWrap/>
            <w:vAlign w:val="center"/>
            <w:hideMark/>
          </w:tcPr>
          <w:p w14:paraId="64C27196" w14:textId="77777777" w:rsidR="0065357D" w:rsidRDefault="0065357D">
            <w:pPr>
              <w:ind w:right="-36"/>
              <w:rPr>
                <w:szCs w:val="24"/>
              </w:rPr>
            </w:pPr>
            <w:r>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hideMark/>
          </w:tcPr>
          <w:p w14:paraId="128C6980" w14:textId="77777777" w:rsidR="0065357D" w:rsidRDefault="0065357D">
            <w:pPr>
              <w:ind w:right="-36"/>
              <w:jc w:val="center"/>
              <w:rPr>
                <w:szCs w:val="24"/>
              </w:rPr>
            </w:pPr>
            <w:r>
              <w:rPr>
                <w:szCs w:val="24"/>
              </w:rPr>
              <w:t>2.0%</w:t>
            </w:r>
          </w:p>
        </w:tc>
        <w:tc>
          <w:tcPr>
            <w:tcW w:w="887" w:type="dxa"/>
            <w:tcBorders>
              <w:top w:val="nil"/>
              <w:left w:val="single" w:sz="4" w:space="0" w:color="auto"/>
              <w:bottom w:val="single" w:sz="4" w:space="0" w:color="auto"/>
              <w:right w:val="single" w:sz="4" w:space="0" w:color="auto"/>
            </w:tcBorders>
            <w:noWrap/>
            <w:vAlign w:val="center"/>
            <w:hideMark/>
          </w:tcPr>
          <w:p w14:paraId="2FB81D75" w14:textId="77777777" w:rsidR="0065357D" w:rsidRDefault="0065357D">
            <w:pPr>
              <w:ind w:right="-36"/>
              <w:jc w:val="center"/>
              <w:rPr>
                <w:szCs w:val="24"/>
              </w:rPr>
            </w:pPr>
            <w:r>
              <w:rPr>
                <w:szCs w:val="24"/>
              </w:rPr>
              <w:t>-0.7%</w:t>
            </w:r>
          </w:p>
        </w:tc>
        <w:tc>
          <w:tcPr>
            <w:tcW w:w="913" w:type="dxa"/>
            <w:tcBorders>
              <w:top w:val="nil"/>
              <w:left w:val="nil"/>
              <w:bottom w:val="single" w:sz="4" w:space="0" w:color="auto"/>
              <w:right w:val="single" w:sz="4" w:space="0" w:color="auto"/>
            </w:tcBorders>
            <w:noWrap/>
            <w:vAlign w:val="center"/>
            <w:hideMark/>
          </w:tcPr>
          <w:p w14:paraId="454ECFB2" w14:textId="77777777" w:rsidR="0065357D" w:rsidRDefault="0065357D">
            <w:pPr>
              <w:ind w:right="-36"/>
              <w:jc w:val="center"/>
              <w:rPr>
                <w:szCs w:val="24"/>
              </w:rPr>
            </w:pPr>
            <w:r>
              <w:rPr>
                <w:szCs w:val="24"/>
              </w:rPr>
              <w:t>14.1%</w:t>
            </w:r>
          </w:p>
        </w:tc>
        <w:tc>
          <w:tcPr>
            <w:tcW w:w="805" w:type="dxa"/>
            <w:tcBorders>
              <w:top w:val="single" w:sz="4" w:space="0" w:color="auto"/>
              <w:left w:val="nil"/>
              <w:bottom w:val="single" w:sz="4" w:space="0" w:color="auto"/>
              <w:right w:val="single" w:sz="4" w:space="0" w:color="auto"/>
            </w:tcBorders>
            <w:vAlign w:val="center"/>
            <w:hideMark/>
          </w:tcPr>
          <w:p w14:paraId="7B82B05C" w14:textId="77777777" w:rsidR="0065357D" w:rsidRDefault="0065357D">
            <w:pPr>
              <w:ind w:right="-36"/>
              <w:jc w:val="center"/>
              <w:rPr>
                <w:szCs w:val="24"/>
              </w:rPr>
            </w:pPr>
            <w:r>
              <w:rPr>
                <w:szCs w:val="24"/>
              </w:rPr>
              <w:t>8.3%</w:t>
            </w:r>
          </w:p>
        </w:tc>
        <w:tc>
          <w:tcPr>
            <w:tcW w:w="852" w:type="dxa"/>
            <w:tcBorders>
              <w:top w:val="nil"/>
              <w:left w:val="single" w:sz="4" w:space="0" w:color="auto"/>
              <w:bottom w:val="single" w:sz="4" w:space="0" w:color="auto"/>
              <w:right w:val="single" w:sz="4" w:space="0" w:color="auto"/>
            </w:tcBorders>
            <w:vAlign w:val="center"/>
            <w:hideMark/>
          </w:tcPr>
          <w:p w14:paraId="5FB4AB50" w14:textId="77777777" w:rsidR="0065357D" w:rsidRDefault="0065357D">
            <w:pPr>
              <w:ind w:right="-36"/>
              <w:jc w:val="center"/>
              <w:rPr>
                <w:szCs w:val="24"/>
              </w:rPr>
            </w:pPr>
            <w:r>
              <w:rPr>
                <w:szCs w:val="24"/>
              </w:rPr>
              <w:t>11.3%</w:t>
            </w:r>
          </w:p>
        </w:tc>
        <w:tc>
          <w:tcPr>
            <w:tcW w:w="1057" w:type="dxa"/>
            <w:tcBorders>
              <w:top w:val="nil"/>
              <w:left w:val="single" w:sz="4" w:space="0" w:color="auto"/>
              <w:bottom w:val="single" w:sz="4" w:space="0" w:color="auto"/>
              <w:right w:val="single" w:sz="4" w:space="0" w:color="auto"/>
            </w:tcBorders>
            <w:vAlign w:val="center"/>
            <w:hideMark/>
          </w:tcPr>
          <w:p w14:paraId="311CF980" w14:textId="77777777" w:rsidR="0065357D" w:rsidRDefault="0065357D">
            <w:pPr>
              <w:ind w:right="-36"/>
              <w:jc w:val="center"/>
              <w:rPr>
                <w:szCs w:val="24"/>
              </w:rPr>
            </w:pPr>
            <w:r>
              <w:rPr>
                <w:szCs w:val="24"/>
              </w:rPr>
              <w:t>7.2%</w:t>
            </w:r>
          </w:p>
        </w:tc>
      </w:tr>
      <w:tr w:rsidR="0065357D" w14:paraId="7685EF95" w14:textId="77777777" w:rsidTr="0065357D">
        <w:trPr>
          <w:trHeight w:val="255"/>
        </w:trPr>
        <w:tc>
          <w:tcPr>
            <w:tcW w:w="3578" w:type="dxa"/>
            <w:tcBorders>
              <w:top w:val="single" w:sz="4" w:space="0" w:color="auto"/>
              <w:left w:val="single" w:sz="4" w:space="0" w:color="auto"/>
              <w:bottom w:val="single" w:sz="4" w:space="0" w:color="auto"/>
              <w:right w:val="single" w:sz="4" w:space="0" w:color="auto"/>
            </w:tcBorders>
            <w:noWrap/>
            <w:vAlign w:val="center"/>
            <w:hideMark/>
          </w:tcPr>
          <w:p w14:paraId="6EAA04FF" w14:textId="77777777" w:rsidR="0065357D" w:rsidRDefault="0065357D">
            <w:pPr>
              <w:ind w:right="-36"/>
              <w:rPr>
                <w:szCs w:val="24"/>
              </w:rPr>
            </w:pPr>
            <w:r>
              <w:rPr>
                <w:szCs w:val="24"/>
              </w:rPr>
              <w:lastRenderedPageBreak/>
              <w:t>Dow Jones Global ex-U.S.</w:t>
            </w:r>
          </w:p>
        </w:tc>
        <w:tc>
          <w:tcPr>
            <w:tcW w:w="1043" w:type="dxa"/>
            <w:tcBorders>
              <w:top w:val="single" w:sz="4" w:space="0" w:color="auto"/>
              <w:left w:val="nil"/>
              <w:bottom w:val="single" w:sz="4" w:space="0" w:color="auto"/>
              <w:right w:val="single" w:sz="4" w:space="0" w:color="auto"/>
            </w:tcBorders>
            <w:vAlign w:val="center"/>
            <w:hideMark/>
          </w:tcPr>
          <w:p w14:paraId="0B8E8AD9" w14:textId="77777777" w:rsidR="0065357D" w:rsidRDefault="0065357D">
            <w:pPr>
              <w:ind w:right="-36"/>
              <w:jc w:val="center"/>
              <w:rPr>
                <w:szCs w:val="24"/>
              </w:rPr>
            </w:pPr>
            <w:r>
              <w:rPr>
                <w:szCs w:val="24"/>
              </w:rPr>
              <w:t>1.2</w:t>
            </w:r>
          </w:p>
        </w:tc>
        <w:tc>
          <w:tcPr>
            <w:tcW w:w="887" w:type="dxa"/>
            <w:tcBorders>
              <w:top w:val="single" w:sz="4" w:space="0" w:color="auto"/>
              <w:left w:val="single" w:sz="4" w:space="0" w:color="auto"/>
              <w:bottom w:val="single" w:sz="4" w:space="0" w:color="auto"/>
              <w:right w:val="single" w:sz="4" w:space="0" w:color="auto"/>
            </w:tcBorders>
            <w:noWrap/>
            <w:vAlign w:val="center"/>
            <w:hideMark/>
          </w:tcPr>
          <w:p w14:paraId="767162FF" w14:textId="77777777" w:rsidR="0065357D" w:rsidRDefault="0065357D">
            <w:pPr>
              <w:ind w:right="-36"/>
              <w:jc w:val="center"/>
              <w:rPr>
                <w:szCs w:val="24"/>
              </w:rPr>
            </w:pPr>
            <w:r>
              <w:rPr>
                <w:szCs w:val="24"/>
              </w:rPr>
              <w:t>-0.2</w:t>
            </w:r>
          </w:p>
        </w:tc>
        <w:tc>
          <w:tcPr>
            <w:tcW w:w="913" w:type="dxa"/>
            <w:tcBorders>
              <w:top w:val="single" w:sz="4" w:space="0" w:color="auto"/>
              <w:left w:val="nil"/>
              <w:bottom w:val="single" w:sz="4" w:space="0" w:color="auto"/>
              <w:right w:val="single" w:sz="4" w:space="0" w:color="auto"/>
            </w:tcBorders>
            <w:noWrap/>
            <w:vAlign w:val="center"/>
            <w:hideMark/>
          </w:tcPr>
          <w:p w14:paraId="76EFCB5E" w14:textId="77777777" w:rsidR="0065357D" w:rsidRDefault="0065357D">
            <w:pPr>
              <w:ind w:right="-36"/>
              <w:jc w:val="center"/>
              <w:rPr>
                <w:szCs w:val="24"/>
              </w:rPr>
            </w:pPr>
            <w:r>
              <w:rPr>
                <w:szCs w:val="24"/>
              </w:rPr>
              <w:t>16.4</w:t>
            </w:r>
          </w:p>
        </w:tc>
        <w:tc>
          <w:tcPr>
            <w:tcW w:w="805" w:type="dxa"/>
            <w:tcBorders>
              <w:top w:val="single" w:sz="4" w:space="0" w:color="auto"/>
              <w:left w:val="nil"/>
              <w:bottom w:val="single" w:sz="4" w:space="0" w:color="auto"/>
              <w:right w:val="single" w:sz="4" w:space="0" w:color="auto"/>
            </w:tcBorders>
            <w:vAlign w:val="center"/>
            <w:hideMark/>
          </w:tcPr>
          <w:p w14:paraId="6859C35E" w14:textId="77777777" w:rsidR="0065357D" w:rsidRDefault="0065357D">
            <w:pPr>
              <w:ind w:right="-36"/>
              <w:jc w:val="center"/>
              <w:rPr>
                <w:szCs w:val="24"/>
              </w:rPr>
            </w:pPr>
            <w:r>
              <w:rPr>
                <w:szCs w:val="24"/>
              </w:rPr>
              <w:t>3.4</w:t>
            </w:r>
          </w:p>
        </w:tc>
        <w:tc>
          <w:tcPr>
            <w:tcW w:w="852" w:type="dxa"/>
            <w:tcBorders>
              <w:top w:val="single" w:sz="4" w:space="0" w:color="auto"/>
              <w:left w:val="single" w:sz="4" w:space="0" w:color="auto"/>
              <w:bottom w:val="single" w:sz="4" w:space="0" w:color="auto"/>
              <w:right w:val="single" w:sz="4" w:space="0" w:color="auto"/>
            </w:tcBorders>
            <w:vAlign w:val="center"/>
            <w:hideMark/>
          </w:tcPr>
          <w:p w14:paraId="56A8CE7B" w14:textId="77777777" w:rsidR="0065357D" w:rsidRDefault="0065357D">
            <w:pPr>
              <w:ind w:right="-36"/>
              <w:jc w:val="center"/>
              <w:rPr>
                <w:szCs w:val="24"/>
              </w:rPr>
            </w:pPr>
            <w:r>
              <w:rPr>
                <w:szCs w:val="24"/>
              </w:rPr>
              <w:t>4.3</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5061CA7" w14:textId="77777777" w:rsidR="0065357D" w:rsidRDefault="0065357D">
            <w:pPr>
              <w:ind w:right="-36"/>
              <w:jc w:val="center"/>
              <w:rPr>
                <w:szCs w:val="24"/>
              </w:rPr>
            </w:pPr>
            <w:r>
              <w:rPr>
                <w:szCs w:val="24"/>
              </w:rPr>
              <w:t>0.6</w:t>
            </w:r>
          </w:p>
        </w:tc>
      </w:tr>
      <w:tr w:rsidR="0065357D" w14:paraId="7B4782F4" w14:textId="77777777" w:rsidTr="0065357D">
        <w:trPr>
          <w:trHeight w:val="255"/>
        </w:trPr>
        <w:tc>
          <w:tcPr>
            <w:tcW w:w="3578" w:type="dxa"/>
            <w:tcBorders>
              <w:top w:val="single" w:sz="4" w:space="0" w:color="auto"/>
              <w:left w:val="single" w:sz="4" w:space="0" w:color="auto"/>
              <w:bottom w:val="single" w:sz="4" w:space="0" w:color="auto"/>
              <w:right w:val="single" w:sz="4" w:space="0" w:color="auto"/>
            </w:tcBorders>
            <w:noWrap/>
            <w:vAlign w:val="center"/>
            <w:hideMark/>
          </w:tcPr>
          <w:p w14:paraId="0B451AD2" w14:textId="77777777" w:rsidR="0065357D" w:rsidRDefault="0065357D">
            <w:pPr>
              <w:ind w:right="-36"/>
              <w:rPr>
                <w:szCs w:val="24"/>
              </w:rPr>
            </w:pPr>
            <w:r>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hideMark/>
          </w:tcPr>
          <w:p w14:paraId="7522AF25" w14:textId="77777777" w:rsidR="0065357D" w:rsidRDefault="0065357D">
            <w:pPr>
              <w:ind w:right="-36"/>
              <w:jc w:val="center"/>
              <w:rPr>
                <w:szCs w:val="24"/>
              </w:rPr>
            </w:pPr>
            <w:r>
              <w:rPr>
                <w:szCs w:val="24"/>
              </w:rPr>
              <w:t>2.8</w:t>
            </w:r>
          </w:p>
        </w:tc>
        <w:tc>
          <w:tcPr>
            <w:tcW w:w="887" w:type="dxa"/>
            <w:tcBorders>
              <w:top w:val="single" w:sz="4" w:space="0" w:color="auto"/>
              <w:left w:val="single" w:sz="4" w:space="0" w:color="auto"/>
              <w:bottom w:val="single" w:sz="4" w:space="0" w:color="auto"/>
              <w:right w:val="single" w:sz="4" w:space="0" w:color="auto"/>
            </w:tcBorders>
            <w:noWrap/>
            <w:vAlign w:val="center"/>
            <w:hideMark/>
          </w:tcPr>
          <w:p w14:paraId="4EA61BDF" w14:textId="77777777" w:rsidR="0065357D" w:rsidRDefault="0065357D">
            <w:pPr>
              <w:ind w:right="-36"/>
              <w:jc w:val="center"/>
              <w:rPr>
                <w:szCs w:val="24"/>
              </w:rPr>
            </w:pPr>
            <w:r>
              <w:rPr>
                <w:szCs w:val="24"/>
              </w:rPr>
              <w:t>NA</w:t>
            </w:r>
          </w:p>
        </w:tc>
        <w:tc>
          <w:tcPr>
            <w:tcW w:w="913" w:type="dxa"/>
            <w:tcBorders>
              <w:top w:val="single" w:sz="4" w:space="0" w:color="auto"/>
              <w:left w:val="nil"/>
              <w:bottom w:val="single" w:sz="4" w:space="0" w:color="auto"/>
              <w:right w:val="single" w:sz="4" w:space="0" w:color="auto"/>
            </w:tcBorders>
            <w:noWrap/>
            <w:vAlign w:val="center"/>
            <w:hideMark/>
          </w:tcPr>
          <w:p w14:paraId="5588168C" w14:textId="77777777" w:rsidR="0065357D" w:rsidRDefault="0065357D">
            <w:pPr>
              <w:ind w:right="-36"/>
              <w:jc w:val="center"/>
              <w:rPr>
                <w:szCs w:val="24"/>
              </w:rPr>
            </w:pPr>
            <w:r>
              <w:rPr>
                <w:szCs w:val="24"/>
              </w:rPr>
              <w:t>2.2</w:t>
            </w:r>
          </w:p>
        </w:tc>
        <w:tc>
          <w:tcPr>
            <w:tcW w:w="805" w:type="dxa"/>
            <w:tcBorders>
              <w:top w:val="single" w:sz="4" w:space="0" w:color="auto"/>
              <w:left w:val="nil"/>
              <w:bottom w:val="single" w:sz="4" w:space="0" w:color="auto"/>
              <w:right w:val="single" w:sz="4" w:space="0" w:color="auto"/>
            </w:tcBorders>
            <w:vAlign w:val="center"/>
            <w:hideMark/>
          </w:tcPr>
          <w:p w14:paraId="60D5DF36" w14:textId="77777777" w:rsidR="0065357D" w:rsidRDefault="0065357D">
            <w:pPr>
              <w:ind w:right="-36"/>
              <w:jc w:val="center"/>
              <w:rPr>
                <w:szCs w:val="24"/>
              </w:rPr>
            </w:pPr>
            <w:r>
              <w:rPr>
                <w:szCs w:val="24"/>
              </w:rPr>
              <w:t>1.9</w:t>
            </w:r>
          </w:p>
        </w:tc>
        <w:tc>
          <w:tcPr>
            <w:tcW w:w="852" w:type="dxa"/>
            <w:tcBorders>
              <w:top w:val="single" w:sz="4" w:space="0" w:color="auto"/>
              <w:left w:val="single" w:sz="4" w:space="0" w:color="auto"/>
              <w:bottom w:val="single" w:sz="4" w:space="0" w:color="auto"/>
              <w:right w:val="single" w:sz="4" w:space="0" w:color="auto"/>
            </w:tcBorders>
            <w:vAlign w:val="center"/>
            <w:hideMark/>
          </w:tcPr>
          <w:p w14:paraId="07E0F91B" w14:textId="77777777" w:rsidR="0065357D" w:rsidRDefault="0065357D">
            <w:pPr>
              <w:ind w:right="-36"/>
              <w:jc w:val="center"/>
              <w:rPr>
                <w:szCs w:val="24"/>
              </w:rPr>
            </w:pPr>
            <w:r>
              <w:rPr>
                <w:szCs w:val="24"/>
              </w:rPr>
              <w:t>1.7</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CC13628" w14:textId="77777777" w:rsidR="0065357D" w:rsidRDefault="0065357D">
            <w:pPr>
              <w:ind w:right="-36"/>
              <w:jc w:val="center"/>
              <w:rPr>
                <w:szCs w:val="24"/>
              </w:rPr>
            </w:pPr>
            <w:r>
              <w:rPr>
                <w:szCs w:val="24"/>
              </w:rPr>
              <w:t>3.5</w:t>
            </w:r>
          </w:p>
        </w:tc>
      </w:tr>
      <w:tr w:rsidR="0065357D" w14:paraId="59C53B57" w14:textId="77777777" w:rsidTr="0065357D">
        <w:trPr>
          <w:trHeight w:val="255"/>
        </w:trPr>
        <w:tc>
          <w:tcPr>
            <w:tcW w:w="3578" w:type="dxa"/>
            <w:tcBorders>
              <w:top w:val="single" w:sz="4" w:space="0" w:color="auto"/>
              <w:left w:val="single" w:sz="4" w:space="0" w:color="auto"/>
              <w:bottom w:val="single" w:sz="4" w:space="0" w:color="auto"/>
              <w:right w:val="single" w:sz="4" w:space="0" w:color="auto"/>
            </w:tcBorders>
            <w:noWrap/>
            <w:vAlign w:val="center"/>
            <w:hideMark/>
          </w:tcPr>
          <w:p w14:paraId="0177D676" w14:textId="77777777" w:rsidR="0065357D" w:rsidRDefault="0065357D">
            <w:pPr>
              <w:ind w:right="-36"/>
              <w:rPr>
                <w:szCs w:val="24"/>
              </w:rPr>
            </w:pPr>
            <w:r>
              <w:rPr>
                <w:szCs w:val="24"/>
              </w:rPr>
              <w:t>Gold (per ounce)</w:t>
            </w:r>
          </w:p>
        </w:tc>
        <w:tc>
          <w:tcPr>
            <w:tcW w:w="1043" w:type="dxa"/>
            <w:tcBorders>
              <w:top w:val="single" w:sz="4" w:space="0" w:color="auto"/>
              <w:left w:val="nil"/>
              <w:bottom w:val="single" w:sz="4" w:space="0" w:color="auto"/>
              <w:right w:val="single" w:sz="4" w:space="0" w:color="auto"/>
            </w:tcBorders>
            <w:vAlign w:val="center"/>
            <w:hideMark/>
          </w:tcPr>
          <w:p w14:paraId="6D6B1E3E" w14:textId="77777777" w:rsidR="0065357D" w:rsidRDefault="0065357D">
            <w:pPr>
              <w:ind w:right="-36"/>
              <w:jc w:val="center"/>
              <w:rPr>
                <w:szCs w:val="24"/>
              </w:rPr>
            </w:pPr>
            <w:r>
              <w:rPr>
                <w:szCs w:val="24"/>
              </w:rPr>
              <w:t>0.9</w:t>
            </w:r>
          </w:p>
        </w:tc>
        <w:tc>
          <w:tcPr>
            <w:tcW w:w="887" w:type="dxa"/>
            <w:tcBorders>
              <w:top w:val="single" w:sz="4" w:space="0" w:color="auto"/>
              <w:left w:val="single" w:sz="4" w:space="0" w:color="auto"/>
              <w:bottom w:val="single" w:sz="4" w:space="0" w:color="auto"/>
              <w:right w:val="single" w:sz="4" w:space="0" w:color="auto"/>
            </w:tcBorders>
            <w:noWrap/>
            <w:vAlign w:val="center"/>
            <w:hideMark/>
          </w:tcPr>
          <w:p w14:paraId="41742543" w14:textId="77777777" w:rsidR="0065357D" w:rsidRDefault="0065357D">
            <w:pPr>
              <w:ind w:right="-36"/>
              <w:jc w:val="center"/>
              <w:rPr>
                <w:szCs w:val="24"/>
              </w:rPr>
            </w:pPr>
            <w:r>
              <w:rPr>
                <w:szCs w:val="24"/>
              </w:rPr>
              <w:t>3.6</w:t>
            </w:r>
          </w:p>
        </w:tc>
        <w:tc>
          <w:tcPr>
            <w:tcW w:w="913" w:type="dxa"/>
            <w:tcBorders>
              <w:top w:val="single" w:sz="4" w:space="0" w:color="auto"/>
              <w:left w:val="nil"/>
              <w:bottom w:val="single" w:sz="4" w:space="0" w:color="auto"/>
              <w:right w:val="single" w:sz="4" w:space="0" w:color="auto"/>
            </w:tcBorders>
            <w:noWrap/>
            <w:vAlign w:val="center"/>
            <w:hideMark/>
          </w:tcPr>
          <w:p w14:paraId="1FC66092" w14:textId="77777777" w:rsidR="0065357D" w:rsidRDefault="0065357D">
            <w:pPr>
              <w:ind w:right="-36"/>
              <w:jc w:val="center"/>
              <w:rPr>
                <w:szCs w:val="24"/>
              </w:rPr>
            </w:pPr>
            <w:r>
              <w:rPr>
                <w:szCs w:val="24"/>
              </w:rPr>
              <w:t>4.6</w:t>
            </w:r>
          </w:p>
        </w:tc>
        <w:tc>
          <w:tcPr>
            <w:tcW w:w="805" w:type="dxa"/>
            <w:tcBorders>
              <w:top w:val="single" w:sz="4" w:space="0" w:color="auto"/>
              <w:left w:val="nil"/>
              <w:bottom w:val="single" w:sz="4" w:space="0" w:color="auto"/>
              <w:right w:val="single" w:sz="4" w:space="0" w:color="auto"/>
            </w:tcBorders>
            <w:vAlign w:val="center"/>
            <w:hideMark/>
          </w:tcPr>
          <w:p w14:paraId="187383BA" w14:textId="77777777" w:rsidR="0065357D" w:rsidRDefault="0065357D">
            <w:pPr>
              <w:ind w:right="-36"/>
              <w:jc w:val="center"/>
              <w:rPr>
                <w:szCs w:val="24"/>
              </w:rPr>
            </w:pPr>
            <w:r>
              <w:rPr>
                <w:szCs w:val="24"/>
              </w:rPr>
              <w:t>3.9</w:t>
            </w:r>
          </w:p>
        </w:tc>
        <w:tc>
          <w:tcPr>
            <w:tcW w:w="852" w:type="dxa"/>
            <w:tcBorders>
              <w:top w:val="single" w:sz="4" w:space="0" w:color="auto"/>
              <w:left w:val="single" w:sz="4" w:space="0" w:color="auto"/>
              <w:bottom w:val="single" w:sz="4" w:space="0" w:color="auto"/>
              <w:right w:val="single" w:sz="4" w:space="0" w:color="auto"/>
            </w:tcBorders>
            <w:vAlign w:val="center"/>
            <w:hideMark/>
          </w:tcPr>
          <w:p w14:paraId="22914360" w14:textId="77777777" w:rsidR="0065357D" w:rsidRDefault="0065357D">
            <w:pPr>
              <w:ind w:right="-36"/>
              <w:jc w:val="center"/>
              <w:rPr>
                <w:szCs w:val="24"/>
              </w:rPr>
            </w:pPr>
            <w:r>
              <w:rPr>
                <w:szCs w:val="24"/>
              </w:rPr>
              <w:t>-0.8</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9D27452" w14:textId="77777777" w:rsidR="0065357D" w:rsidRDefault="0065357D">
            <w:pPr>
              <w:ind w:right="-36"/>
              <w:jc w:val="center"/>
              <w:rPr>
                <w:szCs w:val="24"/>
              </w:rPr>
            </w:pPr>
            <w:r>
              <w:rPr>
                <w:szCs w:val="24"/>
              </w:rPr>
              <w:t>3.8</w:t>
            </w:r>
          </w:p>
        </w:tc>
      </w:tr>
      <w:tr w:rsidR="0065357D" w14:paraId="6A6E747B" w14:textId="77777777" w:rsidTr="0065357D">
        <w:trPr>
          <w:trHeight w:val="255"/>
        </w:trPr>
        <w:tc>
          <w:tcPr>
            <w:tcW w:w="3578" w:type="dxa"/>
            <w:tcBorders>
              <w:top w:val="single" w:sz="4" w:space="0" w:color="auto"/>
              <w:left w:val="single" w:sz="4" w:space="0" w:color="auto"/>
              <w:bottom w:val="single" w:sz="4" w:space="0" w:color="auto"/>
              <w:right w:val="single" w:sz="4" w:space="0" w:color="auto"/>
            </w:tcBorders>
            <w:noWrap/>
            <w:vAlign w:val="center"/>
            <w:hideMark/>
          </w:tcPr>
          <w:p w14:paraId="7E82525E" w14:textId="77777777" w:rsidR="0065357D" w:rsidRDefault="0065357D">
            <w:pPr>
              <w:ind w:right="-36"/>
            </w:pPr>
            <w:r>
              <w:t>Bloomberg Commodity Index</w:t>
            </w:r>
          </w:p>
        </w:tc>
        <w:tc>
          <w:tcPr>
            <w:tcW w:w="1043" w:type="dxa"/>
            <w:tcBorders>
              <w:top w:val="single" w:sz="4" w:space="0" w:color="auto"/>
              <w:left w:val="nil"/>
              <w:bottom w:val="single" w:sz="4" w:space="0" w:color="auto"/>
              <w:right w:val="single" w:sz="4" w:space="0" w:color="auto"/>
            </w:tcBorders>
            <w:vAlign w:val="center"/>
            <w:hideMark/>
          </w:tcPr>
          <w:p w14:paraId="689ED137" w14:textId="77777777" w:rsidR="0065357D" w:rsidRDefault="0065357D">
            <w:pPr>
              <w:ind w:right="-36"/>
              <w:jc w:val="center"/>
            </w:pPr>
            <w:r>
              <w:t>2.7</w:t>
            </w:r>
          </w:p>
        </w:tc>
        <w:tc>
          <w:tcPr>
            <w:tcW w:w="887" w:type="dxa"/>
            <w:tcBorders>
              <w:top w:val="single" w:sz="4" w:space="0" w:color="auto"/>
              <w:left w:val="single" w:sz="4" w:space="0" w:color="auto"/>
              <w:bottom w:val="single" w:sz="4" w:space="0" w:color="auto"/>
              <w:right w:val="single" w:sz="4" w:space="0" w:color="auto"/>
            </w:tcBorders>
            <w:noWrap/>
            <w:vAlign w:val="center"/>
            <w:hideMark/>
          </w:tcPr>
          <w:p w14:paraId="2FCD0891" w14:textId="77777777" w:rsidR="0065357D" w:rsidRDefault="0065357D">
            <w:pPr>
              <w:ind w:right="-36"/>
              <w:jc w:val="center"/>
            </w:pPr>
            <w:r>
              <w:t>1.3</w:t>
            </w:r>
          </w:p>
        </w:tc>
        <w:tc>
          <w:tcPr>
            <w:tcW w:w="913" w:type="dxa"/>
            <w:tcBorders>
              <w:top w:val="single" w:sz="4" w:space="0" w:color="auto"/>
              <w:left w:val="nil"/>
              <w:bottom w:val="single" w:sz="4" w:space="0" w:color="auto"/>
              <w:right w:val="single" w:sz="4" w:space="0" w:color="auto"/>
            </w:tcBorders>
            <w:noWrap/>
            <w:vAlign w:val="center"/>
            <w:hideMark/>
          </w:tcPr>
          <w:p w14:paraId="67CE777E" w14:textId="77777777" w:rsidR="0065357D" w:rsidRDefault="0065357D">
            <w:pPr>
              <w:ind w:right="-36"/>
              <w:jc w:val="center"/>
            </w:pPr>
            <w:r>
              <w:t>3.5</w:t>
            </w:r>
          </w:p>
        </w:tc>
        <w:tc>
          <w:tcPr>
            <w:tcW w:w="805" w:type="dxa"/>
            <w:tcBorders>
              <w:top w:val="single" w:sz="4" w:space="0" w:color="auto"/>
              <w:left w:val="nil"/>
              <w:bottom w:val="single" w:sz="4" w:space="0" w:color="auto"/>
              <w:right w:val="single" w:sz="4" w:space="0" w:color="auto"/>
            </w:tcBorders>
            <w:vAlign w:val="center"/>
            <w:hideMark/>
          </w:tcPr>
          <w:p w14:paraId="76CB0E49" w14:textId="77777777" w:rsidR="0065357D" w:rsidRDefault="0065357D">
            <w:pPr>
              <w:ind w:right="-36"/>
              <w:jc w:val="center"/>
            </w:pPr>
            <w:r>
              <w:t>-3.4</w:t>
            </w:r>
          </w:p>
        </w:tc>
        <w:tc>
          <w:tcPr>
            <w:tcW w:w="852" w:type="dxa"/>
            <w:tcBorders>
              <w:top w:val="single" w:sz="4" w:space="0" w:color="auto"/>
              <w:left w:val="single" w:sz="4" w:space="0" w:color="auto"/>
              <w:bottom w:val="single" w:sz="4" w:space="0" w:color="auto"/>
              <w:right w:val="single" w:sz="4" w:space="0" w:color="auto"/>
            </w:tcBorders>
            <w:vAlign w:val="center"/>
            <w:hideMark/>
          </w:tcPr>
          <w:p w14:paraId="66F00DD7" w14:textId="77777777" w:rsidR="0065357D" w:rsidRDefault="0065357D">
            <w:pPr>
              <w:ind w:right="-36"/>
              <w:jc w:val="center"/>
            </w:pPr>
            <w:r>
              <w:t>-7.2</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24FCCBF" w14:textId="77777777" w:rsidR="0065357D" w:rsidRDefault="0065357D">
            <w:pPr>
              <w:ind w:right="-36"/>
              <w:jc w:val="center"/>
            </w:pPr>
            <w:r>
              <w:t>-8.2</w:t>
            </w:r>
          </w:p>
        </w:tc>
      </w:tr>
      <w:tr w:rsidR="0065357D" w14:paraId="7C15483F" w14:textId="77777777" w:rsidTr="0065357D">
        <w:trPr>
          <w:trHeight w:val="255"/>
        </w:trPr>
        <w:tc>
          <w:tcPr>
            <w:tcW w:w="3578" w:type="dxa"/>
            <w:tcBorders>
              <w:top w:val="single" w:sz="4" w:space="0" w:color="auto"/>
              <w:left w:val="single" w:sz="4" w:space="0" w:color="auto"/>
              <w:bottom w:val="single" w:sz="4" w:space="0" w:color="auto"/>
              <w:right w:val="single" w:sz="4" w:space="0" w:color="auto"/>
            </w:tcBorders>
            <w:noWrap/>
            <w:vAlign w:val="center"/>
            <w:hideMark/>
          </w:tcPr>
          <w:p w14:paraId="2A777C42" w14:textId="77777777" w:rsidR="0065357D" w:rsidRDefault="0065357D">
            <w:pPr>
              <w:ind w:right="-36"/>
            </w:pPr>
            <w:r>
              <w:t>DJ Equity All REIT Total Return Index</w:t>
            </w:r>
          </w:p>
        </w:tc>
        <w:tc>
          <w:tcPr>
            <w:tcW w:w="1043" w:type="dxa"/>
            <w:tcBorders>
              <w:top w:val="single" w:sz="4" w:space="0" w:color="auto"/>
              <w:left w:val="nil"/>
              <w:bottom w:val="single" w:sz="4" w:space="0" w:color="auto"/>
              <w:right w:val="single" w:sz="4" w:space="0" w:color="auto"/>
            </w:tcBorders>
            <w:vAlign w:val="center"/>
            <w:hideMark/>
          </w:tcPr>
          <w:p w14:paraId="44E6C731" w14:textId="77777777" w:rsidR="0065357D" w:rsidRDefault="0065357D">
            <w:pPr>
              <w:ind w:right="-36"/>
              <w:jc w:val="center"/>
            </w:pPr>
            <w:r>
              <w:t>-0.9</w:t>
            </w:r>
          </w:p>
        </w:tc>
        <w:tc>
          <w:tcPr>
            <w:tcW w:w="887" w:type="dxa"/>
            <w:tcBorders>
              <w:top w:val="single" w:sz="4" w:space="0" w:color="auto"/>
              <w:left w:val="single" w:sz="4" w:space="0" w:color="auto"/>
              <w:bottom w:val="single" w:sz="4" w:space="0" w:color="auto"/>
              <w:right w:val="single" w:sz="4" w:space="0" w:color="auto"/>
            </w:tcBorders>
            <w:noWrap/>
            <w:vAlign w:val="center"/>
            <w:hideMark/>
          </w:tcPr>
          <w:p w14:paraId="64748D1F" w14:textId="77777777" w:rsidR="0065357D" w:rsidRDefault="0065357D">
            <w:pPr>
              <w:ind w:right="-36"/>
              <w:jc w:val="center"/>
            </w:pPr>
            <w:r>
              <w:t>-7.9</w:t>
            </w:r>
          </w:p>
        </w:tc>
        <w:tc>
          <w:tcPr>
            <w:tcW w:w="913" w:type="dxa"/>
            <w:tcBorders>
              <w:top w:val="single" w:sz="4" w:space="0" w:color="auto"/>
              <w:left w:val="nil"/>
              <w:bottom w:val="single" w:sz="4" w:space="0" w:color="auto"/>
              <w:right w:val="single" w:sz="4" w:space="0" w:color="auto"/>
            </w:tcBorders>
            <w:noWrap/>
            <w:vAlign w:val="center"/>
            <w:hideMark/>
          </w:tcPr>
          <w:p w14:paraId="6656D4CC" w14:textId="77777777" w:rsidR="0065357D" w:rsidRDefault="0065357D">
            <w:pPr>
              <w:ind w:right="-36"/>
              <w:jc w:val="center"/>
            </w:pPr>
            <w:r>
              <w:t>-4.1</w:t>
            </w:r>
          </w:p>
        </w:tc>
        <w:tc>
          <w:tcPr>
            <w:tcW w:w="805" w:type="dxa"/>
            <w:tcBorders>
              <w:top w:val="single" w:sz="4" w:space="0" w:color="auto"/>
              <w:left w:val="nil"/>
              <w:bottom w:val="single" w:sz="4" w:space="0" w:color="auto"/>
              <w:right w:val="single" w:sz="4" w:space="0" w:color="auto"/>
            </w:tcBorders>
            <w:vAlign w:val="center"/>
            <w:hideMark/>
          </w:tcPr>
          <w:p w14:paraId="2C2E7D96" w14:textId="77777777" w:rsidR="0065357D" w:rsidRDefault="0065357D">
            <w:pPr>
              <w:ind w:right="-36"/>
              <w:jc w:val="center"/>
            </w:pPr>
            <w:r>
              <w:t>3.3</w:t>
            </w:r>
          </w:p>
        </w:tc>
        <w:tc>
          <w:tcPr>
            <w:tcW w:w="852" w:type="dxa"/>
            <w:tcBorders>
              <w:top w:val="single" w:sz="4" w:space="0" w:color="auto"/>
              <w:left w:val="single" w:sz="4" w:space="0" w:color="auto"/>
              <w:bottom w:val="single" w:sz="4" w:space="0" w:color="auto"/>
              <w:right w:val="single" w:sz="4" w:space="0" w:color="auto"/>
            </w:tcBorders>
            <w:vAlign w:val="center"/>
            <w:hideMark/>
          </w:tcPr>
          <w:p w14:paraId="0E94B76A" w14:textId="77777777" w:rsidR="0065357D" w:rsidRDefault="0065357D">
            <w:pPr>
              <w:ind w:right="-36"/>
              <w:jc w:val="center"/>
            </w:pPr>
            <w:r>
              <w:t>6.0</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A4D21C4" w14:textId="77777777" w:rsidR="0065357D" w:rsidRDefault="0065357D">
            <w:pPr>
              <w:ind w:right="-36"/>
              <w:jc w:val="center"/>
            </w:pPr>
            <w:r>
              <w:t>6.6</w:t>
            </w:r>
          </w:p>
        </w:tc>
      </w:tr>
    </w:tbl>
    <w:p w14:paraId="57819664" w14:textId="77777777" w:rsidR="0065357D" w:rsidRDefault="0065357D" w:rsidP="0065357D">
      <w:pPr>
        <w:ind w:left="90" w:right="414"/>
        <w:rPr>
          <w:sz w:val="16"/>
          <w:szCs w:val="24"/>
        </w:rPr>
      </w:pPr>
      <w:r>
        <w:rPr>
          <w:sz w:val="16"/>
          <w:szCs w:val="24"/>
        </w:rPr>
        <w:t xml:space="preserve">S&amp;P 500, Dow Jones Global ex-US, 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 </w:t>
      </w:r>
    </w:p>
    <w:p w14:paraId="21735DC3" w14:textId="77777777" w:rsidR="0065357D" w:rsidRDefault="0065357D" w:rsidP="0065357D">
      <w:pPr>
        <w:ind w:left="90" w:right="414"/>
        <w:rPr>
          <w:sz w:val="16"/>
          <w:szCs w:val="24"/>
        </w:rPr>
      </w:pPr>
      <w:r>
        <w:rPr>
          <w:sz w:val="16"/>
          <w:szCs w:val="24"/>
        </w:rPr>
        <w:t>Sources: Yahoo! Finance, Barron’s, djindexes.com, London Bullion Market Association.</w:t>
      </w:r>
    </w:p>
    <w:p w14:paraId="61E0B6BD" w14:textId="77777777" w:rsidR="0065357D" w:rsidRDefault="0065357D" w:rsidP="0065357D">
      <w:pPr>
        <w:ind w:left="90" w:right="414"/>
        <w:rPr>
          <w:sz w:val="16"/>
          <w:szCs w:val="24"/>
        </w:rPr>
      </w:pPr>
      <w:r>
        <w:rPr>
          <w:sz w:val="16"/>
          <w:szCs w:val="24"/>
        </w:rPr>
        <w:t>Past performance is no guarantee of future results. Indices are unmanaged and cannot be invested into directly. N/A means not applicable.</w:t>
      </w:r>
    </w:p>
    <w:p w14:paraId="04CF53A5" w14:textId="77777777" w:rsidR="0065357D" w:rsidRDefault="0065357D" w:rsidP="0065357D">
      <w:pPr>
        <w:ind w:right="-36"/>
        <w:rPr>
          <w:sz w:val="24"/>
          <w:szCs w:val="24"/>
        </w:rPr>
      </w:pPr>
    </w:p>
    <w:p w14:paraId="20C89265" w14:textId="77777777" w:rsidR="0065357D" w:rsidRDefault="0065357D" w:rsidP="0065357D">
      <w:pPr>
        <w:ind w:right="-36"/>
        <w:rPr>
          <w:sz w:val="24"/>
          <w:szCs w:val="24"/>
        </w:rPr>
      </w:pPr>
      <w:r>
        <w:rPr>
          <w:b/>
          <w:bCs/>
          <w:caps/>
          <w:color w:val="639D3F"/>
          <w:sz w:val="24"/>
          <w:szCs w:val="24"/>
        </w:rPr>
        <w:t>what does your playlist say about you?</w:t>
      </w:r>
      <w:r>
        <w:rPr>
          <w:sz w:val="24"/>
          <w:szCs w:val="24"/>
        </w:rPr>
        <w:t xml:space="preserve"> Your preference for pop, country, opera, classic rock, or some other type of music may provide clues to your personality, according to an article in </w:t>
      </w:r>
      <w:r>
        <w:rPr>
          <w:i/>
          <w:sz w:val="24"/>
          <w:szCs w:val="24"/>
        </w:rPr>
        <w:t>Psychological Science</w:t>
      </w:r>
      <w:r>
        <w:rPr>
          <w:sz w:val="24"/>
          <w:szCs w:val="24"/>
        </w:rPr>
        <w:t xml:space="preserve"> entitled ‘Musical Preferences Predict Personality.’</w:t>
      </w:r>
    </w:p>
    <w:p w14:paraId="49A50209" w14:textId="77777777" w:rsidR="0065357D" w:rsidRDefault="0065357D" w:rsidP="0065357D">
      <w:pPr>
        <w:ind w:right="-36"/>
        <w:rPr>
          <w:sz w:val="24"/>
          <w:szCs w:val="24"/>
        </w:rPr>
      </w:pPr>
    </w:p>
    <w:p w14:paraId="5A4BE8D6" w14:textId="77777777" w:rsidR="0065357D" w:rsidRDefault="0065357D" w:rsidP="0065357D">
      <w:pPr>
        <w:ind w:right="-36"/>
        <w:rPr>
          <w:sz w:val="24"/>
          <w:szCs w:val="24"/>
        </w:rPr>
      </w:pPr>
      <w:r>
        <w:rPr>
          <w:sz w:val="24"/>
          <w:szCs w:val="24"/>
        </w:rPr>
        <w:t>Psychologists have been studying ‘personality’ for a long time. Their goal is to understand why people think, feel, and behave differently in the same situation. The prevailing personality model is called the ‘Big Five.’ It holds there are five factors that describe a broad range of personality traits and characteristics. No single factor describes personality by itself:</w:t>
      </w:r>
    </w:p>
    <w:p w14:paraId="2D304437" w14:textId="77777777" w:rsidR="0065357D" w:rsidRDefault="0065357D" w:rsidP="0065357D">
      <w:pPr>
        <w:ind w:right="-36"/>
        <w:rPr>
          <w:sz w:val="24"/>
          <w:szCs w:val="24"/>
        </w:rPr>
      </w:pPr>
    </w:p>
    <w:p w14:paraId="2FB5D017" w14:textId="77777777" w:rsidR="0065357D" w:rsidRDefault="0065357D" w:rsidP="0065357D">
      <w:pPr>
        <w:pStyle w:val="ListParagraph"/>
        <w:numPr>
          <w:ilvl w:val="0"/>
          <w:numId w:val="22"/>
        </w:numPr>
        <w:ind w:right="-36"/>
        <w:rPr>
          <w:sz w:val="24"/>
          <w:szCs w:val="24"/>
        </w:rPr>
      </w:pPr>
      <w:r>
        <w:rPr>
          <w:b/>
          <w:sz w:val="24"/>
          <w:szCs w:val="24"/>
        </w:rPr>
        <w:t>Extroversion</w:t>
      </w:r>
      <w:r>
        <w:rPr>
          <w:sz w:val="24"/>
          <w:szCs w:val="24"/>
        </w:rPr>
        <w:t xml:space="preserve"> includes people on two ends of a spectrum, introverts and extroverts. Extroverts thrive on interactions with others while introverts thrive on solitude. This factor reflects a person’s tendency to be sociable, assertive, talkative, and friendly. </w:t>
      </w:r>
    </w:p>
    <w:p w14:paraId="6CFCE196" w14:textId="77777777" w:rsidR="0065357D" w:rsidRDefault="0065357D" w:rsidP="0065357D">
      <w:pPr>
        <w:pStyle w:val="ListParagraph"/>
        <w:numPr>
          <w:ilvl w:val="0"/>
          <w:numId w:val="22"/>
        </w:numPr>
        <w:ind w:right="-36"/>
        <w:rPr>
          <w:sz w:val="24"/>
          <w:szCs w:val="24"/>
        </w:rPr>
      </w:pPr>
      <w:r>
        <w:rPr>
          <w:b/>
          <w:sz w:val="24"/>
          <w:szCs w:val="24"/>
        </w:rPr>
        <w:t>Agreeableness</w:t>
      </w:r>
      <w:r>
        <w:rPr>
          <w:sz w:val="24"/>
          <w:szCs w:val="24"/>
        </w:rPr>
        <w:t xml:space="preserve"> describes how well people get along well with others. This factor encompasses altruism, trust, tact, and loyalty.</w:t>
      </w:r>
    </w:p>
    <w:p w14:paraId="3C673286" w14:textId="77777777" w:rsidR="0065357D" w:rsidRDefault="0065357D" w:rsidP="0065357D">
      <w:pPr>
        <w:pStyle w:val="ListParagraph"/>
        <w:numPr>
          <w:ilvl w:val="0"/>
          <w:numId w:val="22"/>
        </w:numPr>
        <w:ind w:right="-36"/>
        <w:rPr>
          <w:sz w:val="24"/>
          <w:szCs w:val="24"/>
        </w:rPr>
      </w:pPr>
      <w:r>
        <w:rPr>
          <w:b/>
          <w:sz w:val="24"/>
          <w:szCs w:val="24"/>
        </w:rPr>
        <w:t>Conscientiousness</w:t>
      </w:r>
      <w:r>
        <w:rPr>
          <w:sz w:val="24"/>
          <w:szCs w:val="24"/>
        </w:rPr>
        <w:t xml:space="preserve"> describes how well people control their impulses and act in socially acceptable ways. It encompasses persistence, ambition, energy, and resourcefulness.</w:t>
      </w:r>
    </w:p>
    <w:p w14:paraId="5E0A2268" w14:textId="77777777" w:rsidR="0065357D" w:rsidRDefault="0065357D" w:rsidP="0065357D">
      <w:pPr>
        <w:pStyle w:val="ListParagraph"/>
        <w:numPr>
          <w:ilvl w:val="0"/>
          <w:numId w:val="22"/>
        </w:numPr>
        <w:ind w:right="-36"/>
        <w:rPr>
          <w:sz w:val="24"/>
          <w:szCs w:val="24"/>
        </w:rPr>
      </w:pPr>
      <w:r>
        <w:rPr>
          <w:b/>
          <w:sz w:val="24"/>
          <w:szCs w:val="24"/>
        </w:rPr>
        <w:t>Neuroticism</w:t>
      </w:r>
      <w:r>
        <w:rPr>
          <w:sz w:val="24"/>
          <w:szCs w:val="24"/>
        </w:rPr>
        <w:t xml:space="preserve"> describes how comfortable and confident people are with themselves. It encompasses awkwardness, pessimism, insecurity, and wariness.</w:t>
      </w:r>
    </w:p>
    <w:p w14:paraId="45D6E6EB" w14:textId="77777777" w:rsidR="0065357D" w:rsidRDefault="0065357D" w:rsidP="0065357D">
      <w:pPr>
        <w:pStyle w:val="ListParagraph"/>
        <w:numPr>
          <w:ilvl w:val="0"/>
          <w:numId w:val="22"/>
        </w:numPr>
        <w:ind w:right="-36"/>
        <w:rPr>
          <w:sz w:val="24"/>
          <w:szCs w:val="24"/>
        </w:rPr>
      </w:pPr>
      <w:r>
        <w:rPr>
          <w:b/>
          <w:sz w:val="24"/>
          <w:szCs w:val="24"/>
        </w:rPr>
        <w:t>Openness to experience</w:t>
      </w:r>
      <w:r>
        <w:rPr>
          <w:sz w:val="24"/>
          <w:szCs w:val="24"/>
        </w:rPr>
        <w:t xml:space="preserve"> describes willingness to try new experiences and think outside the box. This factor reflects perceptiveness, curiosity, insightfulness, and imagination.</w:t>
      </w:r>
    </w:p>
    <w:p w14:paraId="606597DE" w14:textId="77777777" w:rsidR="0065357D" w:rsidRDefault="0065357D" w:rsidP="0065357D">
      <w:pPr>
        <w:ind w:right="-36"/>
        <w:rPr>
          <w:sz w:val="24"/>
          <w:szCs w:val="24"/>
        </w:rPr>
      </w:pPr>
    </w:p>
    <w:p w14:paraId="347FF8F7" w14:textId="77777777" w:rsidR="0065357D" w:rsidRDefault="0065357D" w:rsidP="0065357D">
      <w:pPr>
        <w:ind w:right="-36"/>
        <w:rPr>
          <w:sz w:val="24"/>
          <w:szCs w:val="24"/>
        </w:rPr>
      </w:pPr>
      <w:r>
        <w:rPr>
          <w:sz w:val="24"/>
          <w:szCs w:val="24"/>
        </w:rPr>
        <w:t xml:space="preserve">As it turns out, musical preferences are pretty good predictors of some personality factors, especially openness, extroversion, and agreeableness. Openness is associated with a preference for ‘sophisticated’ music (classical, operatic, world, and jazz), extroversion is associated with ‘unpretentious’ music (country and folk), and, as you might expect, agreeableness is associated with liking all types of music. </w:t>
      </w:r>
    </w:p>
    <w:p w14:paraId="2C7EE2FD" w14:textId="77777777" w:rsidR="0065357D" w:rsidRDefault="0065357D" w:rsidP="0065357D">
      <w:pPr>
        <w:ind w:right="-36"/>
        <w:rPr>
          <w:sz w:val="24"/>
          <w:szCs w:val="24"/>
        </w:rPr>
      </w:pPr>
    </w:p>
    <w:p w14:paraId="1AD6D3C9" w14:textId="77777777" w:rsidR="0065357D" w:rsidRDefault="0065357D" w:rsidP="0065357D">
      <w:pPr>
        <w:ind w:right="-36"/>
        <w:outlineLvl w:val="0"/>
        <w:rPr>
          <w:sz w:val="24"/>
          <w:szCs w:val="24"/>
        </w:rPr>
      </w:pPr>
      <w:r>
        <w:rPr>
          <w:sz w:val="24"/>
          <w:szCs w:val="24"/>
        </w:rPr>
        <w:t>It’s notable that musical preferences fail to predict conscientiousness.</w:t>
      </w:r>
    </w:p>
    <w:p w14:paraId="3E87919F" w14:textId="77777777" w:rsidR="0065357D" w:rsidRDefault="0065357D" w:rsidP="0065357D">
      <w:pPr>
        <w:ind w:right="-36"/>
        <w:rPr>
          <w:sz w:val="24"/>
          <w:szCs w:val="24"/>
        </w:rPr>
      </w:pPr>
    </w:p>
    <w:p w14:paraId="71EA652A" w14:textId="77777777" w:rsidR="0065357D" w:rsidRDefault="0065357D" w:rsidP="0065357D">
      <w:pPr>
        <w:ind w:right="-36"/>
        <w:outlineLvl w:val="0"/>
        <w:rPr>
          <w:b/>
          <w:color w:val="639D3F"/>
          <w:sz w:val="28"/>
          <w:szCs w:val="28"/>
        </w:rPr>
      </w:pPr>
      <w:r>
        <w:rPr>
          <w:b/>
          <w:color w:val="639D3F"/>
          <w:sz w:val="28"/>
          <w:szCs w:val="28"/>
        </w:rPr>
        <w:t>Weekly Focus – Think About It</w:t>
      </w:r>
    </w:p>
    <w:p w14:paraId="4837E562" w14:textId="77777777" w:rsidR="0065357D" w:rsidRDefault="0065357D" w:rsidP="0065357D">
      <w:pPr>
        <w:ind w:right="-36"/>
        <w:rPr>
          <w:sz w:val="24"/>
          <w:szCs w:val="24"/>
        </w:rPr>
      </w:pPr>
    </w:p>
    <w:p w14:paraId="2367B473" w14:textId="77777777" w:rsidR="0065357D" w:rsidRDefault="0065357D" w:rsidP="0065357D">
      <w:pPr>
        <w:ind w:right="-36"/>
        <w:rPr>
          <w:sz w:val="24"/>
          <w:szCs w:val="24"/>
        </w:rPr>
      </w:pPr>
      <w:r>
        <w:rPr>
          <w:sz w:val="24"/>
          <w:szCs w:val="24"/>
        </w:rPr>
        <w:t>“Sometimes they would take two ropes and turn them as a single rope together, but you could separate them and turn them in like an eggbeater on each other. The skipping rope was like a steady timeline – tick, tick, tick, tick – upon which you can add rhymes and rhythms and chants. Those ropes created a space where we were able to contribute to something that was far greater than the neighborhood.”</w:t>
      </w:r>
    </w:p>
    <w:p w14:paraId="5C825D11" w14:textId="77777777" w:rsidR="0065357D" w:rsidRDefault="0065357D" w:rsidP="0065357D">
      <w:pPr>
        <w:ind w:right="-36"/>
        <w:jc w:val="right"/>
        <w:rPr>
          <w:i/>
          <w:sz w:val="24"/>
          <w:szCs w:val="24"/>
        </w:rPr>
      </w:pPr>
      <w:r>
        <w:rPr>
          <w:i/>
          <w:sz w:val="24"/>
          <w:szCs w:val="24"/>
        </w:rPr>
        <w:t>--Kyra Gaunt, Professor, Songwriter, Performer</w:t>
      </w:r>
    </w:p>
    <w:p w14:paraId="10394559" w14:textId="77777777" w:rsidR="0065357D" w:rsidRDefault="0065357D" w:rsidP="0065357D">
      <w:pPr>
        <w:ind w:right="-36"/>
        <w:rPr>
          <w:color w:val="333333"/>
          <w:sz w:val="24"/>
          <w:szCs w:val="24"/>
          <w:shd w:val="clear" w:color="auto" w:fill="FFFFFF"/>
        </w:rPr>
      </w:pPr>
    </w:p>
    <w:p w14:paraId="00261797" w14:textId="77777777" w:rsidR="0065357D" w:rsidRDefault="0065357D" w:rsidP="0065357D">
      <w:pPr>
        <w:ind w:right="-36"/>
        <w:outlineLvl w:val="0"/>
        <w:rPr>
          <w:sz w:val="24"/>
          <w:szCs w:val="24"/>
        </w:rPr>
      </w:pPr>
      <w:r>
        <w:rPr>
          <w:sz w:val="24"/>
          <w:szCs w:val="24"/>
        </w:rPr>
        <w:t>Best regards,</w:t>
      </w:r>
    </w:p>
    <w:p w14:paraId="6EB189D1" w14:textId="644CFA7E" w:rsidR="002E7F3D" w:rsidRPr="00BA3FF2" w:rsidRDefault="002E7F3D" w:rsidP="0065357D">
      <w:pPr>
        <w:ind w:right="-36"/>
        <w:jc w:val="center"/>
        <w:outlineLvl w:val="0"/>
        <w:rPr>
          <w:color w:val="FF0000"/>
          <w:sz w:val="24"/>
          <w:szCs w:val="24"/>
        </w:rPr>
      </w:pPr>
      <w:bookmarkStart w:id="0" w:name="_GoBack"/>
      <w:bookmarkEnd w:id="0"/>
    </w:p>
    <w:p w14:paraId="41E6FAA2" w14:textId="77777777" w:rsidR="008F139A" w:rsidRPr="00732438" w:rsidRDefault="008F139A" w:rsidP="008F139A">
      <w:pPr>
        <w:rPr>
          <w:sz w:val="24"/>
          <w:szCs w:val="24"/>
        </w:rPr>
      </w:pPr>
      <w:r w:rsidRPr="00732438">
        <w:rPr>
          <w:sz w:val="24"/>
          <w:szCs w:val="24"/>
        </w:rPr>
        <w:t>Adam B. Hartung, CFP®, AIF®</w:t>
      </w:r>
    </w:p>
    <w:p w14:paraId="5529FC1F" w14:textId="77777777" w:rsidR="008F139A" w:rsidRPr="00732438" w:rsidRDefault="008F139A" w:rsidP="008F139A">
      <w:pPr>
        <w:rPr>
          <w:sz w:val="24"/>
          <w:szCs w:val="24"/>
        </w:rPr>
      </w:pPr>
      <w:r w:rsidRPr="00732438">
        <w:rPr>
          <w:sz w:val="24"/>
          <w:szCs w:val="24"/>
        </w:rPr>
        <w:t>President</w:t>
      </w:r>
    </w:p>
    <w:p w14:paraId="46BA15AA" w14:textId="77777777" w:rsidR="008F139A" w:rsidRPr="00732438" w:rsidRDefault="008F139A" w:rsidP="008F139A">
      <w:pPr>
        <w:rPr>
          <w:sz w:val="24"/>
          <w:szCs w:val="24"/>
        </w:rPr>
      </w:pPr>
      <w:r w:rsidRPr="00732438">
        <w:rPr>
          <w:sz w:val="24"/>
          <w:szCs w:val="24"/>
        </w:rPr>
        <w:t>Midwest Money Management</w:t>
      </w:r>
    </w:p>
    <w:p w14:paraId="6BDE03E1" w14:textId="77777777" w:rsidR="008F139A" w:rsidRPr="00732438" w:rsidRDefault="008F139A" w:rsidP="008F139A">
      <w:pPr>
        <w:rPr>
          <w:sz w:val="24"/>
          <w:szCs w:val="24"/>
        </w:rPr>
      </w:pPr>
      <w:r w:rsidRPr="00732438">
        <w:rPr>
          <w:sz w:val="24"/>
          <w:szCs w:val="24"/>
        </w:rPr>
        <w:t>17316 Kenyon Ave</w:t>
      </w:r>
    </w:p>
    <w:p w14:paraId="3F47C8DF" w14:textId="77777777" w:rsidR="008F139A" w:rsidRPr="00732438" w:rsidRDefault="008F139A" w:rsidP="008F139A">
      <w:pPr>
        <w:rPr>
          <w:sz w:val="24"/>
          <w:szCs w:val="24"/>
        </w:rPr>
      </w:pPr>
      <w:r w:rsidRPr="00732438">
        <w:rPr>
          <w:sz w:val="24"/>
          <w:szCs w:val="24"/>
        </w:rPr>
        <w:t>Suite 104</w:t>
      </w:r>
    </w:p>
    <w:p w14:paraId="3FF1EFD9" w14:textId="77777777" w:rsidR="008F139A" w:rsidRPr="00732438" w:rsidRDefault="008F139A" w:rsidP="008F139A">
      <w:pPr>
        <w:rPr>
          <w:sz w:val="24"/>
          <w:szCs w:val="24"/>
        </w:rPr>
      </w:pPr>
      <w:r w:rsidRPr="00732438">
        <w:rPr>
          <w:sz w:val="24"/>
          <w:szCs w:val="24"/>
        </w:rPr>
        <w:t>Lakeville, MN 55044</w:t>
      </w:r>
    </w:p>
    <w:p w14:paraId="3F8B33B2" w14:textId="77777777" w:rsidR="008F139A" w:rsidRPr="00732438" w:rsidRDefault="008F139A" w:rsidP="008F139A">
      <w:pPr>
        <w:rPr>
          <w:sz w:val="24"/>
          <w:szCs w:val="24"/>
        </w:rPr>
      </w:pPr>
    </w:p>
    <w:p w14:paraId="5A4B01AA" w14:textId="77777777" w:rsidR="008F139A" w:rsidRPr="00732438" w:rsidRDefault="00A6539E" w:rsidP="008F139A">
      <w:pPr>
        <w:rPr>
          <w:sz w:val="24"/>
          <w:szCs w:val="24"/>
        </w:rPr>
      </w:pPr>
      <w:hyperlink r:id="rId8" w:history="1">
        <w:r w:rsidR="008F139A" w:rsidRPr="00732438">
          <w:rPr>
            <w:rStyle w:val="Hyperlink"/>
            <w:sz w:val="24"/>
            <w:szCs w:val="24"/>
          </w:rPr>
          <w:t>952-895-1055</w:t>
        </w:r>
      </w:hyperlink>
    </w:p>
    <w:p w14:paraId="0A8BB3F9" w14:textId="77777777" w:rsidR="008F139A" w:rsidRPr="00732438" w:rsidRDefault="00A6539E" w:rsidP="008F139A">
      <w:pPr>
        <w:rPr>
          <w:sz w:val="24"/>
          <w:szCs w:val="24"/>
        </w:rPr>
      </w:pPr>
      <w:hyperlink r:id="rId9" w:history="1">
        <w:r w:rsidR="008F139A" w:rsidRPr="00732438">
          <w:rPr>
            <w:rStyle w:val="Hyperlink"/>
            <w:sz w:val="24"/>
            <w:szCs w:val="24"/>
          </w:rPr>
          <w:t>Adam@MidwestMoneyManagement.com</w:t>
        </w:r>
      </w:hyperlink>
    </w:p>
    <w:p w14:paraId="2C840970" w14:textId="77777777" w:rsidR="008F139A" w:rsidRPr="00732438" w:rsidRDefault="00A6539E" w:rsidP="008F139A">
      <w:pPr>
        <w:rPr>
          <w:sz w:val="24"/>
          <w:szCs w:val="24"/>
        </w:rPr>
      </w:pPr>
      <w:hyperlink r:id="rId10" w:history="1">
        <w:r w:rsidR="008F139A" w:rsidRPr="00732438">
          <w:rPr>
            <w:rStyle w:val="Hyperlink"/>
            <w:sz w:val="24"/>
            <w:szCs w:val="24"/>
          </w:rPr>
          <w:t>www.midwestmoneymanagement.com</w:t>
        </w:r>
      </w:hyperlink>
    </w:p>
    <w:p w14:paraId="606AC715" w14:textId="77777777" w:rsidR="008F139A" w:rsidRPr="00732438" w:rsidRDefault="008F139A" w:rsidP="008F139A">
      <w:pPr>
        <w:rPr>
          <w:sz w:val="24"/>
          <w:szCs w:val="24"/>
        </w:rPr>
      </w:pPr>
    </w:p>
    <w:p w14:paraId="7B644FB6" w14:textId="77777777" w:rsidR="008F139A" w:rsidRPr="00732438" w:rsidRDefault="008F139A" w:rsidP="008F139A">
      <w:pPr>
        <w:spacing w:after="100"/>
        <w:rPr>
          <w:sz w:val="24"/>
          <w:szCs w:val="24"/>
        </w:rPr>
      </w:pPr>
      <w:r w:rsidRPr="00732438">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5252E636" w14:textId="77777777" w:rsidR="008F139A" w:rsidRPr="00732438" w:rsidRDefault="008F139A" w:rsidP="008F139A">
      <w:pPr>
        <w:spacing w:before="100" w:after="100"/>
        <w:rPr>
          <w:sz w:val="24"/>
          <w:szCs w:val="24"/>
        </w:rPr>
      </w:pPr>
      <w:r w:rsidRPr="00732438">
        <w:rPr>
          <w:sz w:val="24"/>
          <w:szCs w:val="24"/>
        </w:rPr>
        <w:t>Securities offered through Parkland Securities, LLC, Member FINRA/SIPC.</w:t>
      </w:r>
    </w:p>
    <w:p w14:paraId="51569170" w14:textId="77777777" w:rsidR="008F139A" w:rsidRDefault="008F139A" w:rsidP="008F139A"/>
    <w:p w14:paraId="01165E24" w14:textId="77777777" w:rsidR="008F139A" w:rsidRPr="004C097F" w:rsidRDefault="008F139A" w:rsidP="008F139A">
      <w:pPr>
        <w:ind w:right="-36"/>
        <w:rPr>
          <w:sz w:val="22"/>
          <w:szCs w:val="22"/>
        </w:rPr>
      </w:pPr>
      <w:r w:rsidRPr="004C097F">
        <w:rPr>
          <w:sz w:val="22"/>
          <w:szCs w:val="22"/>
        </w:rPr>
        <w:t>* These views are those of Carson Group Coaching, and not the presenting Representative or the Representative’s Broker/Dealer, and should not be construed as investment advice.</w:t>
      </w:r>
    </w:p>
    <w:p w14:paraId="5226467F" w14:textId="77777777" w:rsidR="008F139A" w:rsidRPr="004C097F" w:rsidRDefault="008F139A" w:rsidP="008F139A">
      <w:pPr>
        <w:ind w:right="-36"/>
        <w:rPr>
          <w:sz w:val="22"/>
          <w:szCs w:val="22"/>
        </w:rPr>
      </w:pPr>
      <w:r w:rsidRPr="004C097F">
        <w:rPr>
          <w:sz w:val="22"/>
          <w:szCs w:val="22"/>
        </w:rPr>
        <w:t>* This newsletter was prepared by Carson Group Coaching. Carson Group Coaching is not affiliated with the named broker/dealer.</w:t>
      </w:r>
    </w:p>
    <w:p w14:paraId="216B518D" w14:textId="77777777" w:rsidR="008F139A" w:rsidRPr="004C097F" w:rsidRDefault="008F139A" w:rsidP="008F139A">
      <w:pPr>
        <w:ind w:right="-36"/>
        <w:rPr>
          <w:sz w:val="22"/>
          <w:szCs w:val="22"/>
        </w:rPr>
      </w:pPr>
      <w:r w:rsidRPr="004C097F">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24643E" w14:textId="77777777" w:rsidR="008F139A" w:rsidRPr="004C097F" w:rsidRDefault="008F139A" w:rsidP="008F139A">
      <w:pPr>
        <w:ind w:right="-36"/>
        <w:rPr>
          <w:sz w:val="22"/>
          <w:szCs w:val="22"/>
        </w:rPr>
      </w:pPr>
      <w:r w:rsidRPr="004C097F">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68266614" w14:textId="77777777" w:rsidR="008F139A" w:rsidRPr="004C097F" w:rsidRDefault="008F139A" w:rsidP="008F139A">
      <w:pPr>
        <w:ind w:right="-36"/>
        <w:rPr>
          <w:sz w:val="22"/>
          <w:szCs w:val="22"/>
        </w:rPr>
      </w:pPr>
      <w:r w:rsidRPr="004C097F">
        <w:rPr>
          <w:sz w:val="22"/>
          <w:szCs w:val="22"/>
        </w:rPr>
        <w:t>* The Standard &amp; Poor's 500 (S&amp;P 500) is an unmanaged group of securities considered to be representative of the stock market in general. You cannot invest directly in this index.</w:t>
      </w:r>
    </w:p>
    <w:p w14:paraId="2426F904" w14:textId="77777777" w:rsidR="008F139A" w:rsidRPr="004C097F" w:rsidRDefault="008F139A" w:rsidP="008F139A">
      <w:pPr>
        <w:ind w:right="-36"/>
        <w:rPr>
          <w:sz w:val="22"/>
          <w:szCs w:val="22"/>
        </w:rPr>
      </w:pPr>
      <w:r w:rsidRPr="004C097F">
        <w:rPr>
          <w:sz w:val="22"/>
          <w:szCs w:val="22"/>
        </w:rPr>
        <w:t>* All indexes referenced are unmanaged. Unmanaged index returns do not reflect fees, expenses, or sales charges. Index performance is not indicative of the performance of any investment.</w:t>
      </w:r>
    </w:p>
    <w:p w14:paraId="062BC993" w14:textId="77777777" w:rsidR="008F139A" w:rsidRPr="004C097F" w:rsidRDefault="008F139A" w:rsidP="008F139A">
      <w:pPr>
        <w:ind w:right="-36"/>
        <w:rPr>
          <w:sz w:val="22"/>
          <w:szCs w:val="22"/>
        </w:rPr>
      </w:pPr>
      <w:r w:rsidRPr="004C097F">
        <w:rPr>
          <w:sz w:val="22"/>
          <w:szCs w:val="22"/>
        </w:rPr>
        <w:t>* The Dow Jones Global ex-U.S. Index covers approximately 95% of the market capitalization of the 45 developed and emerging countries included in the Index.</w:t>
      </w:r>
    </w:p>
    <w:p w14:paraId="58E0CBF1" w14:textId="77777777" w:rsidR="008F139A" w:rsidRPr="004C097F" w:rsidRDefault="008F139A" w:rsidP="008F139A">
      <w:pPr>
        <w:ind w:right="-36"/>
        <w:rPr>
          <w:sz w:val="22"/>
          <w:szCs w:val="22"/>
        </w:rPr>
      </w:pPr>
      <w:r w:rsidRPr="004C097F">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2FCB797" w14:textId="77777777" w:rsidR="008F139A" w:rsidRPr="004C097F" w:rsidRDefault="008F139A" w:rsidP="008F139A">
      <w:pPr>
        <w:ind w:right="-36"/>
        <w:rPr>
          <w:sz w:val="22"/>
          <w:szCs w:val="22"/>
        </w:rPr>
      </w:pPr>
      <w:r w:rsidRPr="004C097F">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41BE9EE" w14:textId="77777777" w:rsidR="008F139A" w:rsidRPr="004C097F" w:rsidRDefault="008F139A" w:rsidP="008F139A">
      <w:pPr>
        <w:ind w:right="-36"/>
        <w:rPr>
          <w:sz w:val="22"/>
          <w:szCs w:val="22"/>
        </w:rPr>
      </w:pPr>
      <w:r w:rsidRPr="004C097F">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6DEA33A3" w14:textId="77777777" w:rsidR="008F139A" w:rsidRPr="004C097F" w:rsidRDefault="008F139A" w:rsidP="008F139A">
      <w:pPr>
        <w:ind w:right="-36"/>
        <w:rPr>
          <w:sz w:val="22"/>
          <w:szCs w:val="22"/>
        </w:rPr>
      </w:pPr>
      <w:r w:rsidRPr="004C097F">
        <w:rPr>
          <w:sz w:val="22"/>
          <w:szCs w:val="22"/>
        </w:rPr>
        <w:t>* The DJ Equity All REIT Total Return Index measures the total return performance of the equity subcategory of the Real Estate Investment Trust (REIT) industry as calculated by Dow Jones.</w:t>
      </w:r>
    </w:p>
    <w:p w14:paraId="4CCBEEDF" w14:textId="77777777" w:rsidR="008F139A" w:rsidRPr="004C097F" w:rsidRDefault="008F139A" w:rsidP="008F139A">
      <w:pPr>
        <w:ind w:right="-36"/>
        <w:rPr>
          <w:sz w:val="22"/>
          <w:szCs w:val="22"/>
        </w:rPr>
      </w:pPr>
      <w:r w:rsidRPr="004C097F">
        <w:rPr>
          <w:sz w:val="22"/>
          <w:szCs w:val="22"/>
        </w:rPr>
        <w:t>* Yahoo! Finance is the source for any reference to the performance of an index between two specific periods.</w:t>
      </w:r>
    </w:p>
    <w:p w14:paraId="4697C830" w14:textId="77777777" w:rsidR="008F139A" w:rsidRPr="004C097F" w:rsidRDefault="008F139A" w:rsidP="008F139A">
      <w:pPr>
        <w:ind w:right="-36"/>
        <w:rPr>
          <w:sz w:val="22"/>
          <w:szCs w:val="22"/>
        </w:rPr>
      </w:pPr>
      <w:r w:rsidRPr="004C097F">
        <w:rPr>
          <w:sz w:val="22"/>
          <w:szCs w:val="22"/>
        </w:rPr>
        <w:t>* Opinions expressed are subject to change without notice and are not intended as investment advice or to predict future performance.</w:t>
      </w:r>
    </w:p>
    <w:p w14:paraId="47E7B7D9" w14:textId="77777777" w:rsidR="008F139A" w:rsidRPr="004C097F" w:rsidRDefault="008F139A" w:rsidP="008F139A">
      <w:pPr>
        <w:ind w:right="-36"/>
        <w:rPr>
          <w:sz w:val="22"/>
          <w:szCs w:val="22"/>
        </w:rPr>
      </w:pPr>
      <w:r w:rsidRPr="004C097F">
        <w:rPr>
          <w:sz w:val="22"/>
          <w:szCs w:val="22"/>
        </w:rPr>
        <w:lastRenderedPageBreak/>
        <w:t>* Economic forecasts set forth may not develop as predicted and there can be no guarantee that strategies promoted will be successful.</w:t>
      </w:r>
    </w:p>
    <w:p w14:paraId="1F84D494" w14:textId="77777777" w:rsidR="008F139A" w:rsidRPr="004C097F" w:rsidRDefault="008F139A" w:rsidP="008F139A">
      <w:pPr>
        <w:ind w:right="-36"/>
        <w:rPr>
          <w:color w:val="FFFFFF"/>
          <w:sz w:val="22"/>
          <w:szCs w:val="22"/>
        </w:rPr>
      </w:pPr>
      <w:r w:rsidRPr="004C097F">
        <w:rPr>
          <w:sz w:val="22"/>
          <w:szCs w:val="22"/>
        </w:rPr>
        <w:t>* Past performance does not guarantee future results. Investing involves risk, including loss of principal.</w:t>
      </w:r>
    </w:p>
    <w:p w14:paraId="45DBF5F3" w14:textId="77777777" w:rsidR="008F139A" w:rsidRPr="004C097F" w:rsidRDefault="008F139A" w:rsidP="008F139A">
      <w:pPr>
        <w:ind w:right="-36"/>
        <w:rPr>
          <w:sz w:val="22"/>
          <w:szCs w:val="22"/>
        </w:rPr>
      </w:pPr>
      <w:r w:rsidRPr="004C097F">
        <w:rPr>
          <w:sz w:val="22"/>
          <w:szCs w:val="22"/>
        </w:rPr>
        <w:t>* You cannot invest directly in an index.</w:t>
      </w:r>
    </w:p>
    <w:p w14:paraId="2277505C" w14:textId="77777777" w:rsidR="008F139A" w:rsidRPr="004C097F" w:rsidRDefault="008F139A" w:rsidP="008F139A">
      <w:pPr>
        <w:ind w:right="-36"/>
        <w:rPr>
          <w:sz w:val="22"/>
          <w:szCs w:val="22"/>
        </w:rPr>
      </w:pPr>
      <w:r w:rsidRPr="004C097F">
        <w:rPr>
          <w:sz w:val="22"/>
          <w:szCs w:val="22"/>
        </w:rPr>
        <w:t>* Stock investing involves risk including loss of principal.</w:t>
      </w:r>
    </w:p>
    <w:p w14:paraId="56528E2C" w14:textId="77777777" w:rsidR="008F139A" w:rsidRPr="004C097F" w:rsidRDefault="008F139A" w:rsidP="008F139A">
      <w:pPr>
        <w:ind w:right="-36"/>
        <w:rPr>
          <w:sz w:val="22"/>
          <w:szCs w:val="22"/>
        </w:rPr>
      </w:pPr>
      <w:r w:rsidRPr="004C097F">
        <w:rPr>
          <w:sz w:val="22"/>
          <w:szCs w:val="22"/>
        </w:rPr>
        <w:t>* Consult your financial professional before making any investment decision.</w:t>
      </w:r>
    </w:p>
    <w:p w14:paraId="5D8BC751" w14:textId="38250307" w:rsidR="002E7F3D" w:rsidRPr="00BA3FF2" w:rsidRDefault="008F139A" w:rsidP="008F139A">
      <w:pPr>
        <w:ind w:right="-36"/>
        <w:rPr>
          <w:sz w:val="22"/>
          <w:szCs w:val="22"/>
        </w:rPr>
      </w:pPr>
      <w:r>
        <w:rPr>
          <w:sz w:val="22"/>
          <w:szCs w:val="22"/>
        </w:rPr>
        <w:t>* To unsubscribe from the “Weekly Market Commentary” please reply to this e-mail with “unsubscribe” in the subject line, or write us at 17316 Kenyon Ave, Suite 104, Lakeville, MN 55044.</w:t>
      </w:r>
    </w:p>
    <w:p w14:paraId="566A572D" w14:textId="77777777" w:rsidR="002E7F3D" w:rsidRPr="00BA3FF2" w:rsidRDefault="002E7F3D" w:rsidP="00BA5887">
      <w:pPr>
        <w:ind w:right="-36"/>
        <w:rPr>
          <w:sz w:val="22"/>
          <w:szCs w:val="22"/>
        </w:rPr>
      </w:pPr>
    </w:p>
    <w:p w14:paraId="524419D6" w14:textId="101D0C92" w:rsidR="00851B9E" w:rsidRPr="00BA3FF2" w:rsidRDefault="0035599F" w:rsidP="00BA5887">
      <w:pPr>
        <w:widowControl w:val="0"/>
        <w:adjustRightInd w:val="0"/>
        <w:ind w:right="-36"/>
        <w:rPr>
          <w:sz w:val="22"/>
          <w:szCs w:val="22"/>
        </w:rPr>
      </w:pPr>
      <w:r w:rsidRPr="00BA3FF2">
        <w:rPr>
          <w:sz w:val="22"/>
          <w:szCs w:val="22"/>
        </w:rPr>
        <w:t>Sources:</w:t>
      </w:r>
    </w:p>
    <w:p w14:paraId="6B498393" w14:textId="1B2894F2" w:rsidR="00AE755D" w:rsidRPr="00BA3FF2" w:rsidRDefault="00A6539E" w:rsidP="00BA5887">
      <w:pPr>
        <w:widowControl w:val="0"/>
        <w:adjustRightInd w:val="0"/>
        <w:ind w:right="-36"/>
        <w:rPr>
          <w:sz w:val="22"/>
          <w:szCs w:val="22"/>
        </w:rPr>
      </w:pPr>
      <w:hyperlink r:id="rId11" w:history="1">
        <w:r w:rsidR="00FD5EA6" w:rsidRPr="00BA3FF2">
          <w:rPr>
            <w:rStyle w:val="Hyperlink"/>
            <w:sz w:val="22"/>
            <w:szCs w:val="22"/>
          </w:rPr>
          <w:t>https://www.theguardian.com/world/2018/apr/05/china-us-win-concessions-tariff-war-trade-donald-trump-xi-jinping</w:t>
        </w:r>
      </w:hyperlink>
    </w:p>
    <w:p w14:paraId="63AD6EF5" w14:textId="74D76706" w:rsidR="00BA3FF2" w:rsidRPr="00BA3FF2" w:rsidRDefault="00A6539E" w:rsidP="00BA5887">
      <w:pPr>
        <w:autoSpaceDE/>
        <w:autoSpaceDN/>
        <w:ind w:right="-36"/>
        <w:rPr>
          <w:color w:val="000000" w:themeColor="text1"/>
          <w:sz w:val="22"/>
          <w:szCs w:val="22"/>
        </w:rPr>
      </w:pPr>
      <w:hyperlink r:id="rId12" w:history="1">
        <w:r w:rsidR="00FD5EA6" w:rsidRPr="00BA3FF2">
          <w:rPr>
            <w:rStyle w:val="Hyperlink"/>
            <w:sz w:val="22"/>
            <w:szCs w:val="22"/>
          </w:rPr>
          <w:t>https://www.barrons.com/articles/the-brewing-u-s-china-trade-war-explained-in-charts-1523052689</w:t>
        </w:r>
      </w:hyperlink>
      <w:r w:rsidR="00BA3FF2" w:rsidRPr="00BA3FF2">
        <w:rPr>
          <w:color w:val="000000" w:themeColor="text1"/>
          <w:sz w:val="22"/>
          <w:szCs w:val="22"/>
        </w:rPr>
        <w:t xml:space="preserve"> (</w:t>
      </w:r>
      <w:r w:rsidR="00BA3FF2" w:rsidRPr="00BA3FF2">
        <w:rPr>
          <w:i/>
          <w:color w:val="000000" w:themeColor="text1"/>
          <w:sz w:val="22"/>
          <w:szCs w:val="22"/>
        </w:rPr>
        <w:t>or go to</w:t>
      </w:r>
      <w:r w:rsidR="00BA3FF2" w:rsidRPr="00BA3FF2">
        <w:rPr>
          <w:color w:val="000000" w:themeColor="text1"/>
          <w:sz w:val="22"/>
          <w:szCs w:val="22"/>
        </w:rPr>
        <w:t xml:space="preserve"> </w:t>
      </w:r>
      <w:hyperlink r:id="rId13" w:history="1">
        <w:r w:rsidR="00BA3FF2" w:rsidRPr="00BA3FF2">
          <w:rPr>
            <w:rStyle w:val="Hyperlink"/>
            <w:color w:val="0432FF"/>
            <w:sz w:val="22"/>
            <w:szCs w:val="22"/>
          </w:rPr>
          <w:t>https://s3-us-west-2.amazonaws.com/peakcontent/+Peak+Commentary/04-09-18_Barrons-The_Brewing_US-China_Trade_War_Explained_in_Charts-Footnote_2.pdf</w:t>
        </w:r>
      </w:hyperlink>
      <w:r w:rsidR="00BA3FF2" w:rsidRPr="00BA3FF2">
        <w:rPr>
          <w:color w:val="000000" w:themeColor="text1"/>
          <w:sz w:val="22"/>
          <w:szCs w:val="22"/>
        </w:rPr>
        <w:t>)</w:t>
      </w:r>
    </w:p>
    <w:p w14:paraId="5E6F6A04" w14:textId="51A46E96" w:rsidR="00BA3FF2" w:rsidRPr="00BA3FF2" w:rsidRDefault="00A6539E" w:rsidP="00BA5887">
      <w:pPr>
        <w:autoSpaceDE/>
        <w:autoSpaceDN/>
        <w:ind w:right="-36"/>
        <w:rPr>
          <w:color w:val="000000" w:themeColor="text1"/>
          <w:sz w:val="22"/>
          <w:szCs w:val="22"/>
        </w:rPr>
      </w:pPr>
      <w:hyperlink r:id="rId14" w:history="1">
        <w:r w:rsidR="0041062D" w:rsidRPr="00BA3FF2">
          <w:rPr>
            <w:rStyle w:val="Hyperlink"/>
            <w:sz w:val="22"/>
            <w:szCs w:val="22"/>
          </w:rPr>
          <w:t>https://www.ft.com/content/df22be26-37fc-11e8-8eee-e06bde01c544</w:t>
        </w:r>
      </w:hyperlink>
      <w:r w:rsidR="00BA3FF2" w:rsidRPr="00BA3FF2">
        <w:rPr>
          <w:rStyle w:val="Hyperlink"/>
          <w:sz w:val="22"/>
          <w:szCs w:val="22"/>
          <w:u w:val="none"/>
        </w:rPr>
        <w:t xml:space="preserve"> </w:t>
      </w:r>
      <w:r w:rsidR="00BA3FF2" w:rsidRPr="00BA3FF2">
        <w:rPr>
          <w:color w:val="000000" w:themeColor="text1"/>
          <w:sz w:val="22"/>
          <w:szCs w:val="22"/>
        </w:rPr>
        <w:t>(</w:t>
      </w:r>
      <w:r w:rsidR="00BA3FF2" w:rsidRPr="00BA3FF2">
        <w:rPr>
          <w:i/>
          <w:color w:val="000000" w:themeColor="text1"/>
          <w:sz w:val="22"/>
          <w:szCs w:val="22"/>
        </w:rPr>
        <w:t>or go to</w:t>
      </w:r>
      <w:r w:rsidR="00BA3FF2" w:rsidRPr="00BA3FF2">
        <w:rPr>
          <w:color w:val="000000" w:themeColor="text1"/>
          <w:sz w:val="22"/>
          <w:szCs w:val="22"/>
        </w:rPr>
        <w:t xml:space="preserve"> </w:t>
      </w:r>
      <w:hyperlink r:id="rId15" w:history="1">
        <w:r w:rsidR="00BA3FF2" w:rsidRPr="00BA3FF2">
          <w:rPr>
            <w:rStyle w:val="Hyperlink"/>
            <w:color w:val="0432FF"/>
            <w:sz w:val="22"/>
            <w:szCs w:val="22"/>
          </w:rPr>
          <w:t>https://s3-us-west-2.amazonaws.com/peakcontent/+Peak+Commentary/04-09-18_FinancialTimes-Brewing_US-China_Trade_War_Spooks_Asset_Managers-Footnote_3.pdf</w:t>
        </w:r>
      </w:hyperlink>
      <w:r w:rsidR="00BA3FF2" w:rsidRPr="00BA3FF2">
        <w:rPr>
          <w:color w:val="000000" w:themeColor="text1"/>
          <w:sz w:val="22"/>
          <w:szCs w:val="22"/>
        </w:rPr>
        <w:t>)</w:t>
      </w:r>
    </w:p>
    <w:p w14:paraId="5093DC9A" w14:textId="0F08CF35" w:rsidR="00767ABF" w:rsidRPr="00BA3FF2" w:rsidRDefault="00A6539E" w:rsidP="00BA5887">
      <w:pPr>
        <w:widowControl w:val="0"/>
        <w:adjustRightInd w:val="0"/>
        <w:ind w:right="-36"/>
        <w:rPr>
          <w:sz w:val="22"/>
          <w:szCs w:val="22"/>
        </w:rPr>
      </w:pPr>
      <w:hyperlink r:id="rId16" w:anchor="67740190729a" w:history="1">
        <w:r w:rsidR="00FD5EA6" w:rsidRPr="00BA3FF2">
          <w:rPr>
            <w:rStyle w:val="Hyperlink"/>
            <w:sz w:val="22"/>
            <w:szCs w:val="22"/>
          </w:rPr>
          <w:t>https://www.forbes.com/sites/stevebanker/2018/03/02/trumps-tariffs-trade-wars-and-the-supply-chain/#67740190729a</w:t>
        </w:r>
      </w:hyperlink>
    </w:p>
    <w:p w14:paraId="39217C29" w14:textId="58A5933B" w:rsidR="0041062D" w:rsidRPr="00BA3FF2" w:rsidRDefault="00A6539E" w:rsidP="00BA5887">
      <w:pPr>
        <w:widowControl w:val="0"/>
        <w:adjustRightInd w:val="0"/>
        <w:ind w:right="-36"/>
        <w:rPr>
          <w:sz w:val="22"/>
          <w:szCs w:val="22"/>
        </w:rPr>
      </w:pPr>
      <w:hyperlink r:id="rId17" w:history="1">
        <w:r w:rsidR="00FD5EA6" w:rsidRPr="00BA3FF2">
          <w:rPr>
            <w:rStyle w:val="Hyperlink"/>
            <w:sz w:val="22"/>
            <w:szCs w:val="22"/>
          </w:rPr>
          <w:t>https://www.nytimes.com/2018/04/07/us/politics/trump-trade-china-politics-heartland.html</w:t>
        </w:r>
      </w:hyperlink>
    </w:p>
    <w:p w14:paraId="535C7256" w14:textId="005E6424" w:rsidR="00BA3FF2" w:rsidRPr="00BA3FF2" w:rsidRDefault="00A6539E" w:rsidP="00BA5887">
      <w:pPr>
        <w:autoSpaceDE/>
        <w:autoSpaceDN/>
        <w:ind w:right="-36"/>
        <w:rPr>
          <w:sz w:val="22"/>
          <w:szCs w:val="22"/>
        </w:rPr>
      </w:pPr>
      <w:hyperlink r:id="rId18" w:history="1">
        <w:r w:rsidR="00706E42" w:rsidRPr="00BA3FF2">
          <w:rPr>
            <w:rStyle w:val="Hyperlink"/>
            <w:sz w:val="22"/>
            <w:szCs w:val="22"/>
          </w:rPr>
          <w:t>https://www.barrons.com/articles/tariff-fears-and-a-jobs-report-send-stocks-lower-1523066354</w:t>
        </w:r>
      </w:hyperlink>
      <w:r w:rsidR="00BA3FF2" w:rsidRPr="00BA3FF2">
        <w:rPr>
          <w:rStyle w:val="Hyperlink"/>
          <w:sz w:val="22"/>
          <w:szCs w:val="22"/>
          <w:u w:val="none"/>
        </w:rPr>
        <w:t xml:space="preserve"> </w:t>
      </w:r>
      <w:r w:rsidR="00BA3FF2" w:rsidRPr="00BA3FF2">
        <w:rPr>
          <w:color w:val="000000" w:themeColor="text1"/>
          <w:sz w:val="22"/>
          <w:szCs w:val="22"/>
        </w:rPr>
        <w:t>(</w:t>
      </w:r>
      <w:r w:rsidR="00BA3FF2" w:rsidRPr="00BA3FF2">
        <w:rPr>
          <w:i/>
          <w:color w:val="000000" w:themeColor="text1"/>
          <w:sz w:val="22"/>
          <w:szCs w:val="22"/>
        </w:rPr>
        <w:t>or go to</w:t>
      </w:r>
      <w:r w:rsidR="00BA3FF2" w:rsidRPr="00BA3FF2">
        <w:rPr>
          <w:color w:val="000000" w:themeColor="text1"/>
          <w:sz w:val="22"/>
          <w:szCs w:val="22"/>
        </w:rPr>
        <w:t xml:space="preserve"> </w:t>
      </w:r>
      <w:hyperlink r:id="rId19" w:history="1">
        <w:r w:rsidR="00BA3FF2" w:rsidRPr="00BA3FF2">
          <w:rPr>
            <w:rStyle w:val="Hyperlink"/>
            <w:color w:val="0432FF"/>
            <w:sz w:val="22"/>
            <w:szCs w:val="22"/>
          </w:rPr>
          <w:t>https://s3-us-west-2.amazonaws.com/peakcontent/+Peak+Commentary/04-09-18_Barrons-Tariff_Fears_and_a_Jobs_Report_Send_Stocks_Lower-Footnote_6.pdf</w:t>
        </w:r>
      </w:hyperlink>
      <w:r w:rsidR="00BA3FF2" w:rsidRPr="00BA3FF2">
        <w:rPr>
          <w:color w:val="000000" w:themeColor="text1"/>
          <w:sz w:val="22"/>
          <w:szCs w:val="22"/>
        </w:rPr>
        <w:t>)</w:t>
      </w:r>
    </w:p>
    <w:p w14:paraId="21A2D84B" w14:textId="58A89BB3" w:rsidR="009A139F" w:rsidRPr="00BA3FF2" w:rsidRDefault="00A6539E" w:rsidP="00BA5887">
      <w:pPr>
        <w:widowControl w:val="0"/>
        <w:adjustRightInd w:val="0"/>
        <w:ind w:right="-36"/>
        <w:rPr>
          <w:sz w:val="22"/>
          <w:szCs w:val="22"/>
        </w:rPr>
      </w:pPr>
      <w:hyperlink r:id="rId20" w:history="1">
        <w:r w:rsidR="000D08AF" w:rsidRPr="00BA3FF2">
          <w:rPr>
            <w:rStyle w:val="Hyperlink"/>
            <w:sz w:val="22"/>
            <w:szCs w:val="22"/>
          </w:rPr>
          <w:t>http://faculty.chicagobooth.edu/devin.pope/research/pdf/Website_Sports%20Econ%20Attention.pdf</w:t>
        </w:r>
      </w:hyperlink>
    </w:p>
    <w:p w14:paraId="4ADB83AC" w14:textId="7055382B" w:rsidR="000D08AF" w:rsidRPr="00BA5887" w:rsidRDefault="00A6539E" w:rsidP="00BA5887">
      <w:pPr>
        <w:widowControl w:val="0"/>
        <w:adjustRightInd w:val="0"/>
        <w:ind w:right="-36"/>
        <w:rPr>
          <w:color w:val="000000" w:themeColor="text1"/>
          <w:sz w:val="22"/>
          <w:szCs w:val="22"/>
        </w:rPr>
      </w:pPr>
      <w:hyperlink r:id="rId21" w:history="1">
        <w:r w:rsidR="006B186B" w:rsidRPr="00BA3FF2">
          <w:rPr>
            <w:rStyle w:val="Hyperlink"/>
            <w:sz w:val="22"/>
            <w:szCs w:val="22"/>
          </w:rPr>
          <w:t>https://bigfuture.collegeboard.org/college-search</w:t>
        </w:r>
      </w:hyperlink>
      <w:r w:rsidR="00BA5887">
        <w:rPr>
          <w:rStyle w:val="Hyperlink"/>
          <w:sz w:val="22"/>
          <w:szCs w:val="22"/>
          <w:u w:val="none"/>
        </w:rPr>
        <w:t xml:space="preserve"> </w:t>
      </w:r>
      <w:r w:rsidR="00BA5887">
        <w:rPr>
          <w:rStyle w:val="Hyperlink"/>
          <w:color w:val="000000" w:themeColor="text1"/>
          <w:sz w:val="22"/>
          <w:szCs w:val="22"/>
          <w:u w:val="none"/>
        </w:rPr>
        <w:t>(Pages 107-108; 127; and 128)</w:t>
      </w:r>
    </w:p>
    <w:p w14:paraId="6203FA41" w14:textId="238FC315" w:rsidR="006B186B" w:rsidRPr="00BA3FF2" w:rsidRDefault="00A6539E" w:rsidP="00BA5887">
      <w:pPr>
        <w:widowControl w:val="0"/>
        <w:adjustRightInd w:val="0"/>
        <w:ind w:right="-36"/>
        <w:rPr>
          <w:sz w:val="22"/>
          <w:szCs w:val="22"/>
        </w:rPr>
      </w:pPr>
      <w:hyperlink r:id="rId22" w:history="1">
        <w:r w:rsidR="00FD5EA6" w:rsidRPr="00BA3FF2">
          <w:rPr>
            <w:rStyle w:val="Hyperlink"/>
            <w:sz w:val="22"/>
            <w:szCs w:val="22"/>
          </w:rPr>
          <w:t>http://bleacherreport.com/articles/57090</w:t>
        </w:r>
      </w:hyperlink>
    </w:p>
    <w:p w14:paraId="72548D9E" w14:textId="77777777" w:rsidR="00FD5EA6" w:rsidRPr="00BA3FF2" w:rsidRDefault="00FD5EA6" w:rsidP="00BA5887">
      <w:pPr>
        <w:widowControl w:val="0"/>
        <w:adjustRightInd w:val="0"/>
        <w:ind w:right="-36"/>
        <w:rPr>
          <w:sz w:val="22"/>
          <w:szCs w:val="22"/>
        </w:rPr>
      </w:pPr>
    </w:p>
    <w:sectPr w:rsidR="00FD5EA6" w:rsidRPr="00BA3FF2" w:rsidSect="00BA5887">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010CF" w14:textId="77777777" w:rsidR="00A6539E" w:rsidRDefault="00A6539E" w:rsidP="006C05CA">
      <w:r>
        <w:separator/>
      </w:r>
    </w:p>
  </w:endnote>
  <w:endnote w:type="continuationSeparator" w:id="0">
    <w:p w14:paraId="7D0DB9D3" w14:textId="77777777" w:rsidR="00A6539E" w:rsidRDefault="00A6539E"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5BC8B" w14:textId="77777777" w:rsidR="00A6539E" w:rsidRDefault="00A6539E" w:rsidP="006C05CA">
      <w:r>
        <w:separator/>
      </w:r>
    </w:p>
  </w:footnote>
  <w:footnote w:type="continuationSeparator" w:id="0">
    <w:p w14:paraId="036E18F8" w14:textId="77777777" w:rsidR="00A6539E" w:rsidRDefault="00A6539E"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7CE"/>
    <w:multiLevelType w:val="hybridMultilevel"/>
    <w:tmpl w:val="488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41D90"/>
    <w:multiLevelType w:val="hybridMultilevel"/>
    <w:tmpl w:val="CABC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24088"/>
    <w:multiLevelType w:val="hybridMultilevel"/>
    <w:tmpl w:val="D4DE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104589"/>
    <w:multiLevelType w:val="hybridMultilevel"/>
    <w:tmpl w:val="CF7EA2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24C9D"/>
    <w:multiLevelType w:val="hybridMultilevel"/>
    <w:tmpl w:val="F54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6277B"/>
    <w:multiLevelType w:val="hybridMultilevel"/>
    <w:tmpl w:val="C5B0A6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369F3E6B"/>
    <w:multiLevelType w:val="hybridMultilevel"/>
    <w:tmpl w:val="C49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C025E"/>
    <w:multiLevelType w:val="hybridMultilevel"/>
    <w:tmpl w:val="19F8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20984"/>
    <w:multiLevelType w:val="hybridMultilevel"/>
    <w:tmpl w:val="9A7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D086B"/>
    <w:multiLevelType w:val="hybridMultilevel"/>
    <w:tmpl w:val="5E044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F5305"/>
    <w:multiLevelType w:val="hybridMultilevel"/>
    <w:tmpl w:val="4BD0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24D40"/>
    <w:multiLevelType w:val="hybridMultilevel"/>
    <w:tmpl w:val="C2305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41634"/>
    <w:multiLevelType w:val="hybridMultilevel"/>
    <w:tmpl w:val="D98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E50858"/>
    <w:multiLevelType w:val="hybridMultilevel"/>
    <w:tmpl w:val="B706F2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819C5"/>
    <w:multiLevelType w:val="hybridMultilevel"/>
    <w:tmpl w:val="B0F2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80313"/>
    <w:multiLevelType w:val="hybridMultilevel"/>
    <w:tmpl w:val="361A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865EEB"/>
    <w:multiLevelType w:val="hybridMultilevel"/>
    <w:tmpl w:val="43EC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208E6"/>
    <w:multiLevelType w:val="hybridMultilevel"/>
    <w:tmpl w:val="30D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049FC"/>
    <w:multiLevelType w:val="hybridMultilevel"/>
    <w:tmpl w:val="0C3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C863F6"/>
    <w:multiLevelType w:val="hybridMultilevel"/>
    <w:tmpl w:val="3782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E096CC0"/>
    <w:multiLevelType w:val="hybridMultilevel"/>
    <w:tmpl w:val="897A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A218D"/>
    <w:multiLevelType w:val="hybridMultilevel"/>
    <w:tmpl w:val="C56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0"/>
  </w:num>
  <w:num w:numId="4">
    <w:abstractNumId w:val="11"/>
  </w:num>
  <w:num w:numId="5">
    <w:abstractNumId w:val="21"/>
  </w:num>
  <w:num w:numId="6">
    <w:abstractNumId w:val="9"/>
  </w:num>
  <w:num w:numId="7">
    <w:abstractNumId w:val="16"/>
  </w:num>
  <w:num w:numId="8">
    <w:abstractNumId w:val="5"/>
  </w:num>
  <w:num w:numId="9">
    <w:abstractNumId w:val="8"/>
  </w:num>
  <w:num w:numId="10">
    <w:abstractNumId w:val="10"/>
  </w:num>
  <w:num w:numId="11">
    <w:abstractNumId w:val="12"/>
  </w:num>
  <w:num w:numId="12">
    <w:abstractNumId w:val="7"/>
  </w:num>
  <w:num w:numId="13">
    <w:abstractNumId w:val="3"/>
  </w:num>
  <w:num w:numId="14">
    <w:abstractNumId w:val="17"/>
  </w:num>
  <w:num w:numId="15">
    <w:abstractNumId w:val="6"/>
  </w:num>
  <w:num w:numId="16">
    <w:abstractNumId w:val="15"/>
  </w:num>
  <w:num w:numId="17">
    <w:abstractNumId w:val="14"/>
  </w:num>
  <w:num w:numId="18">
    <w:abstractNumId w:val="1"/>
  </w:num>
  <w:num w:numId="19">
    <w:abstractNumId w:val="4"/>
  </w:num>
  <w:num w:numId="20">
    <w:abstractNumId w:val="13"/>
  </w:num>
  <w:num w:numId="21">
    <w:abstractNumId w:val="19"/>
    <w:lvlOverride w:ilvl="0"/>
    <w:lvlOverride w:ilvl="1"/>
    <w:lvlOverride w:ilvl="2"/>
    <w:lvlOverride w:ilvl="3"/>
    <w:lvlOverride w:ilvl="4"/>
    <w:lvlOverride w:ilvl="5"/>
    <w:lvlOverride w:ilvl="6"/>
    <w:lvlOverride w:ilvl="7"/>
    <w:lvlOverride w:ilvl="8"/>
  </w:num>
  <w:num w:numId="2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BC"/>
    <w:rsid w:val="000002AC"/>
    <w:rsid w:val="00000432"/>
    <w:rsid w:val="00000AA6"/>
    <w:rsid w:val="00000C85"/>
    <w:rsid w:val="00000EDB"/>
    <w:rsid w:val="00000F87"/>
    <w:rsid w:val="00001010"/>
    <w:rsid w:val="00001196"/>
    <w:rsid w:val="000012E6"/>
    <w:rsid w:val="0000136C"/>
    <w:rsid w:val="00001682"/>
    <w:rsid w:val="000016A8"/>
    <w:rsid w:val="00001846"/>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ED2"/>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709"/>
    <w:rsid w:val="0001298B"/>
    <w:rsid w:val="00012A99"/>
    <w:rsid w:val="00012B1A"/>
    <w:rsid w:val="00012C29"/>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8D7"/>
    <w:rsid w:val="000168FD"/>
    <w:rsid w:val="00016A16"/>
    <w:rsid w:val="00016C34"/>
    <w:rsid w:val="00016D2D"/>
    <w:rsid w:val="00017347"/>
    <w:rsid w:val="000175AD"/>
    <w:rsid w:val="00017626"/>
    <w:rsid w:val="0001792E"/>
    <w:rsid w:val="00017BD5"/>
    <w:rsid w:val="00017C67"/>
    <w:rsid w:val="00017EA8"/>
    <w:rsid w:val="00017EF5"/>
    <w:rsid w:val="00020003"/>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98D"/>
    <w:rsid w:val="00021B7F"/>
    <w:rsid w:val="00021D8F"/>
    <w:rsid w:val="000220A4"/>
    <w:rsid w:val="000220F6"/>
    <w:rsid w:val="000221A1"/>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47C"/>
    <w:rsid w:val="000264E2"/>
    <w:rsid w:val="0002656A"/>
    <w:rsid w:val="00026677"/>
    <w:rsid w:val="0002689C"/>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450"/>
    <w:rsid w:val="000316D6"/>
    <w:rsid w:val="000317F4"/>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FA"/>
    <w:rsid w:val="000333DD"/>
    <w:rsid w:val="00033866"/>
    <w:rsid w:val="00033BA8"/>
    <w:rsid w:val="00033E53"/>
    <w:rsid w:val="0003444E"/>
    <w:rsid w:val="000344D2"/>
    <w:rsid w:val="000344D9"/>
    <w:rsid w:val="000345C3"/>
    <w:rsid w:val="00034626"/>
    <w:rsid w:val="0003464C"/>
    <w:rsid w:val="00034AE0"/>
    <w:rsid w:val="00034B35"/>
    <w:rsid w:val="00034BA5"/>
    <w:rsid w:val="00034D9C"/>
    <w:rsid w:val="00034E70"/>
    <w:rsid w:val="0003558A"/>
    <w:rsid w:val="00035689"/>
    <w:rsid w:val="000356F7"/>
    <w:rsid w:val="00035926"/>
    <w:rsid w:val="0003593A"/>
    <w:rsid w:val="00035C18"/>
    <w:rsid w:val="00035C7B"/>
    <w:rsid w:val="00035EEC"/>
    <w:rsid w:val="00036011"/>
    <w:rsid w:val="0003614A"/>
    <w:rsid w:val="0003667D"/>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41"/>
    <w:rsid w:val="000404F9"/>
    <w:rsid w:val="00040665"/>
    <w:rsid w:val="000407C9"/>
    <w:rsid w:val="00040B82"/>
    <w:rsid w:val="00040BDC"/>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698"/>
    <w:rsid w:val="00042903"/>
    <w:rsid w:val="00042B68"/>
    <w:rsid w:val="00042C9A"/>
    <w:rsid w:val="00042DF8"/>
    <w:rsid w:val="00042EC9"/>
    <w:rsid w:val="00042FA7"/>
    <w:rsid w:val="00043031"/>
    <w:rsid w:val="0004309D"/>
    <w:rsid w:val="00043270"/>
    <w:rsid w:val="000433F1"/>
    <w:rsid w:val="0004348D"/>
    <w:rsid w:val="00043718"/>
    <w:rsid w:val="0004388E"/>
    <w:rsid w:val="00043AEB"/>
    <w:rsid w:val="00043C4C"/>
    <w:rsid w:val="00043CDB"/>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87E"/>
    <w:rsid w:val="00051A4A"/>
    <w:rsid w:val="00051AAE"/>
    <w:rsid w:val="00051FC5"/>
    <w:rsid w:val="00052043"/>
    <w:rsid w:val="000521CE"/>
    <w:rsid w:val="000523FF"/>
    <w:rsid w:val="00052460"/>
    <w:rsid w:val="000524C8"/>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62C"/>
    <w:rsid w:val="0005599D"/>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238"/>
    <w:rsid w:val="000612C1"/>
    <w:rsid w:val="000612F2"/>
    <w:rsid w:val="00061340"/>
    <w:rsid w:val="00061426"/>
    <w:rsid w:val="00061551"/>
    <w:rsid w:val="000615E5"/>
    <w:rsid w:val="00061700"/>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916"/>
    <w:rsid w:val="00062AEF"/>
    <w:rsid w:val="00062B91"/>
    <w:rsid w:val="00062BC0"/>
    <w:rsid w:val="00062C0C"/>
    <w:rsid w:val="00062E1B"/>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209"/>
    <w:rsid w:val="0007133D"/>
    <w:rsid w:val="000713E0"/>
    <w:rsid w:val="00071403"/>
    <w:rsid w:val="00071413"/>
    <w:rsid w:val="00071880"/>
    <w:rsid w:val="000719F7"/>
    <w:rsid w:val="00071A76"/>
    <w:rsid w:val="00071B2C"/>
    <w:rsid w:val="00071C6E"/>
    <w:rsid w:val="00071CA2"/>
    <w:rsid w:val="00071D00"/>
    <w:rsid w:val="00071D27"/>
    <w:rsid w:val="00071E5D"/>
    <w:rsid w:val="00072416"/>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95"/>
    <w:rsid w:val="000740CE"/>
    <w:rsid w:val="00074234"/>
    <w:rsid w:val="00074283"/>
    <w:rsid w:val="00074378"/>
    <w:rsid w:val="000744AA"/>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760"/>
    <w:rsid w:val="00077A3A"/>
    <w:rsid w:val="00077BDD"/>
    <w:rsid w:val="00077CD1"/>
    <w:rsid w:val="00077E91"/>
    <w:rsid w:val="000800E2"/>
    <w:rsid w:val="00080109"/>
    <w:rsid w:val="000801F1"/>
    <w:rsid w:val="00080369"/>
    <w:rsid w:val="000803CB"/>
    <w:rsid w:val="00080426"/>
    <w:rsid w:val="0008058E"/>
    <w:rsid w:val="000805A0"/>
    <w:rsid w:val="00080757"/>
    <w:rsid w:val="00080A81"/>
    <w:rsid w:val="00080BFE"/>
    <w:rsid w:val="0008100A"/>
    <w:rsid w:val="0008120E"/>
    <w:rsid w:val="0008141E"/>
    <w:rsid w:val="00081525"/>
    <w:rsid w:val="000818CD"/>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B6D"/>
    <w:rsid w:val="00083C61"/>
    <w:rsid w:val="00083CDA"/>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A11"/>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40"/>
    <w:rsid w:val="00092A62"/>
    <w:rsid w:val="00092B92"/>
    <w:rsid w:val="000930FB"/>
    <w:rsid w:val="00093120"/>
    <w:rsid w:val="00093475"/>
    <w:rsid w:val="000935BF"/>
    <w:rsid w:val="00093BEF"/>
    <w:rsid w:val="0009446A"/>
    <w:rsid w:val="00094983"/>
    <w:rsid w:val="00094A0E"/>
    <w:rsid w:val="00094A2A"/>
    <w:rsid w:val="00094BED"/>
    <w:rsid w:val="00094CB2"/>
    <w:rsid w:val="00094CD4"/>
    <w:rsid w:val="00094F4B"/>
    <w:rsid w:val="00094F64"/>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E6A"/>
    <w:rsid w:val="000A0070"/>
    <w:rsid w:val="000A00BC"/>
    <w:rsid w:val="000A0144"/>
    <w:rsid w:val="000A02A9"/>
    <w:rsid w:val="000A02FC"/>
    <w:rsid w:val="000A0379"/>
    <w:rsid w:val="000A04C1"/>
    <w:rsid w:val="000A0727"/>
    <w:rsid w:val="000A072F"/>
    <w:rsid w:val="000A0999"/>
    <w:rsid w:val="000A0B34"/>
    <w:rsid w:val="000A0BAB"/>
    <w:rsid w:val="000A0F54"/>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7F"/>
    <w:rsid w:val="000A2290"/>
    <w:rsid w:val="000A22E9"/>
    <w:rsid w:val="000A2302"/>
    <w:rsid w:val="000A25E1"/>
    <w:rsid w:val="000A29F2"/>
    <w:rsid w:val="000A2AB5"/>
    <w:rsid w:val="000A2BC7"/>
    <w:rsid w:val="000A32BB"/>
    <w:rsid w:val="000A3619"/>
    <w:rsid w:val="000A372E"/>
    <w:rsid w:val="000A38D6"/>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81"/>
    <w:rsid w:val="000A5BD6"/>
    <w:rsid w:val="000A5CDE"/>
    <w:rsid w:val="000A5F84"/>
    <w:rsid w:val="000A607B"/>
    <w:rsid w:val="000A6269"/>
    <w:rsid w:val="000A642B"/>
    <w:rsid w:val="000A65F0"/>
    <w:rsid w:val="000A66F8"/>
    <w:rsid w:val="000A6895"/>
    <w:rsid w:val="000A69EA"/>
    <w:rsid w:val="000A70BE"/>
    <w:rsid w:val="000A76C1"/>
    <w:rsid w:val="000A7702"/>
    <w:rsid w:val="000A7A84"/>
    <w:rsid w:val="000A7AC5"/>
    <w:rsid w:val="000A7D48"/>
    <w:rsid w:val="000A7FFE"/>
    <w:rsid w:val="000B0102"/>
    <w:rsid w:val="000B019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A1A"/>
    <w:rsid w:val="000B1A20"/>
    <w:rsid w:val="000B1ACE"/>
    <w:rsid w:val="000B1B4C"/>
    <w:rsid w:val="000B1E4E"/>
    <w:rsid w:val="000B1F02"/>
    <w:rsid w:val="000B1FEF"/>
    <w:rsid w:val="000B2275"/>
    <w:rsid w:val="000B2536"/>
    <w:rsid w:val="000B2574"/>
    <w:rsid w:val="000B2758"/>
    <w:rsid w:val="000B277F"/>
    <w:rsid w:val="000B28E4"/>
    <w:rsid w:val="000B2929"/>
    <w:rsid w:val="000B2A3D"/>
    <w:rsid w:val="000B2E4D"/>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283"/>
    <w:rsid w:val="000B56BF"/>
    <w:rsid w:val="000B572D"/>
    <w:rsid w:val="000B59A1"/>
    <w:rsid w:val="000B5A99"/>
    <w:rsid w:val="000B5B59"/>
    <w:rsid w:val="000B5BA5"/>
    <w:rsid w:val="000B5E2F"/>
    <w:rsid w:val="000B5ECD"/>
    <w:rsid w:val="000B5F6D"/>
    <w:rsid w:val="000B638D"/>
    <w:rsid w:val="000B6546"/>
    <w:rsid w:val="000B693F"/>
    <w:rsid w:val="000B7475"/>
    <w:rsid w:val="000B74D8"/>
    <w:rsid w:val="000B752C"/>
    <w:rsid w:val="000B760C"/>
    <w:rsid w:val="000B76B2"/>
    <w:rsid w:val="000B7759"/>
    <w:rsid w:val="000B78C6"/>
    <w:rsid w:val="000B7936"/>
    <w:rsid w:val="000B7A21"/>
    <w:rsid w:val="000B7CAF"/>
    <w:rsid w:val="000B7D1D"/>
    <w:rsid w:val="000C0261"/>
    <w:rsid w:val="000C028F"/>
    <w:rsid w:val="000C142E"/>
    <w:rsid w:val="000C1554"/>
    <w:rsid w:val="000C156F"/>
    <w:rsid w:val="000C1878"/>
    <w:rsid w:val="000C196A"/>
    <w:rsid w:val="000C1B87"/>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94D"/>
    <w:rsid w:val="000C4A09"/>
    <w:rsid w:val="000C4B62"/>
    <w:rsid w:val="000C4CE0"/>
    <w:rsid w:val="000C4D15"/>
    <w:rsid w:val="000C4DCA"/>
    <w:rsid w:val="000C4F70"/>
    <w:rsid w:val="000C5132"/>
    <w:rsid w:val="000C51F1"/>
    <w:rsid w:val="000C53D8"/>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C9"/>
    <w:rsid w:val="000D1A4F"/>
    <w:rsid w:val="000D1CC1"/>
    <w:rsid w:val="000D1F3E"/>
    <w:rsid w:val="000D20BC"/>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34F"/>
    <w:rsid w:val="000D444E"/>
    <w:rsid w:val="000D467C"/>
    <w:rsid w:val="000D486E"/>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770"/>
    <w:rsid w:val="000D7A53"/>
    <w:rsid w:val="000D7B9E"/>
    <w:rsid w:val="000D7E58"/>
    <w:rsid w:val="000E00EF"/>
    <w:rsid w:val="000E0506"/>
    <w:rsid w:val="000E0B0D"/>
    <w:rsid w:val="000E0B2D"/>
    <w:rsid w:val="000E0B82"/>
    <w:rsid w:val="000E0DE2"/>
    <w:rsid w:val="000E0ED1"/>
    <w:rsid w:val="000E0EE6"/>
    <w:rsid w:val="000E106F"/>
    <w:rsid w:val="000E1176"/>
    <w:rsid w:val="000E1302"/>
    <w:rsid w:val="000E1396"/>
    <w:rsid w:val="000E141A"/>
    <w:rsid w:val="000E1421"/>
    <w:rsid w:val="000E164D"/>
    <w:rsid w:val="000E175E"/>
    <w:rsid w:val="000E1959"/>
    <w:rsid w:val="000E1A25"/>
    <w:rsid w:val="000E1B58"/>
    <w:rsid w:val="000E1BAB"/>
    <w:rsid w:val="000E1C50"/>
    <w:rsid w:val="000E1F0E"/>
    <w:rsid w:val="000E2056"/>
    <w:rsid w:val="000E2112"/>
    <w:rsid w:val="000E21C6"/>
    <w:rsid w:val="000E21CD"/>
    <w:rsid w:val="000E2705"/>
    <w:rsid w:val="000E2906"/>
    <w:rsid w:val="000E2C80"/>
    <w:rsid w:val="000E2CCC"/>
    <w:rsid w:val="000E2CCD"/>
    <w:rsid w:val="000E2DDB"/>
    <w:rsid w:val="000E305A"/>
    <w:rsid w:val="000E3134"/>
    <w:rsid w:val="000E31BA"/>
    <w:rsid w:val="000E32A1"/>
    <w:rsid w:val="000E34B4"/>
    <w:rsid w:val="000E363C"/>
    <w:rsid w:val="000E369D"/>
    <w:rsid w:val="000E37F2"/>
    <w:rsid w:val="000E3AFA"/>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F6F"/>
    <w:rsid w:val="000F0153"/>
    <w:rsid w:val="000F0478"/>
    <w:rsid w:val="000F0640"/>
    <w:rsid w:val="000F07FB"/>
    <w:rsid w:val="000F0921"/>
    <w:rsid w:val="000F092D"/>
    <w:rsid w:val="000F0CAD"/>
    <w:rsid w:val="000F0D70"/>
    <w:rsid w:val="000F0E46"/>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77"/>
    <w:rsid w:val="000F22AF"/>
    <w:rsid w:val="000F22CE"/>
    <w:rsid w:val="000F2311"/>
    <w:rsid w:val="000F2460"/>
    <w:rsid w:val="000F249C"/>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6D4"/>
    <w:rsid w:val="000F38ED"/>
    <w:rsid w:val="000F399C"/>
    <w:rsid w:val="000F39B6"/>
    <w:rsid w:val="000F40C3"/>
    <w:rsid w:val="000F4133"/>
    <w:rsid w:val="000F4200"/>
    <w:rsid w:val="000F421C"/>
    <w:rsid w:val="000F442F"/>
    <w:rsid w:val="000F4453"/>
    <w:rsid w:val="000F44A0"/>
    <w:rsid w:val="000F45F9"/>
    <w:rsid w:val="000F487D"/>
    <w:rsid w:val="000F4A39"/>
    <w:rsid w:val="000F4A9A"/>
    <w:rsid w:val="000F4B6B"/>
    <w:rsid w:val="000F4C73"/>
    <w:rsid w:val="000F4D97"/>
    <w:rsid w:val="000F4DDC"/>
    <w:rsid w:val="000F4F6A"/>
    <w:rsid w:val="000F52A8"/>
    <w:rsid w:val="000F5B3E"/>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827"/>
    <w:rsid w:val="00100CED"/>
    <w:rsid w:val="00100E7D"/>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7E"/>
    <w:rsid w:val="001034CF"/>
    <w:rsid w:val="001035EC"/>
    <w:rsid w:val="0010362F"/>
    <w:rsid w:val="00103773"/>
    <w:rsid w:val="00103BFB"/>
    <w:rsid w:val="00103C61"/>
    <w:rsid w:val="00103D2D"/>
    <w:rsid w:val="00103E0C"/>
    <w:rsid w:val="00103E5C"/>
    <w:rsid w:val="00103E7E"/>
    <w:rsid w:val="001041E1"/>
    <w:rsid w:val="00104299"/>
    <w:rsid w:val="0010480D"/>
    <w:rsid w:val="00104AFA"/>
    <w:rsid w:val="00104BF5"/>
    <w:rsid w:val="00105090"/>
    <w:rsid w:val="0010511D"/>
    <w:rsid w:val="001051D1"/>
    <w:rsid w:val="0010531B"/>
    <w:rsid w:val="001055E4"/>
    <w:rsid w:val="00105987"/>
    <w:rsid w:val="001059FC"/>
    <w:rsid w:val="00105B5A"/>
    <w:rsid w:val="00105CC8"/>
    <w:rsid w:val="00105D5F"/>
    <w:rsid w:val="00105E36"/>
    <w:rsid w:val="00105E81"/>
    <w:rsid w:val="00105EC1"/>
    <w:rsid w:val="0010608B"/>
    <w:rsid w:val="0010672D"/>
    <w:rsid w:val="00106773"/>
    <w:rsid w:val="001069B4"/>
    <w:rsid w:val="001069E8"/>
    <w:rsid w:val="00107006"/>
    <w:rsid w:val="00107007"/>
    <w:rsid w:val="00107098"/>
    <w:rsid w:val="0010748D"/>
    <w:rsid w:val="00107539"/>
    <w:rsid w:val="0010756B"/>
    <w:rsid w:val="00107790"/>
    <w:rsid w:val="00107886"/>
    <w:rsid w:val="001079DF"/>
    <w:rsid w:val="00107A09"/>
    <w:rsid w:val="00107B6E"/>
    <w:rsid w:val="00107BE2"/>
    <w:rsid w:val="00107C11"/>
    <w:rsid w:val="00107C87"/>
    <w:rsid w:val="00107F07"/>
    <w:rsid w:val="00107FE6"/>
    <w:rsid w:val="00110115"/>
    <w:rsid w:val="001101D9"/>
    <w:rsid w:val="00110425"/>
    <w:rsid w:val="001105E7"/>
    <w:rsid w:val="00110613"/>
    <w:rsid w:val="0011062F"/>
    <w:rsid w:val="00110A41"/>
    <w:rsid w:val="00110D30"/>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CD4"/>
    <w:rsid w:val="00112E62"/>
    <w:rsid w:val="00112E74"/>
    <w:rsid w:val="001130E0"/>
    <w:rsid w:val="00113109"/>
    <w:rsid w:val="00113238"/>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87"/>
    <w:rsid w:val="001161F4"/>
    <w:rsid w:val="001163BA"/>
    <w:rsid w:val="001166C9"/>
    <w:rsid w:val="00116960"/>
    <w:rsid w:val="00116ACF"/>
    <w:rsid w:val="00116B23"/>
    <w:rsid w:val="00116BEA"/>
    <w:rsid w:val="00116D80"/>
    <w:rsid w:val="00116F2A"/>
    <w:rsid w:val="001172BA"/>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4A"/>
    <w:rsid w:val="00120AAB"/>
    <w:rsid w:val="00120C59"/>
    <w:rsid w:val="00120F93"/>
    <w:rsid w:val="0012116E"/>
    <w:rsid w:val="001211DA"/>
    <w:rsid w:val="00121306"/>
    <w:rsid w:val="0012140A"/>
    <w:rsid w:val="001216D5"/>
    <w:rsid w:val="00121756"/>
    <w:rsid w:val="001217D7"/>
    <w:rsid w:val="00121958"/>
    <w:rsid w:val="001219D9"/>
    <w:rsid w:val="00121AB4"/>
    <w:rsid w:val="00121B65"/>
    <w:rsid w:val="00121C92"/>
    <w:rsid w:val="00121E21"/>
    <w:rsid w:val="00121F01"/>
    <w:rsid w:val="0012206A"/>
    <w:rsid w:val="0012254D"/>
    <w:rsid w:val="0012285D"/>
    <w:rsid w:val="00122920"/>
    <w:rsid w:val="00122C4A"/>
    <w:rsid w:val="00122F33"/>
    <w:rsid w:val="00122F9D"/>
    <w:rsid w:val="001230A9"/>
    <w:rsid w:val="0012310F"/>
    <w:rsid w:val="0012326B"/>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A5"/>
    <w:rsid w:val="00125119"/>
    <w:rsid w:val="001251BA"/>
    <w:rsid w:val="0012581F"/>
    <w:rsid w:val="001258A6"/>
    <w:rsid w:val="00125E04"/>
    <w:rsid w:val="00125F52"/>
    <w:rsid w:val="0012635E"/>
    <w:rsid w:val="00126439"/>
    <w:rsid w:val="00126735"/>
    <w:rsid w:val="001268F8"/>
    <w:rsid w:val="0012691B"/>
    <w:rsid w:val="00126A19"/>
    <w:rsid w:val="00126D7A"/>
    <w:rsid w:val="00126E8A"/>
    <w:rsid w:val="0012700A"/>
    <w:rsid w:val="00127502"/>
    <w:rsid w:val="0012755B"/>
    <w:rsid w:val="0012769C"/>
    <w:rsid w:val="001276AB"/>
    <w:rsid w:val="001278C1"/>
    <w:rsid w:val="00127A72"/>
    <w:rsid w:val="00127A85"/>
    <w:rsid w:val="00127AE9"/>
    <w:rsid w:val="00127C94"/>
    <w:rsid w:val="00127D76"/>
    <w:rsid w:val="00127E63"/>
    <w:rsid w:val="00127FBF"/>
    <w:rsid w:val="00130157"/>
    <w:rsid w:val="00130297"/>
    <w:rsid w:val="0013044F"/>
    <w:rsid w:val="00130572"/>
    <w:rsid w:val="001305B8"/>
    <w:rsid w:val="00130694"/>
    <w:rsid w:val="0013069F"/>
    <w:rsid w:val="00130A8D"/>
    <w:rsid w:val="00130AB0"/>
    <w:rsid w:val="00130C8B"/>
    <w:rsid w:val="001310E7"/>
    <w:rsid w:val="0013113E"/>
    <w:rsid w:val="001314F1"/>
    <w:rsid w:val="001314F8"/>
    <w:rsid w:val="001316BE"/>
    <w:rsid w:val="0013171B"/>
    <w:rsid w:val="00131754"/>
    <w:rsid w:val="00131DDF"/>
    <w:rsid w:val="00131FDE"/>
    <w:rsid w:val="001324C8"/>
    <w:rsid w:val="0013263E"/>
    <w:rsid w:val="0013276B"/>
    <w:rsid w:val="001327E4"/>
    <w:rsid w:val="00132880"/>
    <w:rsid w:val="001329F3"/>
    <w:rsid w:val="00132A5F"/>
    <w:rsid w:val="00132BE1"/>
    <w:rsid w:val="00132FAE"/>
    <w:rsid w:val="00133196"/>
    <w:rsid w:val="001331E4"/>
    <w:rsid w:val="001334C7"/>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41"/>
    <w:rsid w:val="001358B3"/>
    <w:rsid w:val="0013594B"/>
    <w:rsid w:val="001359F9"/>
    <w:rsid w:val="00135A15"/>
    <w:rsid w:val="00135D16"/>
    <w:rsid w:val="00135DBB"/>
    <w:rsid w:val="0013602E"/>
    <w:rsid w:val="00136392"/>
    <w:rsid w:val="00136429"/>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54"/>
    <w:rsid w:val="00141028"/>
    <w:rsid w:val="00141141"/>
    <w:rsid w:val="0014124A"/>
    <w:rsid w:val="00141855"/>
    <w:rsid w:val="00141C06"/>
    <w:rsid w:val="00141C7B"/>
    <w:rsid w:val="00141D3C"/>
    <w:rsid w:val="00141DE1"/>
    <w:rsid w:val="00141F89"/>
    <w:rsid w:val="00141FB0"/>
    <w:rsid w:val="001424F2"/>
    <w:rsid w:val="00142706"/>
    <w:rsid w:val="001428AA"/>
    <w:rsid w:val="00142C9F"/>
    <w:rsid w:val="00142E60"/>
    <w:rsid w:val="00142EC6"/>
    <w:rsid w:val="00143167"/>
    <w:rsid w:val="001433CB"/>
    <w:rsid w:val="0014345E"/>
    <w:rsid w:val="001437AB"/>
    <w:rsid w:val="00143A24"/>
    <w:rsid w:val="00143C3E"/>
    <w:rsid w:val="00143CE5"/>
    <w:rsid w:val="00143FAF"/>
    <w:rsid w:val="00144005"/>
    <w:rsid w:val="00144191"/>
    <w:rsid w:val="00144286"/>
    <w:rsid w:val="0014428A"/>
    <w:rsid w:val="001443E6"/>
    <w:rsid w:val="0014471D"/>
    <w:rsid w:val="00144979"/>
    <w:rsid w:val="00144B16"/>
    <w:rsid w:val="00144B5C"/>
    <w:rsid w:val="00144BA0"/>
    <w:rsid w:val="00144BD1"/>
    <w:rsid w:val="00144BDB"/>
    <w:rsid w:val="00144DF3"/>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C3A"/>
    <w:rsid w:val="00151DDB"/>
    <w:rsid w:val="00151F08"/>
    <w:rsid w:val="00151F21"/>
    <w:rsid w:val="00151F2D"/>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BB"/>
    <w:rsid w:val="00154018"/>
    <w:rsid w:val="0015425D"/>
    <w:rsid w:val="001542AF"/>
    <w:rsid w:val="001546B2"/>
    <w:rsid w:val="001546C5"/>
    <w:rsid w:val="001547BA"/>
    <w:rsid w:val="00154A6D"/>
    <w:rsid w:val="00154C08"/>
    <w:rsid w:val="00154E3D"/>
    <w:rsid w:val="00154E55"/>
    <w:rsid w:val="0015522A"/>
    <w:rsid w:val="001552C3"/>
    <w:rsid w:val="00155437"/>
    <w:rsid w:val="00155632"/>
    <w:rsid w:val="0015585B"/>
    <w:rsid w:val="0015586B"/>
    <w:rsid w:val="00155B04"/>
    <w:rsid w:val="00155D20"/>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463"/>
    <w:rsid w:val="001624FD"/>
    <w:rsid w:val="00162594"/>
    <w:rsid w:val="001625B5"/>
    <w:rsid w:val="00162630"/>
    <w:rsid w:val="00162668"/>
    <w:rsid w:val="001626B2"/>
    <w:rsid w:val="00162A00"/>
    <w:rsid w:val="00162D32"/>
    <w:rsid w:val="00162D51"/>
    <w:rsid w:val="00162D70"/>
    <w:rsid w:val="00162D75"/>
    <w:rsid w:val="00162E8C"/>
    <w:rsid w:val="00162E99"/>
    <w:rsid w:val="0016317B"/>
    <w:rsid w:val="001631CA"/>
    <w:rsid w:val="00163254"/>
    <w:rsid w:val="00163458"/>
    <w:rsid w:val="001634D7"/>
    <w:rsid w:val="00163512"/>
    <w:rsid w:val="0016353C"/>
    <w:rsid w:val="00163940"/>
    <w:rsid w:val="00163A57"/>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982"/>
    <w:rsid w:val="00165A66"/>
    <w:rsid w:val="0016637E"/>
    <w:rsid w:val="001664CE"/>
    <w:rsid w:val="0016687B"/>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A1E"/>
    <w:rsid w:val="00172B18"/>
    <w:rsid w:val="00172B8E"/>
    <w:rsid w:val="00172E1B"/>
    <w:rsid w:val="00172EA7"/>
    <w:rsid w:val="00172F16"/>
    <w:rsid w:val="00172F93"/>
    <w:rsid w:val="00172FD6"/>
    <w:rsid w:val="001730AF"/>
    <w:rsid w:val="0017314E"/>
    <w:rsid w:val="00173262"/>
    <w:rsid w:val="00173386"/>
    <w:rsid w:val="001738D3"/>
    <w:rsid w:val="00173C9B"/>
    <w:rsid w:val="00173D28"/>
    <w:rsid w:val="00174022"/>
    <w:rsid w:val="00174128"/>
    <w:rsid w:val="00174156"/>
    <w:rsid w:val="0017419A"/>
    <w:rsid w:val="00174375"/>
    <w:rsid w:val="001744CB"/>
    <w:rsid w:val="0017450D"/>
    <w:rsid w:val="00174601"/>
    <w:rsid w:val="00174BB4"/>
    <w:rsid w:val="00174C52"/>
    <w:rsid w:val="00174F83"/>
    <w:rsid w:val="00175307"/>
    <w:rsid w:val="00175770"/>
    <w:rsid w:val="00175809"/>
    <w:rsid w:val="001758D0"/>
    <w:rsid w:val="00175937"/>
    <w:rsid w:val="00175D79"/>
    <w:rsid w:val="00175E2C"/>
    <w:rsid w:val="00176399"/>
    <w:rsid w:val="001767C9"/>
    <w:rsid w:val="00176820"/>
    <w:rsid w:val="00176852"/>
    <w:rsid w:val="00176B0A"/>
    <w:rsid w:val="00176C65"/>
    <w:rsid w:val="00176DDC"/>
    <w:rsid w:val="00176F6C"/>
    <w:rsid w:val="0017766E"/>
    <w:rsid w:val="00177831"/>
    <w:rsid w:val="00177B71"/>
    <w:rsid w:val="00177BE3"/>
    <w:rsid w:val="00177C39"/>
    <w:rsid w:val="00177E0F"/>
    <w:rsid w:val="00177ED4"/>
    <w:rsid w:val="0018006C"/>
    <w:rsid w:val="00180181"/>
    <w:rsid w:val="00180405"/>
    <w:rsid w:val="001804EE"/>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73"/>
    <w:rsid w:val="00182BEB"/>
    <w:rsid w:val="00182C12"/>
    <w:rsid w:val="00182E6D"/>
    <w:rsid w:val="00182FED"/>
    <w:rsid w:val="001830EC"/>
    <w:rsid w:val="0018322E"/>
    <w:rsid w:val="0018346B"/>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61F5"/>
    <w:rsid w:val="001863AE"/>
    <w:rsid w:val="00186955"/>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15FB"/>
    <w:rsid w:val="00191877"/>
    <w:rsid w:val="00191A36"/>
    <w:rsid w:val="00191AD7"/>
    <w:rsid w:val="00191CAD"/>
    <w:rsid w:val="00191E7A"/>
    <w:rsid w:val="00191F39"/>
    <w:rsid w:val="00192302"/>
    <w:rsid w:val="00192487"/>
    <w:rsid w:val="00192AF1"/>
    <w:rsid w:val="00192C3A"/>
    <w:rsid w:val="00193122"/>
    <w:rsid w:val="00193178"/>
    <w:rsid w:val="0019367E"/>
    <w:rsid w:val="00193873"/>
    <w:rsid w:val="001939AC"/>
    <w:rsid w:val="00193D91"/>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0B5"/>
    <w:rsid w:val="001962CB"/>
    <w:rsid w:val="001963EC"/>
    <w:rsid w:val="00196520"/>
    <w:rsid w:val="0019652F"/>
    <w:rsid w:val="0019665B"/>
    <w:rsid w:val="00196892"/>
    <w:rsid w:val="0019695E"/>
    <w:rsid w:val="00196990"/>
    <w:rsid w:val="00196CC2"/>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B9B"/>
    <w:rsid w:val="001A4BCB"/>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317"/>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10F4"/>
    <w:rsid w:val="001B1155"/>
    <w:rsid w:val="001B137C"/>
    <w:rsid w:val="001B15E2"/>
    <w:rsid w:val="001B1722"/>
    <w:rsid w:val="001B1770"/>
    <w:rsid w:val="001B198E"/>
    <w:rsid w:val="001B1A0A"/>
    <w:rsid w:val="001B1B33"/>
    <w:rsid w:val="001B1B45"/>
    <w:rsid w:val="001B1E9C"/>
    <w:rsid w:val="001B1FEF"/>
    <w:rsid w:val="001B200F"/>
    <w:rsid w:val="001B2033"/>
    <w:rsid w:val="001B204F"/>
    <w:rsid w:val="001B2135"/>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B09"/>
    <w:rsid w:val="001B5BC2"/>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C8F"/>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D20"/>
    <w:rsid w:val="001C3DEA"/>
    <w:rsid w:val="001C3EF4"/>
    <w:rsid w:val="001C40FB"/>
    <w:rsid w:val="001C42DA"/>
    <w:rsid w:val="001C4440"/>
    <w:rsid w:val="001C44B6"/>
    <w:rsid w:val="001C44C2"/>
    <w:rsid w:val="001C45F7"/>
    <w:rsid w:val="001C49AF"/>
    <w:rsid w:val="001C4B1F"/>
    <w:rsid w:val="001C4C36"/>
    <w:rsid w:val="001C4FF8"/>
    <w:rsid w:val="001C5197"/>
    <w:rsid w:val="001C5313"/>
    <w:rsid w:val="001C53AE"/>
    <w:rsid w:val="001C562A"/>
    <w:rsid w:val="001C5853"/>
    <w:rsid w:val="001C59DA"/>
    <w:rsid w:val="001C5AAF"/>
    <w:rsid w:val="001C5D05"/>
    <w:rsid w:val="001C5D1E"/>
    <w:rsid w:val="001C5DBF"/>
    <w:rsid w:val="001C5E69"/>
    <w:rsid w:val="001C5FFC"/>
    <w:rsid w:val="001C658E"/>
    <w:rsid w:val="001C6811"/>
    <w:rsid w:val="001C6BA5"/>
    <w:rsid w:val="001C6DDC"/>
    <w:rsid w:val="001C7851"/>
    <w:rsid w:val="001C7A61"/>
    <w:rsid w:val="001C7BA3"/>
    <w:rsid w:val="001C7C53"/>
    <w:rsid w:val="001C7EB5"/>
    <w:rsid w:val="001C7F06"/>
    <w:rsid w:val="001D01C8"/>
    <w:rsid w:val="001D029C"/>
    <w:rsid w:val="001D0486"/>
    <w:rsid w:val="001D04C2"/>
    <w:rsid w:val="001D06CA"/>
    <w:rsid w:val="001D16E9"/>
    <w:rsid w:val="001D170C"/>
    <w:rsid w:val="001D1756"/>
    <w:rsid w:val="001D1A5D"/>
    <w:rsid w:val="001D1ADF"/>
    <w:rsid w:val="001D1BAC"/>
    <w:rsid w:val="001D1ECA"/>
    <w:rsid w:val="001D1F42"/>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49A"/>
    <w:rsid w:val="001D34D8"/>
    <w:rsid w:val="001D37F3"/>
    <w:rsid w:val="001D3863"/>
    <w:rsid w:val="001D3AAF"/>
    <w:rsid w:val="001D3ABC"/>
    <w:rsid w:val="001D3B02"/>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3D"/>
    <w:rsid w:val="001D62B0"/>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469"/>
    <w:rsid w:val="001E2B6D"/>
    <w:rsid w:val="001E2C7B"/>
    <w:rsid w:val="001E2CF5"/>
    <w:rsid w:val="001E31AB"/>
    <w:rsid w:val="001E324F"/>
    <w:rsid w:val="001E32F3"/>
    <w:rsid w:val="001E3357"/>
    <w:rsid w:val="001E33D3"/>
    <w:rsid w:val="001E3452"/>
    <w:rsid w:val="001E3648"/>
    <w:rsid w:val="001E381A"/>
    <w:rsid w:val="001E3AF9"/>
    <w:rsid w:val="001E3B03"/>
    <w:rsid w:val="001E3E2B"/>
    <w:rsid w:val="001E3F63"/>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B22"/>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E1"/>
    <w:rsid w:val="001E7F2C"/>
    <w:rsid w:val="001F017F"/>
    <w:rsid w:val="001F01B8"/>
    <w:rsid w:val="001F02A7"/>
    <w:rsid w:val="001F0708"/>
    <w:rsid w:val="001F08AF"/>
    <w:rsid w:val="001F0B1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FA"/>
    <w:rsid w:val="00203476"/>
    <w:rsid w:val="00203567"/>
    <w:rsid w:val="0020358D"/>
    <w:rsid w:val="0020365A"/>
    <w:rsid w:val="002037E8"/>
    <w:rsid w:val="002038E3"/>
    <w:rsid w:val="00203932"/>
    <w:rsid w:val="00203C13"/>
    <w:rsid w:val="00203C66"/>
    <w:rsid w:val="00203CAF"/>
    <w:rsid w:val="00204283"/>
    <w:rsid w:val="0020481F"/>
    <w:rsid w:val="00204831"/>
    <w:rsid w:val="00204898"/>
    <w:rsid w:val="0020498B"/>
    <w:rsid w:val="002049AC"/>
    <w:rsid w:val="00204F53"/>
    <w:rsid w:val="00205495"/>
    <w:rsid w:val="002055B3"/>
    <w:rsid w:val="0020566F"/>
    <w:rsid w:val="002059C7"/>
    <w:rsid w:val="00205A73"/>
    <w:rsid w:val="00205C95"/>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D7"/>
    <w:rsid w:val="00211065"/>
    <w:rsid w:val="002111EB"/>
    <w:rsid w:val="00211543"/>
    <w:rsid w:val="0021194F"/>
    <w:rsid w:val="00211AF4"/>
    <w:rsid w:val="00211AFF"/>
    <w:rsid w:val="00211D7E"/>
    <w:rsid w:val="00211E11"/>
    <w:rsid w:val="002122B2"/>
    <w:rsid w:val="002122DF"/>
    <w:rsid w:val="00212522"/>
    <w:rsid w:val="002125D2"/>
    <w:rsid w:val="002126CB"/>
    <w:rsid w:val="00212880"/>
    <w:rsid w:val="00212977"/>
    <w:rsid w:val="002129BC"/>
    <w:rsid w:val="00212ABC"/>
    <w:rsid w:val="00212BF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200"/>
    <w:rsid w:val="0021457B"/>
    <w:rsid w:val="00214721"/>
    <w:rsid w:val="00214AF0"/>
    <w:rsid w:val="00214E34"/>
    <w:rsid w:val="00214F49"/>
    <w:rsid w:val="00214FD9"/>
    <w:rsid w:val="0021517A"/>
    <w:rsid w:val="002152AC"/>
    <w:rsid w:val="002153F8"/>
    <w:rsid w:val="00215571"/>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20"/>
    <w:rsid w:val="00220CAC"/>
    <w:rsid w:val="00220E86"/>
    <w:rsid w:val="00221064"/>
    <w:rsid w:val="00221234"/>
    <w:rsid w:val="0022127E"/>
    <w:rsid w:val="0022191A"/>
    <w:rsid w:val="00221CA4"/>
    <w:rsid w:val="00221CF6"/>
    <w:rsid w:val="00221D46"/>
    <w:rsid w:val="00221FF6"/>
    <w:rsid w:val="002220CB"/>
    <w:rsid w:val="00222105"/>
    <w:rsid w:val="002221DB"/>
    <w:rsid w:val="00222343"/>
    <w:rsid w:val="00222566"/>
    <w:rsid w:val="0022257F"/>
    <w:rsid w:val="0022266E"/>
    <w:rsid w:val="0022282E"/>
    <w:rsid w:val="002228FA"/>
    <w:rsid w:val="00222902"/>
    <w:rsid w:val="00222B29"/>
    <w:rsid w:val="00222EB5"/>
    <w:rsid w:val="00223003"/>
    <w:rsid w:val="00223058"/>
    <w:rsid w:val="00223255"/>
    <w:rsid w:val="002236DA"/>
    <w:rsid w:val="0022375E"/>
    <w:rsid w:val="002237F3"/>
    <w:rsid w:val="00223ACB"/>
    <w:rsid w:val="00223CCF"/>
    <w:rsid w:val="00223D8E"/>
    <w:rsid w:val="00223ECF"/>
    <w:rsid w:val="00223FBE"/>
    <w:rsid w:val="00224128"/>
    <w:rsid w:val="00224288"/>
    <w:rsid w:val="0022436A"/>
    <w:rsid w:val="00224392"/>
    <w:rsid w:val="00224594"/>
    <w:rsid w:val="00224714"/>
    <w:rsid w:val="0022479D"/>
    <w:rsid w:val="0022481A"/>
    <w:rsid w:val="00224AF7"/>
    <w:rsid w:val="00224BA1"/>
    <w:rsid w:val="00224E8B"/>
    <w:rsid w:val="00225055"/>
    <w:rsid w:val="00225374"/>
    <w:rsid w:val="00225472"/>
    <w:rsid w:val="002259A0"/>
    <w:rsid w:val="002259A4"/>
    <w:rsid w:val="00225A76"/>
    <w:rsid w:val="00225F7B"/>
    <w:rsid w:val="00226115"/>
    <w:rsid w:val="002261F1"/>
    <w:rsid w:val="0022635E"/>
    <w:rsid w:val="00226549"/>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E22"/>
    <w:rsid w:val="00227E70"/>
    <w:rsid w:val="00227F19"/>
    <w:rsid w:val="00227F34"/>
    <w:rsid w:val="00230206"/>
    <w:rsid w:val="002303EA"/>
    <w:rsid w:val="002306F6"/>
    <w:rsid w:val="00230B1A"/>
    <w:rsid w:val="00230BA7"/>
    <w:rsid w:val="00230BE2"/>
    <w:rsid w:val="00230E1D"/>
    <w:rsid w:val="00230F52"/>
    <w:rsid w:val="0023103D"/>
    <w:rsid w:val="0023129B"/>
    <w:rsid w:val="002312A5"/>
    <w:rsid w:val="00231372"/>
    <w:rsid w:val="0023138B"/>
    <w:rsid w:val="002318B7"/>
    <w:rsid w:val="00231B16"/>
    <w:rsid w:val="00231DEA"/>
    <w:rsid w:val="00232192"/>
    <w:rsid w:val="002322A3"/>
    <w:rsid w:val="002325C5"/>
    <w:rsid w:val="002325E1"/>
    <w:rsid w:val="0023269C"/>
    <w:rsid w:val="002328B7"/>
    <w:rsid w:val="00232966"/>
    <w:rsid w:val="002329EB"/>
    <w:rsid w:val="00232A6B"/>
    <w:rsid w:val="00232AF8"/>
    <w:rsid w:val="00232B5C"/>
    <w:rsid w:val="00232C61"/>
    <w:rsid w:val="00232F5B"/>
    <w:rsid w:val="00232F64"/>
    <w:rsid w:val="00233054"/>
    <w:rsid w:val="00233060"/>
    <w:rsid w:val="002334E1"/>
    <w:rsid w:val="0023358E"/>
    <w:rsid w:val="002335DC"/>
    <w:rsid w:val="0023362E"/>
    <w:rsid w:val="00233779"/>
    <w:rsid w:val="00233B1F"/>
    <w:rsid w:val="00233D13"/>
    <w:rsid w:val="00233E52"/>
    <w:rsid w:val="0023465E"/>
    <w:rsid w:val="00234686"/>
    <w:rsid w:val="0023468D"/>
    <w:rsid w:val="0023476E"/>
    <w:rsid w:val="00234BC7"/>
    <w:rsid w:val="00234CC7"/>
    <w:rsid w:val="00234D73"/>
    <w:rsid w:val="00234FE8"/>
    <w:rsid w:val="00235000"/>
    <w:rsid w:val="0023508D"/>
    <w:rsid w:val="00235180"/>
    <w:rsid w:val="0023531B"/>
    <w:rsid w:val="00235348"/>
    <w:rsid w:val="002353EE"/>
    <w:rsid w:val="0023540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CD0"/>
    <w:rsid w:val="00236E6D"/>
    <w:rsid w:val="00236F5F"/>
    <w:rsid w:val="00236FA4"/>
    <w:rsid w:val="002373F0"/>
    <w:rsid w:val="0023748A"/>
    <w:rsid w:val="002376B1"/>
    <w:rsid w:val="00237ADB"/>
    <w:rsid w:val="00237D23"/>
    <w:rsid w:val="0024026B"/>
    <w:rsid w:val="00240517"/>
    <w:rsid w:val="00240833"/>
    <w:rsid w:val="00240848"/>
    <w:rsid w:val="00240853"/>
    <w:rsid w:val="00240FCC"/>
    <w:rsid w:val="00240FCE"/>
    <w:rsid w:val="002410C9"/>
    <w:rsid w:val="002413BF"/>
    <w:rsid w:val="002413F6"/>
    <w:rsid w:val="002415BD"/>
    <w:rsid w:val="00241658"/>
    <w:rsid w:val="0024178F"/>
    <w:rsid w:val="002417DD"/>
    <w:rsid w:val="00241956"/>
    <w:rsid w:val="002419A1"/>
    <w:rsid w:val="00241A14"/>
    <w:rsid w:val="00241B56"/>
    <w:rsid w:val="00241B76"/>
    <w:rsid w:val="00241D9B"/>
    <w:rsid w:val="00241E50"/>
    <w:rsid w:val="002420E4"/>
    <w:rsid w:val="002422DF"/>
    <w:rsid w:val="002425CD"/>
    <w:rsid w:val="0024282F"/>
    <w:rsid w:val="00242C80"/>
    <w:rsid w:val="00242C86"/>
    <w:rsid w:val="0024344D"/>
    <w:rsid w:val="002435AE"/>
    <w:rsid w:val="00243602"/>
    <w:rsid w:val="002438A8"/>
    <w:rsid w:val="002438AB"/>
    <w:rsid w:val="0024392A"/>
    <w:rsid w:val="00243B46"/>
    <w:rsid w:val="00243EA4"/>
    <w:rsid w:val="00243F47"/>
    <w:rsid w:val="00243F5D"/>
    <w:rsid w:val="002440B2"/>
    <w:rsid w:val="00244243"/>
    <w:rsid w:val="00244250"/>
    <w:rsid w:val="002445CB"/>
    <w:rsid w:val="002445DC"/>
    <w:rsid w:val="00244810"/>
    <w:rsid w:val="00244912"/>
    <w:rsid w:val="00244E0D"/>
    <w:rsid w:val="002450CB"/>
    <w:rsid w:val="002450FC"/>
    <w:rsid w:val="00245590"/>
    <w:rsid w:val="00245915"/>
    <w:rsid w:val="00245D26"/>
    <w:rsid w:val="00245DC1"/>
    <w:rsid w:val="002460CC"/>
    <w:rsid w:val="002461A3"/>
    <w:rsid w:val="002462B1"/>
    <w:rsid w:val="002463C8"/>
    <w:rsid w:val="0024645F"/>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C"/>
    <w:rsid w:val="002479AC"/>
    <w:rsid w:val="00247B5A"/>
    <w:rsid w:val="00250009"/>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B"/>
    <w:rsid w:val="002520DC"/>
    <w:rsid w:val="0025228D"/>
    <w:rsid w:val="002522B6"/>
    <w:rsid w:val="00252581"/>
    <w:rsid w:val="00252694"/>
    <w:rsid w:val="002529D0"/>
    <w:rsid w:val="00252B85"/>
    <w:rsid w:val="00252EFA"/>
    <w:rsid w:val="00252F8A"/>
    <w:rsid w:val="002530BA"/>
    <w:rsid w:val="00253322"/>
    <w:rsid w:val="00253AEE"/>
    <w:rsid w:val="00253B8B"/>
    <w:rsid w:val="00253CFE"/>
    <w:rsid w:val="00253D84"/>
    <w:rsid w:val="00253DDF"/>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280"/>
    <w:rsid w:val="00257345"/>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62B"/>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EE2"/>
    <w:rsid w:val="00262F52"/>
    <w:rsid w:val="00263254"/>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62B"/>
    <w:rsid w:val="002647E2"/>
    <w:rsid w:val="00264893"/>
    <w:rsid w:val="00264974"/>
    <w:rsid w:val="00264B00"/>
    <w:rsid w:val="00264DB5"/>
    <w:rsid w:val="00264E8F"/>
    <w:rsid w:val="0026504D"/>
    <w:rsid w:val="0026507C"/>
    <w:rsid w:val="002650A5"/>
    <w:rsid w:val="0026519A"/>
    <w:rsid w:val="00265570"/>
    <w:rsid w:val="0026559B"/>
    <w:rsid w:val="002658C7"/>
    <w:rsid w:val="00265955"/>
    <w:rsid w:val="00265A2B"/>
    <w:rsid w:val="00265A69"/>
    <w:rsid w:val="00265D22"/>
    <w:rsid w:val="00265D2F"/>
    <w:rsid w:val="002663E6"/>
    <w:rsid w:val="0026672A"/>
    <w:rsid w:val="002667CE"/>
    <w:rsid w:val="002669C9"/>
    <w:rsid w:val="00266A1A"/>
    <w:rsid w:val="00266AE9"/>
    <w:rsid w:val="00266C7A"/>
    <w:rsid w:val="00266E9C"/>
    <w:rsid w:val="00267305"/>
    <w:rsid w:val="002673BB"/>
    <w:rsid w:val="002677DE"/>
    <w:rsid w:val="00267EB1"/>
    <w:rsid w:val="00267F71"/>
    <w:rsid w:val="0027024E"/>
    <w:rsid w:val="00270256"/>
    <w:rsid w:val="002705D8"/>
    <w:rsid w:val="00270795"/>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2281"/>
    <w:rsid w:val="00272295"/>
    <w:rsid w:val="002723D1"/>
    <w:rsid w:val="0027244F"/>
    <w:rsid w:val="00272489"/>
    <w:rsid w:val="0027261B"/>
    <w:rsid w:val="0027268F"/>
    <w:rsid w:val="00272882"/>
    <w:rsid w:val="0027301F"/>
    <w:rsid w:val="00273363"/>
    <w:rsid w:val="00273905"/>
    <w:rsid w:val="002743E7"/>
    <w:rsid w:val="00274AC0"/>
    <w:rsid w:val="00274AE9"/>
    <w:rsid w:val="00274C2F"/>
    <w:rsid w:val="00274F25"/>
    <w:rsid w:val="00275084"/>
    <w:rsid w:val="002750B2"/>
    <w:rsid w:val="002754FD"/>
    <w:rsid w:val="002755CF"/>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9CF"/>
    <w:rsid w:val="00281C1C"/>
    <w:rsid w:val="00281CF9"/>
    <w:rsid w:val="00281DF4"/>
    <w:rsid w:val="00281F45"/>
    <w:rsid w:val="00282133"/>
    <w:rsid w:val="002824A6"/>
    <w:rsid w:val="0028253C"/>
    <w:rsid w:val="00282594"/>
    <w:rsid w:val="002827ED"/>
    <w:rsid w:val="00282B7F"/>
    <w:rsid w:val="00282BD1"/>
    <w:rsid w:val="00282C1F"/>
    <w:rsid w:val="00282E9A"/>
    <w:rsid w:val="00282FF7"/>
    <w:rsid w:val="00283117"/>
    <w:rsid w:val="00283147"/>
    <w:rsid w:val="002832B4"/>
    <w:rsid w:val="002834C3"/>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55A"/>
    <w:rsid w:val="00285689"/>
    <w:rsid w:val="0028594D"/>
    <w:rsid w:val="00285ACD"/>
    <w:rsid w:val="00285B05"/>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88"/>
    <w:rsid w:val="002925B5"/>
    <w:rsid w:val="0029260F"/>
    <w:rsid w:val="002928B3"/>
    <w:rsid w:val="00292AC3"/>
    <w:rsid w:val="00292D19"/>
    <w:rsid w:val="00292E0C"/>
    <w:rsid w:val="002930BA"/>
    <w:rsid w:val="002930F3"/>
    <w:rsid w:val="0029316C"/>
    <w:rsid w:val="002931AA"/>
    <w:rsid w:val="0029324C"/>
    <w:rsid w:val="0029335C"/>
    <w:rsid w:val="002936A5"/>
    <w:rsid w:val="00293717"/>
    <w:rsid w:val="00293760"/>
    <w:rsid w:val="002939D9"/>
    <w:rsid w:val="00293C09"/>
    <w:rsid w:val="00293E02"/>
    <w:rsid w:val="00293E58"/>
    <w:rsid w:val="00293FE7"/>
    <w:rsid w:val="0029401E"/>
    <w:rsid w:val="00294354"/>
    <w:rsid w:val="00294485"/>
    <w:rsid w:val="0029454D"/>
    <w:rsid w:val="002946B3"/>
    <w:rsid w:val="00294775"/>
    <w:rsid w:val="0029481D"/>
    <w:rsid w:val="002948D6"/>
    <w:rsid w:val="002949CF"/>
    <w:rsid w:val="002949DA"/>
    <w:rsid w:val="00294ABF"/>
    <w:rsid w:val="00294C66"/>
    <w:rsid w:val="00294F37"/>
    <w:rsid w:val="00294F85"/>
    <w:rsid w:val="00295029"/>
    <w:rsid w:val="00295105"/>
    <w:rsid w:val="00295909"/>
    <w:rsid w:val="00295A84"/>
    <w:rsid w:val="00295AD9"/>
    <w:rsid w:val="00295B13"/>
    <w:rsid w:val="00295CEF"/>
    <w:rsid w:val="00295D72"/>
    <w:rsid w:val="00295D9E"/>
    <w:rsid w:val="00295FCF"/>
    <w:rsid w:val="00296068"/>
    <w:rsid w:val="0029611F"/>
    <w:rsid w:val="0029614B"/>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97FE5"/>
    <w:rsid w:val="002A000E"/>
    <w:rsid w:val="002A0347"/>
    <w:rsid w:val="002A042B"/>
    <w:rsid w:val="002A046E"/>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5C9"/>
    <w:rsid w:val="002A3695"/>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61"/>
    <w:rsid w:val="002A547D"/>
    <w:rsid w:val="002A5554"/>
    <w:rsid w:val="002A5555"/>
    <w:rsid w:val="002A558F"/>
    <w:rsid w:val="002A5904"/>
    <w:rsid w:val="002A5953"/>
    <w:rsid w:val="002A5AE2"/>
    <w:rsid w:val="002A5D26"/>
    <w:rsid w:val="002A5F1D"/>
    <w:rsid w:val="002A5F6C"/>
    <w:rsid w:val="002A668D"/>
    <w:rsid w:val="002A66CA"/>
    <w:rsid w:val="002A673D"/>
    <w:rsid w:val="002A6808"/>
    <w:rsid w:val="002A6946"/>
    <w:rsid w:val="002A6996"/>
    <w:rsid w:val="002A6A94"/>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5E8"/>
    <w:rsid w:val="002B0AB9"/>
    <w:rsid w:val="002B0B8F"/>
    <w:rsid w:val="002B0BFE"/>
    <w:rsid w:val="002B0D5A"/>
    <w:rsid w:val="002B0DA3"/>
    <w:rsid w:val="002B1132"/>
    <w:rsid w:val="002B1406"/>
    <w:rsid w:val="002B169E"/>
    <w:rsid w:val="002B1707"/>
    <w:rsid w:val="002B1B01"/>
    <w:rsid w:val="002B1E1F"/>
    <w:rsid w:val="002B1ED0"/>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EC"/>
    <w:rsid w:val="002B5138"/>
    <w:rsid w:val="002B520E"/>
    <w:rsid w:val="002B567B"/>
    <w:rsid w:val="002B5745"/>
    <w:rsid w:val="002B577B"/>
    <w:rsid w:val="002B58F0"/>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C5B"/>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F01"/>
    <w:rsid w:val="002C4F79"/>
    <w:rsid w:val="002C4F8F"/>
    <w:rsid w:val="002C53BD"/>
    <w:rsid w:val="002C54FE"/>
    <w:rsid w:val="002C55A3"/>
    <w:rsid w:val="002C55E6"/>
    <w:rsid w:val="002C59F8"/>
    <w:rsid w:val="002C5A05"/>
    <w:rsid w:val="002C5A62"/>
    <w:rsid w:val="002C61A6"/>
    <w:rsid w:val="002C656D"/>
    <w:rsid w:val="002C66FD"/>
    <w:rsid w:val="002C697D"/>
    <w:rsid w:val="002C6A30"/>
    <w:rsid w:val="002C6B12"/>
    <w:rsid w:val="002C6C6C"/>
    <w:rsid w:val="002C6C7C"/>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3C8"/>
    <w:rsid w:val="002D248F"/>
    <w:rsid w:val="002D26BF"/>
    <w:rsid w:val="002D26DC"/>
    <w:rsid w:val="002D29DC"/>
    <w:rsid w:val="002D2A4C"/>
    <w:rsid w:val="002D2FB1"/>
    <w:rsid w:val="002D31C3"/>
    <w:rsid w:val="002D3544"/>
    <w:rsid w:val="002D364B"/>
    <w:rsid w:val="002D36C1"/>
    <w:rsid w:val="002D37CE"/>
    <w:rsid w:val="002D38BE"/>
    <w:rsid w:val="002D38C4"/>
    <w:rsid w:val="002D38D4"/>
    <w:rsid w:val="002D3AD3"/>
    <w:rsid w:val="002D3C2B"/>
    <w:rsid w:val="002D3C8B"/>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B5"/>
    <w:rsid w:val="002D6947"/>
    <w:rsid w:val="002D6EC0"/>
    <w:rsid w:val="002D6F8A"/>
    <w:rsid w:val="002D6FB9"/>
    <w:rsid w:val="002D6FD2"/>
    <w:rsid w:val="002D742F"/>
    <w:rsid w:val="002D7578"/>
    <w:rsid w:val="002D779D"/>
    <w:rsid w:val="002D78C6"/>
    <w:rsid w:val="002D7962"/>
    <w:rsid w:val="002D79C1"/>
    <w:rsid w:val="002D7A95"/>
    <w:rsid w:val="002D7CC9"/>
    <w:rsid w:val="002D7EB6"/>
    <w:rsid w:val="002E0034"/>
    <w:rsid w:val="002E01A9"/>
    <w:rsid w:val="002E02FF"/>
    <w:rsid w:val="002E03EE"/>
    <w:rsid w:val="002E05B5"/>
    <w:rsid w:val="002E06F2"/>
    <w:rsid w:val="002E0734"/>
    <w:rsid w:val="002E0A31"/>
    <w:rsid w:val="002E0ABD"/>
    <w:rsid w:val="002E0B93"/>
    <w:rsid w:val="002E0F92"/>
    <w:rsid w:val="002E1062"/>
    <w:rsid w:val="002E12E3"/>
    <w:rsid w:val="002E1409"/>
    <w:rsid w:val="002E1535"/>
    <w:rsid w:val="002E15FA"/>
    <w:rsid w:val="002E16BE"/>
    <w:rsid w:val="002E1769"/>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02E"/>
    <w:rsid w:val="002E51A2"/>
    <w:rsid w:val="002E521E"/>
    <w:rsid w:val="002E522F"/>
    <w:rsid w:val="002E58A0"/>
    <w:rsid w:val="002E5AB7"/>
    <w:rsid w:val="002E5BA6"/>
    <w:rsid w:val="002E649A"/>
    <w:rsid w:val="002E65A0"/>
    <w:rsid w:val="002E65EB"/>
    <w:rsid w:val="002E67B9"/>
    <w:rsid w:val="002E6996"/>
    <w:rsid w:val="002E6D27"/>
    <w:rsid w:val="002E6F01"/>
    <w:rsid w:val="002E6F26"/>
    <w:rsid w:val="002E6FF3"/>
    <w:rsid w:val="002E70B0"/>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2CA"/>
    <w:rsid w:val="002F0540"/>
    <w:rsid w:val="002F0575"/>
    <w:rsid w:val="002F05C2"/>
    <w:rsid w:val="002F0621"/>
    <w:rsid w:val="002F0663"/>
    <w:rsid w:val="002F0B69"/>
    <w:rsid w:val="002F0D25"/>
    <w:rsid w:val="002F0EF9"/>
    <w:rsid w:val="002F1364"/>
    <w:rsid w:val="002F1461"/>
    <w:rsid w:val="002F160A"/>
    <w:rsid w:val="002F1671"/>
    <w:rsid w:val="002F1949"/>
    <w:rsid w:val="002F1A61"/>
    <w:rsid w:val="002F1DB6"/>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3CC"/>
    <w:rsid w:val="002F650E"/>
    <w:rsid w:val="002F6602"/>
    <w:rsid w:val="002F688C"/>
    <w:rsid w:val="002F68B8"/>
    <w:rsid w:val="002F6CF6"/>
    <w:rsid w:val="002F71ED"/>
    <w:rsid w:val="002F7287"/>
    <w:rsid w:val="002F72ED"/>
    <w:rsid w:val="002F73B6"/>
    <w:rsid w:val="002F743C"/>
    <w:rsid w:val="002F76C8"/>
    <w:rsid w:val="002F76E8"/>
    <w:rsid w:val="002F793A"/>
    <w:rsid w:val="002F7AFF"/>
    <w:rsid w:val="002F7B18"/>
    <w:rsid w:val="002F7B31"/>
    <w:rsid w:val="002F7CB1"/>
    <w:rsid w:val="002F7E9C"/>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AE5"/>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70BA"/>
    <w:rsid w:val="0030734A"/>
    <w:rsid w:val="0030749C"/>
    <w:rsid w:val="00307614"/>
    <w:rsid w:val="0030774A"/>
    <w:rsid w:val="0030775D"/>
    <w:rsid w:val="00307BA9"/>
    <w:rsid w:val="00307DD7"/>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F6"/>
    <w:rsid w:val="00315A28"/>
    <w:rsid w:val="00315AB0"/>
    <w:rsid w:val="00315B79"/>
    <w:rsid w:val="00315CF3"/>
    <w:rsid w:val="00315DCB"/>
    <w:rsid w:val="00315E97"/>
    <w:rsid w:val="00315F62"/>
    <w:rsid w:val="00315F6C"/>
    <w:rsid w:val="00315FF6"/>
    <w:rsid w:val="00316122"/>
    <w:rsid w:val="00316C3F"/>
    <w:rsid w:val="00316C47"/>
    <w:rsid w:val="00316CF6"/>
    <w:rsid w:val="00316FAC"/>
    <w:rsid w:val="00317015"/>
    <w:rsid w:val="003170EC"/>
    <w:rsid w:val="00317158"/>
    <w:rsid w:val="003171E6"/>
    <w:rsid w:val="0031720E"/>
    <w:rsid w:val="003172A1"/>
    <w:rsid w:val="0031746C"/>
    <w:rsid w:val="0031750F"/>
    <w:rsid w:val="00317EC5"/>
    <w:rsid w:val="00320140"/>
    <w:rsid w:val="003201A0"/>
    <w:rsid w:val="00320239"/>
    <w:rsid w:val="00320604"/>
    <w:rsid w:val="00320608"/>
    <w:rsid w:val="00320639"/>
    <w:rsid w:val="00320C08"/>
    <w:rsid w:val="00320D51"/>
    <w:rsid w:val="00320DFF"/>
    <w:rsid w:val="00320EBE"/>
    <w:rsid w:val="00320EC0"/>
    <w:rsid w:val="0032100B"/>
    <w:rsid w:val="0032143D"/>
    <w:rsid w:val="00321446"/>
    <w:rsid w:val="00321579"/>
    <w:rsid w:val="003215D3"/>
    <w:rsid w:val="0032171A"/>
    <w:rsid w:val="00321992"/>
    <w:rsid w:val="00321B3E"/>
    <w:rsid w:val="00321C61"/>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D3A"/>
    <w:rsid w:val="00323D53"/>
    <w:rsid w:val="0032435D"/>
    <w:rsid w:val="003244B6"/>
    <w:rsid w:val="0032477E"/>
    <w:rsid w:val="003247C4"/>
    <w:rsid w:val="0032498F"/>
    <w:rsid w:val="00324C53"/>
    <w:rsid w:val="00324C97"/>
    <w:rsid w:val="00324D79"/>
    <w:rsid w:val="00324F47"/>
    <w:rsid w:val="003250B7"/>
    <w:rsid w:val="0032531B"/>
    <w:rsid w:val="00325801"/>
    <w:rsid w:val="00325881"/>
    <w:rsid w:val="00325964"/>
    <w:rsid w:val="00325AD4"/>
    <w:rsid w:val="00325B1C"/>
    <w:rsid w:val="00325B1E"/>
    <w:rsid w:val="00325D07"/>
    <w:rsid w:val="00326137"/>
    <w:rsid w:val="0032625E"/>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9F4"/>
    <w:rsid w:val="00330A07"/>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C16"/>
    <w:rsid w:val="00333C19"/>
    <w:rsid w:val="00333F1B"/>
    <w:rsid w:val="00334120"/>
    <w:rsid w:val="003341DB"/>
    <w:rsid w:val="00334496"/>
    <w:rsid w:val="0033457C"/>
    <w:rsid w:val="003345EC"/>
    <w:rsid w:val="00334816"/>
    <w:rsid w:val="00334960"/>
    <w:rsid w:val="00334C14"/>
    <w:rsid w:val="00334CE6"/>
    <w:rsid w:val="00334FDE"/>
    <w:rsid w:val="0033514C"/>
    <w:rsid w:val="003358A3"/>
    <w:rsid w:val="003358D7"/>
    <w:rsid w:val="00335993"/>
    <w:rsid w:val="00335AAB"/>
    <w:rsid w:val="00335B0A"/>
    <w:rsid w:val="00335CBF"/>
    <w:rsid w:val="00335DD7"/>
    <w:rsid w:val="00335E65"/>
    <w:rsid w:val="00335FFF"/>
    <w:rsid w:val="003362BE"/>
    <w:rsid w:val="003362C2"/>
    <w:rsid w:val="0033631D"/>
    <w:rsid w:val="00336B41"/>
    <w:rsid w:val="00336B69"/>
    <w:rsid w:val="00336C23"/>
    <w:rsid w:val="00336C68"/>
    <w:rsid w:val="00336E1B"/>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128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726"/>
    <w:rsid w:val="003427CF"/>
    <w:rsid w:val="003429F8"/>
    <w:rsid w:val="00342AC4"/>
    <w:rsid w:val="00342CE1"/>
    <w:rsid w:val="00342D25"/>
    <w:rsid w:val="00342D70"/>
    <w:rsid w:val="00342DEB"/>
    <w:rsid w:val="00342E90"/>
    <w:rsid w:val="00342FD4"/>
    <w:rsid w:val="0034324E"/>
    <w:rsid w:val="00343409"/>
    <w:rsid w:val="00343B6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F79"/>
    <w:rsid w:val="0034628F"/>
    <w:rsid w:val="003464A5"/>
    <w:rsid w:val="003465D1"/>
    <w:rsid w:val="003467C4"/>
    <w:rsid w:val="00346938"/>
    <w:rsid w:val="00346AA4"/>
    <w:rsid w:val="00346FE7"/>
    <w:rsid w:val="00347110"/>
    <w:rsid w:val="00347113"/>
    <w:rsid w:val="003474D8"/>
    <w:rsid w:val="00347574"/>
    <w:rsid w:val="0034767B"/>
    <w:rsid w:val="0034784E"/>
    <w:rsid w:val="00347872"/>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7B"/>
    <w:rsid w:val="003514B1"/>
    <w:rsid w:val="00351863"/>
    <w:rsid w:val="0035189E"/>
    <w:rsid w:val="00351A4D"/>
    <w:rsid w:val="00351A5E"/>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94"/>
    <w:rsid w:val="003561CD"/>
    <w:rsid w:val="003561E0"/>
    <w:rsid w:val="003562A4"/>
    <w:rsid w:val="00356581"/>
    <w:rsid w:val="0035663D"/>
    <w:rsid w:val="0035666E"/>
    <w:rsid w:val="00356816"/>
    <w:rsid w:val="0035692A"/>
    <w:rsid w:val="00356952"/>
    <w:rsid w:val="00356A66"/>
    <w:rsid w:val="00356A89"/>
    <w:rsid w:val="00356CD8"/>
    <w:rsid w:val="00356D37"/>
    <w:rsid w:val="00356D3D"/>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B2C"/>
    <w:rsid w:val="00365E38"/>
    <w:rsid w:val="003661A1"/>
    <w:rsid w:val="00366205"/>
    <w:rsid w:val="003662D2"/>
    <w:rsid w:val="00366342"/>
    <w:rsid w:val="003665A2"/>
    <w:rsid w:val="00366875"/>
    <w:rsid w:val="00366959"/>
    <w:rsid w:val="003669A2"/>
    <w:rsid w:val="00366ADD"/>
    <w:rsid w:val="00366B89"/>
    <w:rsid w:val="00366C9A"/>
    <w:rsid w:val="00366ED0"/>
    <w:rsid w:val="00367059"/>
    <w:rsid w:val="0036705E"/>
    <w:rsid w:val="00367350"/>
    <w:rsid w:val="00367494"/>
    <w:rsid w:val="003674CC"/>
    <w:rsid w:val="00367699"/>
    <w:rsid w:val="00367987"/>
    <w:rsid w:val="0036798A"/>
    <w:rsid w:val="00367AEA"/>
    <w:rsid w:val="00370154"/>
    <w:rsid w:val="00370451"/>
    <w:rsid w:val="00370719"/>
    <w:rsid w:val="00370955"/>
    <w:rsid w:val="003709DE"/>
    <w:rsid w:val="00370A40"/>
    <w:rsid w:val="00370B4B"/>
    <w:rsid w:val="00370BC6"/>
    <w:rsid w:val="00370FED"/>
    <w:rsid w:val="0037122E"/>
    <w:rsid w:val="00371257"/>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317"/>
    <w:rsid w:val="00373463"/>
    <w:rsid w:val="0037348E"/>
    <w:rsid w:val="003735D5"/>
    <w:rsid w:val="003735F8"/>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F"/>
    <w:rsid w:val="00374CEB"/>
    <w:rsid w:val="00374E51"/>
    <w:rsid w:val="00374FFB"/>
    <w:rsid w:val="0037528C"/>
    <w:rsid w:val="00375373"/>
    <w:rsid w:val="00375469"/>
    <w:rsid w:val="0037568B"/>
    <w:rsid w:val="00375BB8"/>
    <w:rsid w:val="003761AA"/>
    <w:rsid w:val="003764C5"/>
    <w:rsid w:val="00376882"/>
    <w:rsid w:val="00376914"/>
    <w:rsid w:val="00376978"/>
    <w:rsid w:val="00376BB8"/>
    <w:rsid w:val="00376E06"/>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58"/>
    <w:rsid w:val="0038148F"/>
    <w:rsid w:val="003814BC"/>
    <w:rsid w:val="003817CD"/>
    <w:rsid w:val="0038194E"/>
    <w:rsid w:val="003819A1"/>
    <w:rsid w:val="00381A91"/>
    <w:rsid w:val="00381B7F"/>
    <w:rsid w:val="00381D3B"/>
    <w:rsid w:val="0038213F"/>
    <w:rsid w:val="00382228"/>
    <w:rsid w:val="003822C5"/>
    <w:rsid w:val="003827A8"/>
    <w:rsid w:val="00382848"/>
    <w:rsid w:val="00382856"/>
    <w:rsid w:val="0038298A"/>
    <w:rsid w:val="00382E9D"/>
    <w:rsid w:val="00382F58"/>
    <w:rsid w:val="0038303D"/>
    <w:rsid w:val="00383210"/>
    <w:rsid w:val="00383224"/>
    <w:rsid w:val="00383302"/>
    <w:rsid w:val="00383972"/>
    <w:rsid w:val="00383989"/>
    <w:rsid w:val="00383BB0"/>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90C"/>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96"/>
    <w:rsid w:val="003872E5"/>
    <w:rsid w:val="00387351"/>
    <w:rsid w:val="0038737D"/>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88F"/>
    <w:rsid w:val="003919CC"/>
    <w:rsid w:val="00391BF1"/>
    <w:rsid w:val="00391BFC"/>
    <w:rsid w:val="00391C2A"/>
    <w:rsid w:val="00391CC0"/>
    <w:rsid w:val="00391D0C"/>
    <w:rsid w:val="00391EAE"/>
    <w:rsid w:val="00392049"/>
    <w:rsid w:val="00392154"/>
    <w:rsid w:val="003921DD"/>
    <w:rsid w:val="0039224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617"/>
    <w:rsid w:val="003976CD"/>
    <w:rsid w:val="003979DE"/>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E7F"/>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B0050"/>
    <w:rsid w:val="003B0487"/>
    <w:rsid w:val="003B05EF"/>
    <w:rsid w:val="003B0743"/>
    <w:rsid w:val="003B0750"/>
    <w:rsid w:val="003B0BC3"/>
    <w:rsid w:val="003B0CAC"/>
    <w:rsid w:val="003B0DE0"/>
    <w:rsid w:val="003B0E96"/>
    <w:rsid w:val="003B0F68"/>
    <w:rsid w:val="003B0FD3"/>
    <w:rsid w:val="003B107A"/>
    <w:rsid w:val="003B1620"/>
    <w:rsid w:val="003B18AA"/>
    <w:rsid w:val="003B197C"/>
    <w:rsid w:val="003B1A23"/>
    <w:rsid w:val="003B1B0A"/>
    <w:rsid w:val="003B1BA0"/>
    <w:rsid w:val="003B1D2A"/>
    <w:rsid w:val="003B1E49"/>
    <w:rsid w:val="003B20A1"/>
    <w:rsid w:val="003B2263"/>
    <w:rsid w:val="003B25CF"/>
    <w:rsid w:val="003B284C"/>
    <w:rsid w:val="003B2887"/>
    <w:rsid w:val="003B28B9"/>
    <w:rsid w:val="003B2AF2"/>
    <w:rsid w:val="003B2B46"/>
    <w:rsid w:val="003B2C5D"/>
    <w:rsid w:val="003B2C70"/>
    <w:rsid w:val="003B2C8C"/>
    <w:rsid w:val="003B2CD8"/>
    <w:rsid w:val="003B30C5"/>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C98"/>
    <w:rsid w:val="003B4EE1"/>
    <w:rsid w:val="003B516A"/>
    <w:rsid w:val="003B52DB"/>
    <w:rsid w:val="003B5365"/>
    <w:rsid w:val="003B53C0"/>
    <w:rsid w:val="003B57AE"/>
    <w:rsid w:val="003B5800"/>
    <w:rsid w:val="003B58A8"/>
    <w:rsid w:val="003B5C9E"/>
    <w:rsid w:val="003B5F34"/>
    <w:rsid w:val="003B617F"/>
    <w:rsid w:val="003B621F"/>
    <w:rsid w:val="003B668B"/>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28E"/>
    <w:rsid w:val="003C0309"/>
    <w:rsid w:val="003C03DC"/>
    <w:rsid w:val="003C068F"/>
    <w:rsid w:val="003C0901"/>
    <w:rsid w:val="003C0994"/>
    <w:rsid w:val="003C0C04"/>
    <w:rsid w:val="003C104A"/>
    <w:rsid w:val="003C11C1"/>
    <w:rsid w:val="003C14E7"/>
    <w:rsid w:val="003C15B1"/>
    <w:rsid w:val="003C1650"/>
    <w:rsid w:val="003C1660"/>
    <w:rsid w:val="003C17B5"/>
    <w:rsid w:val="003C196A"/>
    <w:rsid w:val="003C1C34"/>
    <w:rsid w:val="003C1CE7"/>
    <w:rsid w:val="003C1D95"/>
    <w:rsid w:val="003C1DE2"/>
    <w:rsid w:val="003C1DF1"/>
    <w:rsid w:val="003C1E00"/>
    <w:rsid w:val="003C1E5C"/>
    <w:rsid w:val="003C24CC"/>
    <w:rsid w:val="003C27E0"/>
    <w:rsid w:val="003C293A"/>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0D5"/>
    <w:rsid w:val="003C51E6"/>
    <w:rsid w:val="003C5289"/>
    <w:rsid w:val="003C54C6"/>
    <w:rsid w:val="003C57AA"/>
    <w:rsid w:val="003C57C4"/>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7CB"/>
    <w:rsid w:val="003D3B50"/>
    <w:rsid w:val="003D3D88"/>
    <w:rsid w:val="003D3DC2"/>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458"/>
    <w:rsid w:val="003D55CE"/>
    <w:rsid w:val="003D587D"/>
    <w:rsid w:val="003D58C3"/>
    <w:rsid w:val="003D59E9"/>
    <w:rsid w:val="003D5A01"/>
    <w:rsid w:val="003D5BF9"/>
    <w:rsid w:val="003D5C2E"/>
    <w:rsid w:val="003D5EBE"/>
    <w:rsid w:val="003D5F28"/>
    <w:rsid w:val="003D5FA6"/>
    <w:rsid w:val="003D673F"/>
    <w:rsid w:val="003D69E2"/>
    <w:rsid w:val="003D6C22"/>
    <w:rsid w:val="003D6F20"/>
    <w:rsid w:val="003D6F75"/>
    <w:rsid w:val="003D6FB7"/>
    <w:rsid w:val="003D6FE5"/>
    <w:rsid w:val="003D71A2"/>
    <w:rsid w:val="003D7364"/>
    <w:rsid w:val="003D74DD"/>
    <w:rsid w:val="003D7528"/>
    <w:rsid w:val="003D754A"/>
    <w:rsid w:val="003D75AF"/>
    <w:rsid w:val="003D771C"/>
    <w:rsid w:val="003D7B49"/>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C6"/>
    <w:rsid w:val="003E2DD6"/>
    <w:rsid w:val="003E33C7"/>
    <w:rsid w:val="003E3623"/>
    <w:rsid w:val="003E395B"/>
    <w:rsid w:val="003E3C5B"/>
    <w:rsid w:val="003E3C6C"/>
    <w:rsid w:val="003E3E78"/>
    <w:rsid w:val="003E3E7B"/>
    <w:rsid w:val="003E3F26"/>
    <w:rsid w:val="003E3F73"/>
    <w:rsid w:val="003E3FA0"/>
    <w:rsid w:val="003E4190"/>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E"/>
    <w:rsid w:val="003E6332"/>
    <w:rsid w:val="003E6422"/>
    <w:rsid w:val="003E6448"/>
    <w:rsid w:val="003E65F0"/>
    <w:rsid w:val="003E6636"/>
    <w:rsid w:val="003E66D3"/>
    <w:rsid w:val="003E67EA"/>
    <w:rsid w:val="003E6834"/>
    <w:rsid w:val="003E687C"/>
    <w:rsid w:val="003E69DA"/>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F6A"/>
    <w:rsid w:val="003F2290"/>
    <w:rsid w:val="003F22A6"/>
    <w:rsid w:val="003F2330"/>
    <w:rsid w:val="003F26AE"/>
    <w:rsid w:val="003F28C8"/>
    <w:rsid w:val="003F28FC"/>
    <w:rsid w:val="003F2AAA"/>
    <w:rsid w:val="003F2B6B"/>
    <w:rsid w:val="003F2CFC"/>
    <w:rsid w:val="003F2E0C"/>
    <w:rsid w:val="003F300B"/>
    <w:rsid w:val="003F306F"/>
    <w:rsid w:val="003F317F"/>
    <w:rsid w:val="003F31C0"/>
    <w:rsid w:val="003F3451"/>
    <w:rsid w:val="003F34FF"/>
    <w:rsid w:val="003F3500"/>
    <w:rsid w:val="003F3646"/>
    <w:rsid w:val="003F376D"/>
    <w:rsid w:val="003F381A"/>
    <w:rsid w:val="003F383C"/>
    <w:rsid w:val="003F38FE"/>
    <w:rsid w:val="003F3EB6"/>
    <w:rsid w:val="003F3F4D"/>
    <w:rsid w:val="003F43C2"/>
    <w:rsid w:val="003F456B"/>
    <w:rsid w:val="003F45C5"/>
    <w:rsid w:val="003F4610"/>
    <w:rsid w:val="003F48E9"/>
    <w:rsid w:val="003F4987"/>
    <w:rsid w:val="003F49F8"/>
    <w:rsid w:val="003F4A8E"/>
    <w:rsid w:val="003F4AB7"/>
    <w:rsid w:val="003F4E29"/>
    <w:rsid w:val="003F4E5A"/>
    <w:rsid w:val="003F5273"/>
    <w:rsid w:val="003F5379"/>
    <w:rsid w:val="003F5427"/>
    <w:rsid w:val="003F569C"/>
    <w:rsid w:val="003F589F"/>
    <w:rsid w:val="003F5ABC"/>
    <w:rsid w:val="003F5F78"/>
    <w:rsid w:val="003F5FC9"/>
    <w:rsid w:val="003F60E0"/>
    <w:rsid w:val="003F6358"/>
    <w:rsid w:val="003F64B6"/>
    <w:rsid w:val="003F69CB"/>
    <w:rsid w:val="003F6C88"/>
    <w:rsid w:val="003F6CC5"/>
    <w:rsid w:val="003F6DA7"/>
    <w:rsid w:val="003F6E43"/>
    <w:rsid w:val="003F7077"/>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80"/>
    <w:rsid w:val="004021B9"/>
    <w:rsid w:val="00402382"/>
    <w:rsid w:val="004025CC"/>
    <w:rsid w:val="00402675"/>
    <w:rsid w:val="004029AA"/>
    <w:rsid w:val="00402A73"/>
    <w:rsid w:val="00402A87"/>
    <w:rsid w:val="00402B40"/>
    <w:rsid w:val="00402C8E"/>
    <w:rsid w:val="00402D9D"/>
    <w:rsid w:val="00402EDC"/>
    <w:rsid w:val="00402FE8"/>
    <w:rsid w:val="004030F3"/>
    <w:rsid w:val="00403555"/>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506"/>
    <w:rsid w:val="004056E5"/>
    <w:rsid w:val="0040572C"/>
    <w:rsid w:val="00405873"/>
    <w:rsid w:val="0040592E"/>
    <w:rsid w:val="00405AB1"/>
    <w:rsid w:val="00405ADA"/>
    <w:rsid w:val="00405B21"/>
    <w:rsid w:val="00405B89"/>
    <w:rsid w:val="00405BB2"/>
    <w:rsid w:val="00405F7B"/>
    <w:rsid w:val="00406315"/>
    <w:rsid w:val="0040649B"/>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BFF"/>
    <w:rsid w:val="00407F75"/>
    <w:rsid w:val="004101AC"/>
    <w:rsid w:val="004103D9"/>
    <w:rsid w:val="004104E3"/>
    <w:rsid w:val="0041062D"/>
    <w:rsid w:val="004107F7"/>
    <w:rsid w:val="00410A44"/>
    <w:rsid w:val="00410F02"/>
    <w:rsid w:val="00410FD3"/>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61D"/>
    <w:rsid w:val="0041268F"/>
    <w:rsid w:val="0041273A"/>
    <w:rsid w:val="0041295A"/>
    <w:rsid w:val="00412C52"/>
    <w:rsid w:val="00412CA6"/>
    <w:rsid w:val="00412DD8"/>
    <w:rsid w:val="00412F3F"/>
    <w:rsid w:val="00413058"/>
    <w:rsid w:val="00413516"/>
    <w:rsid w:val="004136EA"/>
    <w:rsid w:val="004137DE"/>
    <w:rsid w:val="00413A7A"/>
    <w:rsid w:val="00413BFD"/>
    <w:rsid w:val="00413CE5"/>
    <w:rsid w:val="00413D92"/>
    <w:rsid w:val="00414609"/>
    <w:rsid w:val="00414615"/>
    <w:rsid w:val="0041479A"/>
    <w:rsid w:val="0041491D"/>
    <w:rsid w:val="00414977"/>
    <w:rsid w:val="00414AF8"/>
    <w:rsid w:val="00414B19"/>
    <w:rsid w:val="00415207"/>
    <w:rsid w:val="004155A2"/>
    <w:rsid w:val="0041566E"/>
    <w:rsid w:val="00415B3A"/>
    <w:rsid w:val="00415B76"/>
    <w:rsid w:val="00415BFE"/>
    <w:rsid w:val="00415C6D"/>
    <w:rsid w:val="00415DBE"/>
    <w:rsid w:val="00415F0E"/>
    <w:rsid w:val="004164E3"/>
    <w:rsid w:val="0041656D"/>
    <w:rsid w:val="00416639"/>
    <w:rsid w:val="00416679"/>
    <w:rsid w:val="004166BA"/>
    <w:rsid w:val="004167D0"/>
    <w:rsid w:val="00416901"/>
    <w:rsid w:val="00416B67"/>
    <w:rsid w:val="00416C38"/>
    <w:rsid w:val="00416CB5"/>
    <w:rsid w:val="00416D6B"/>
    <w:rsid w:val="00416DF1"/>
    <w:rsid w:val="00416E79"/>
    <w:rsid w:val="00416EA8"/>
    <w:rsid w:val="004171EB"/>
    <w:rsid w:val="004173D0"/>
    <w:rsid w:val="0041746A"/>
    <w:rsid w:val="004174D6"/>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A8E"/>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886"/>
    <w:rsid w:val="004268F5"/>
    <w:rsid w:val="00426A74"/>
    <w:rsid w:val="00426DE7"/>
    <w:rsid w:val="00426F55"/>
    <w:rsid w:val="00426FF5"/>
    <w:rsid w:val="00427044"/>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874"/>
    <w:rsid w:val="00432BBE"/>
    <w:rsid w:val="00432D72"/>
    <w:rsid w:val="00432FC0"/>
    <w:rsid w:val="00433232"/>
    <w:rsid w:val="00433256"/>
    <w:rsid w:val="004332EB"/>
    <w:rsid w:val="004333C5"/>
    <w:rsid w:val="004335D6"/>
    <w:rsid w:val="004336EB"/>
    <w:rsid w:val="00433764"/>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DA3"/>
    <w:rsid w:val="0044006B"/>
    <w:rsid w:val="0044018E"/>
    <w:rsid w:val="004402F1"/>
    <w:rsid w:val="00440328"/>
    <w:rsid w:val="004405E2"/>
    <w:rsid w:val="004406B8"/>
    <w:rsid w:val="00440843"/>
    <w:rsid w:val="00440B99"/>
    <w:rsid w:val="00440C46"/>
    <w:rsid w:val="00440F5F"/>
    <w:rsid w:val="00441014"/>
    <w:rsid w:val="00441059"/>
    <w:rsid w:val="004412BF"/>
    <w:rsid w:val="0044143E"/>
    <w:rsid w:val="004417B1"/>
    <w:rsid w:val="004417E1"/>
    <w:rsid w:val="0044189D"/>
    <w:rsid w:val="00441992"/>
    <w:rsid w:val="00441CA8"/>
    <w:rsid w:val="00441D1D"/>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F5"/>
    <w:rsid w:val="00446B07"/>
    <w:rsid w:val="00446E19"/>
    <w:rsid w:val="00446FB5"/>
    <w:rsid w:val="00447092"/>
    <w:rsid w:val="004471A2"/>
    <w:rsid w:val="004472A5"/>
    <w:rsid w:val="00447436"/>
    <w:rsid w:val="004475C7"/>
    <w:rsid w:val="004475E1"/>
    <w:rsid w:val="0044773A"/>
    <w:rsid w:val="00447C12"/>
    <w:rsid w:val="00447C47"/>
    <w:rsid w:val="00447D53"/>
    <w:rsid w:val="00447FC9"/>
    <w:rsid w:val="00450150"/>
    <w:rsid w:val="00450279"/>
    <w:rsid w:val="00450352"/>
    <w:rsid w:val="004508C0"/>
    <w:rsid w:val="00450B38"/>
    <w:rsid w:val="00450C00"/>
    <w:rsid w:val="00450D19"/>
    <w:rsid w:val="00450E16"/>
    <w:rsid w:val="00450ECC"/>
    <w:rsid w:val="0045100C"/>
    <w:rsid w:val="00451193"/>
    <w:rsid w:val="00451213"/>
    <w:rsid w:val="0045121E"/>
    <w:rsid w:val="00451259"/>
    <w:rsid w:val="0045157E"/>
    <w:rsid w:val="0045174D"/>
    <w:rsid w:val="0045183A"/>
    <w:rsid w:val="004519B1"/>
    <w:rsid w:val="00451C85"/>
    <w:rsid w:val="00451F72"/>
    <w:rsid w:val="004520E2"/>
    <w:rsid w:val="00452130"/>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614"/>
    <w:rsid w:val="00454BF8"/>
    <w:rsid w:val="00454CDA"/>
    <w:rsid w:val="00454D00"/>
    <w:rsid w:val="00454D28"/>
    <w:rsid w:val="00454EE2"/>
    <w:rsid w:val="00454FF0"/>
    <w:rsid w:val="00455300"/>
    <w:rsid w:val="00455467"/>
    <w:rsid w:val="00455632"/>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DF"/>
    <w:rsid w:val="00457DE0"/>
    <w:rsid w:val="00460249"/>
    <w:rsid w:val="004603AF"/>
    <w:rsid w:val="0046054B"/>
    <w:rsid w:val="00460552"/>
    <w:rsid w:val="00460835"/>
    <w:rsid w:val="00460DF6"/>
    <w:rsid w:val="0046116E"/>
    <w:rsid w:val="004614AB"/>
    <w:rsid w:val="004614C4"/>
    <w:rsid w:val="00461699"/>
    <w:rsid w:val="00461AE4"/>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27A"/>
    <w:rsid w:val="004635B7"/>
    <w:rsid w:val="004636D5"/>
    <w:rsid w:val="0046381A"/>
    <w:rsid w:val="00463B0E"/>
    <w:rsid w:val="00463B2B"/>
    <w:rsid w:val="004641B3"/>
    <w:rsid w:val="004641D6"/>
    <w:rsid w:val="00464206"/>
    <w:rsid w:val="00464337"/>
    <w:rsid w:val="00464655"/>
    <w:rsid w:val="004648A0"/>
    <w:rsid w:val="00464A9F"/>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F"/>
    <w:rsid w:val="004668BD"/>
    <w:rsid w:val="00466D22"/>
    <w:rsid w:val="0046750A"/>
    <w:rsid w:val="0046768E"/>
    <w:rsid w:val="00467BAB"/>
    <w:rsid w:val="00467CAD"/>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647"/>
    <w:rsid w:val="00473789"/>
    <w:rsid w:val="0047388D"/>
    <w:rsid w:val="00473A6A"/>
    <w:rsid w:val="00473BC9"/>
    <w:rsid w:val="00473BD0"/>
    <w:rsid w:val="00473BDE"/>
    <w:rsid w:val="004742CD"/>
    <w:rsid w:val="00474430"/>
    <w:rsid w:val="004746E7"/>
    <w:rsid w:val="0047482D"/>
    <w:rsid w:val="00474D4C"/>
    <w:rsid w:val="00475425"/>
    <w:rsid w:val="00475578"/>
    <w:rsid w:val="004757BD"/>
    <w:rsid w:val="00475AC0"/>
    <w:rsid w:val="00475C70"/>
    <w:rsid w:val="00476395"/>
    <w:rsid w:val="00476401"/>
    <w:rsid w:val="00476551"/>
    <w:rsid w:val="00476568"/>
    <w:rsid w:val="00476571"/>
    <w:rsid w:val="00476576"/>
    <w:rsid w:val="00476610"/>
    <w:rsid w:val="00476722"/>
    <w:rsid w:val="00476D94"/>
    <w:rsid w:val="00476DDF"/>
    <w:rsid w:val="00476E2F"/>
    <w:rsid w:val="00476E5A"/>
    <w:rsid w:val="00476F98"/>
    <w:rsid w:val="00476FB2"/>
    <w:rsid w:val="004771AA"/>
    <w:rsid w:val="00477426"/>
    <w:rsid w:val="0047759E"/>
    <w:rsid w:val="004775CB"/>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90A"/>
    <w:rsid w:val="00480933"/>
    <w:rsid w:val="00480A3E"/>
    <w:rsid w:val="00480A60"/>
    <w:rsid w:val="00480C80"/>
    <w:rsid w:val="00480E3B"/>
    <w:rsid w:val="00480EB3"/>
    <w:rsid w:val="00480F30"/>
    <w:rsid w:val="004812AB"/>
    <w:rsid w:val="004813BA"/>
    <w:rsid w:val="004813CB"/>
    <w:rsid w:val="00481410"/>
    <w:rsid w:val="004814A9"/>
    <w:rsid w:val="00481619"/>
    <w:rsid w:val="0048164D"/>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DB"/>
    <w:rsid w:val="00483D1A"/>
    <w:rsid w:val="00483ECF"/>
    <w:rsid w:val="004840C4"/>
    <w:rsid w:val="00484193"/>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907"/>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6F2"/>
    <w:rsid w:val="004949EC"/>
    <w:rsid w:val="00494AB7"/>
    <w:rsid w:val="00494B5E"/>
    <w:rsid w:val="00494E63"/>
    <w:rsid w:val="00495052"/>
    <w:rsid w:val="004952CF"/>
    <w:rsid w:val="004952ED"/>
    <w:rsid w:val="00495303"/>
    <w:rsid w:val="004954C7"/>
    <w:rsid w:val="00495B26"/>
    <w:rsid w:val="00495B92"/>
    <w:rsid w:val="00495C7C"/>
    <w:rsid w:val="00495E48"/>
    <w:rsid w:val="0049608E"/>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33B"/>
    <w:rsid w:val="004974A3"/>
    <w:rsid w:val="0049756C"/>
    <w:rsid w:val="0049786E"/>
    <w:rsid w:val="0049792B"/>
    <w:rsid w:val="00497F75"/>
    <w:rsid w:val="004A0032"/>
    <w:rsid w:val="004A026C"/>
    <w:rsid w:val="004A042A"/>
    <w:rsid w:val="004A0437"/>
    <w:rsid w:val="004A068F"/>
    <w:rsid w:val="004A077E"/>
    <w:rsid w:val="004A07CE"/>
    <w:rsid w:val="004A0C6C"/>
    <w:rsid w:val="004A0D9E"/>
    <w:rsid w:val="004A0E4E"/>
    <w:rsid w:val="004A0F51"/>
    <w:rsid w:val="004A0F99"/>
    <w:rsid w:val="004A106C"/>
    <w:rsid w:val="004A112C"/>
    <w:rsid w:val="004A1403"/>
    <w:rsid w:val="004A1552"/>
    <w:rsid w:val="004A15A8"/>
    <w:rsid w:val="004A1616"/>
    <w:rsid w:val="004A19BA"/>
    <w:rsid w:val="004A1A0A"/>
    <w:rsid w:val="004A1AAA"/>
    <w:rsid w:val="004A1B40"/>
    <w:rsid w:val="004A1DBA"/>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2BA"/>
    <w:rsid w:val="004A4326"/>
    <w:rsid w:val="004A4711"/>
    <w:rsid w:val="004A4768"/>
    <w:rsid w:val="004A4945"/>
    <w:rsid w:val="004A49C8"/>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C7B"/>
    <w:rsid w:val="004A6D7C"/>
    <w:rsid w:val="004A714C"/>
    <w:rsid w:val="004A7447"/>
    <w:rsid w:val="004A7584"/>
    <w:rsid w:val="004A7786"/>
    <w:rsid w:val="004A7D48"/>
    <w:rsid w:val="004A7F96"/>
    <w:rsid w:val="004B04F2"/>
    <w:rsid w:val="004B08FB"/>
    <w:rsid w:val="004B0907"/>
    <w:rsid w:val="004B0AE9"/>
    <w:rsid w:val="004B0C4A"/>
    <w:rsid w:val="004B0D1E"/>
    <w:rsid w:val="004B0D69"/>
    <w:rsid w:val="004B0F51"/>
    <w:rsid w:val="004B0FA2"/>
    <w:rsid w:val="004B0FB6"/>
    <w:rsid w:val="004B110B"/>
    <w:rsid w:val="004B11A0"/>
    <w:rsid w:val="004B13ED"/>
    <w:rsid w:val="004B13F5"/>
    <w:rsid w:val="004B18C5"/>
    <w:rsid w:val="004B18FC"/>
    <w:rsid w:val="004B1979"/>
    <w:rsid w:val="004B1C00"/>
    <w:rsid w:val="004B1C4A"/>
    <w:rsid w:val="004B1D27"/>
    <w:rsid w:val="004B21C8"/>
    <w:rsid w:val="004B2494"/>
    <w:rsid w:val="004B265C"/>
    <w:rsid w:val="004B2717"/>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28"/>
    <w:rsid w:val="004B5DF9"/>
    <w:rsid w:val="004B5DFB"/>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AD"/>
    <w:rsid w:val="004C0E12"/>
    <w:rsid w:val="004C0FE4"/>
    <w:rsid w:val="004C0FFE"/>
    <w:rsid w:val="004C1368"/>
    <w:rsid w:val="004C13C7"/>
    <w:rsid w:val="004C16E2"/>
    <w:rsid w:val="004C175C"/>
    <w:rsid w:val="004C1AA1"/>
    <w:rsid w:val="004C1B87"/>
    <w:rsid w:val="004C1F0F"/>
    <w:rsid w:val="004C208E"/>
    <w:rsid w:val="004C20AC"/>
    <w:rsid w:val="004C228E"/>
    <w:rsid w:val="004C2406"/>
    <w:rsid w:val="004C2496"/>
    <w:rsid w:val="004C262E"/>
    <w:rsid w:val="004C2B3B"/>
    <w:rsid w:val="004C2C5B"/>
    <w:rsid w:val="004C2C5D"/>
    <w:rsid w:val="004C2D53"/>
    <w:rsid w:val="004C2DC8"/>
    <w:rsid w:val="004C2FE3"/>
    <w:rsid w:val="004C2FF7"/>
    <w:rsid w:val="004C30BE"/>
    <w:rsid w:val="004C3163"/>
    <w:rsid w:val="004C321C"/>
    <w:rsid w:val="004C3576"/>
    <w:rsid w:val="004C358B"/>
    <w:rsid w:val="004C3712"/>
    <w:rsid w:val="004C3EC6"/>
    <w:rsid w:val="004C41B0"/>
    <w:rsid w:val="004C42AC"/>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BC0"/>
    <w:rsid w:val="004C7D96"/>
    <w:rsid w:val="004C7DA6"/>
    <w:rsid w:val="004C7F43"/>
    <w:rsid w:val="004D02B9"/>
    <w:rsid w:val="004D0368"/>
    <w:rsid w:val="004D041E"/>
    <w:rsid w:val="004D04B2"/>
    <w:rsid w:val="004D070A"/>
    <w:rsid w:val="004D0BF6"/>
    <w:rsid w:val="004D0E3B"/>
    <w:rsid w:val="004D0E78"/>
    <w:rsid w:val="004D1117"/>
    <w:rsid w:val="004D1193"/>
    <w:rsid w:val="004D11AC"/>
    <w:rsid w:val="004D11B9"/>
    <w:rsid w:val="004D13CE"/>
    <w:rsid w:val="004D153E"/>
    <w:rsid w:val="004D157A"/>
    <w:rsid w:val="004D15C6"/>
    <w:rsid w:val="004D163F"/>
    <w:rsid w:val="004D1A25"/>
    <w:rsid w:val="004D1B16"/>
    <w:rsid w:val="004D1B44"/>
    <w:rsid w:val="004D1B68"/>
    <w:rsid w:val="004D1BFE"/>
    <w:rsid w:val="004D1C56"/>
    <w:rsid w:val="004D1CD4"/>
    <w:rsid w:val="004D1D39"/>
    <w:rsid w:val="004D1DEA"/>
    <w:rsid w:val="004D1F42"/>
    <w:rsid w:val="004D20CA"/>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5DA"/>
    <w:rsid w:val="004D4810"/>
    <w:rsid w:val="004D4816"/>
    <w:rsid w:val="004D4A06"/>
    <w:rsid w:val="004D4B57"/>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70D"/>
    <w:rsid w:val="004D67D4"/>
    <w:rsid w:val="004D682E"/>
    <w:rsid w:val="004D69FD"/>
    <w:rsid w:val="004D6A7A"/>
    <w:rsid w:val="004D6AFA"/>
    <w:rsid w:val="004D6D6A"/>
    <w:rsid w:val="004D7464"/>
    <w:rsid w:val="004D74AE"/>
    <w:rsid w:val="004D74B4"/>
    <w:rsid w:val="004D75DA"/>
    <w:rsid w:val="004D771B"/>
    <w:rsid w:val="004D783A"/>
    <w:rsid w:val="004D7A09"/>
    <w:rsid w:val="004D7AA2"/>
    <w:rsid w:val="004D7F05"/>
    <w:rsid w:val="004D7F65"/>
    <w:rsid w:val="004E0322"/>
    <w:rsid w:val="004E042B"/>
    <w:rsid w:val="004E0BB8"/>
    <w:rsid w:val="004E0EFE"/>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DE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61"/>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11"/>
    <w:rsid w:val="004E6D37"/>
    <w:rsid w:val="004E6D3A"/>
    <w:rsid w:val="004E6D70"/>
    <w:rsid w:val="004E6DAC"/>
    <w:rsid w:val="004E6DDC"/>
    <w:rsid w:val="004E6DE8"/>
    <w:rsid w:val="004E6FD9"/>
    <w:rsid w:val="004E6FE9"/>
    <w:rsid w:val="004E701D"/>
    <w:rsid w:val="004E7158"/>
    <w:rsid w:val="004E717A"/>
    <w:rsid w:val="004E7395"/>
    <w:rsid w:val="004E7766"/>
    <w:rsid w:val="004E7820"/>
    <w:rsid w:val="004E78E3"/>
    <w:rsid w:val="004E7973"/>
    <w:rsid w:val="004E7ABC"/>
    <w:rsid w:val="004E7AD0"/>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261"/>
    <w:rsid w:val="004F327B"/>
    <w:rsid w:val="004F3621"/>
    <w:rsid w:val="004F3808"/>
    <w:rsid w:val="004F3A83"/>
    <w:rsid w:val="004F3B44"/>
    <w:rsid w:val="004F3BF1"/>
    <w:rsid w:val="004F3DA5"/>
    <w:rsid w:val="004F3DB5"/>
    <w:rsid w:val="004F3F02"/>
    <w:rsid w:val="004F3FFD"/>
    <w:rsid w:val="004F4057"/>
    <w:rsid w:val="004F40F3"/>
    <w:rsid w:val="004F41B1"/>
    <w:rsid w:val="004F43F1"/>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BC8"/>
    <w:rsid w:val="004F6D02"/>
    <w:rsid w:val="004F6D98"/>
    <w:rsid w:val="004F6EF5"/>
    <w:rsid w:val="004F6F6C"/>
    <w:rsid w:val="004F6FCB"/>
    <w:rsid w:val="004F7397"/>
    <w:rsid w:val="004F7667"/>
    <w:rsid w:val="004F7725"/>
    <w:rsid w:val="004F78C2"/>
    <w:rsid w:val="004F78DD"/>
    <w:rsid w:val="004F7ABE"/>
    <w:rsid w:val="00500216"/>
    <w:rsid w:val="005004F0"/>
    <w:rsid w:val="00500578"/>
    <w:rsid w:val="00500876"/>
    <w:rsid w:val="005008D5"/>
    <w:rsid w:val="00500955"/>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22C"/>
    <w:rsid w:val="00502234"/>
    <w:rsid w:val="00502335"/>
    <w:rsid w:val="0050240E"/>
    <w:rsid w:val="005024C4"/>
    <w:rsid w:val="005025DE"/>
    <w:rsid w:val="00502682"/>
    <w:rsid w:val="0050275E"/>
    <w:rsid w:val="00502958"/>
    <w:rsid w:val="00502A95"/>
    <w:rsid w:val="00502C3C"/>
    <w:rsid w:val="00502C79"/>
    <w:rsid w:val="00502CE3"/>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DE9"/>
    <w:rsid w:val="005062FC"/>
    <w:rsid w:val="00506347"/>
    <w:rsid w:val="00506389"/>
    <w:rsid w:val="005063E6"/>
    <w:rsid w:val="00506786"/>
    <w:rsid w:val="00506B50"/>
    <w:rsid w:val="00506CB9"/>
    <w:rsid w:val="00506D22"/>
    <w:rsid w:val="00506FE7"/>
    <w:rsid w:val="00506FEF"/>
    <w:rsid w:val="005070EC"/>
    <w:rsid w:val="005071C0"/>
    <w:rsid w:val="00507859"/>
    <w:rsid w:val="005079EF"/>
    <w:rsid w:val="00507DBB"/>
    <w:rsid w:val="0051032B"/>
    <w:rsid w:val="00510562"/>
    <w:rsid w:val="005105E5"/>
    <w:rsid w:val="00510620"/>
    <w:rsid w:val="00510692"/>
    <w:rsid w:val="00510703"/>
    <w:rsid w:val="00510767"/>
    <w:rsid w:val="005107AA"/>
    <w:rsid w:val="005111EA"/>
    <w:rsid w:val="00511289"/>
    <w:rsid w:val="00511452"/>
    <w:rsid w:val="00511544"/>
    <w:rsid w:val="005115B4"/>
    <w:rsid w:val="00511661"/>
    <w:rsid w:val="005117A9"/>
    <w:rsid w:val="00511A78"/>
    <w:rsid w:val="00511A7C"/>
    <w:rsid w:val="00511B9D"/>
    <w:rsid w:val="00511C22"/>
    <w:rsid w:val="0051200E"/>
    <w:rsid w:val="00512027"/>
    <w:rsid w:val="005123EF"/>
    <w:rsid w:val="0051271B"/>
    <w:rsid w:val="00512832"/>
    <w:rsid w:val="00512A17"/>
    <w:rsid w:val="00512C8E"/>
    <w:rsid w:val="00512D3E"/>
    <w:rsid w:val="00512E45"/>
    <w:rsid w:val="00512EE7"/>
    <w:rsid w:val="00512FE3"/>
    <w:rsid w:val="00513103"/>
    <w:rsid w:val="00513183"/>
    <w:rsid w:val="005133EA"/>
    <w:rsid w:val="005135AC"/>
    <w:rsid w:val="0051376B"/>
    <w:rsid w:val="00513814"/>
    <w:rsid w:val="00513821"/>
    <w:rsid w:val="005138DA"/>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2F"/>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615"/>
    <w:rsid w:val="005208FB"/>
    <w:rsid w:val="00520B07"/>
    <w:rsid w:val="00520C15"/>
    <w:rsid w:val="00520FEA"/>
    <w:rsid w:val="00520FEE"/>
    <w:rsid w:val="00521298"/>
    <w:rsid w:val="00521345"/>
    <w:rsid w:val="00521402"/>
    <w:rsid w:val="005217BD"/>
    <w:rsid w:val="005218E0"/>
    <w:rsid w:val="005219E7"/>
    <w:rsid w:val="00521B49"/>
    <w:rsid w:val="00521DB3"/>
    <w:rsid w:val="00521DBC"/>
    <w:rsid w:val="00521EAC"/>
    <w:rsid w:val="00522254"/>
    <w:rsid w:val="00522262"/>
    <w:rsid w:val="00522432"/>
    <w:rsid w:val="0052250D"/>
    <w:rsid w:val="00522A1A"/>
    <w:rsid w:val="00522B29"/>
    <w:rsid w:val="00522B59"/>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62F7"/>
    <w:rsid w:val="0052649D"/>
    <w:rsid w:val="0052651A"/>
    <w:rsid w:val="00526566"/>
    <w:rsid w:val="0052657D"/>
    <w:rsid w:val="005265B9"/>
    <w:rsid w:val="00526AB1"/>
    <w:rsid w:val="00527537"/>
    <w:rsid w:val="00527634"/>
    <w:rsid w:val="0052766F"/>
    <w:rsid w:val="005276AE"/>
    <w:rsid w:val="00527848"/>
    <w:rsid w:val="00527953"/>
    <w:rsid w:val="00527A6C"/>
    <w:rsid w:val="00527A75"/>
    <w:rsid w:val="00527D03"/>
    <w:rsid w:val="00527F4E"/>
    <w:rsid w:val="00527F57"/>
    <w:rsid w:val="00527FEE"/>
    <w:rsid w:val="0053004B"/>
    <w:rsid w:val="005301A8"/>
    <w:rsid w:val="00530307"/>
    <w:rsid w:val="005303AC"/>
    <w:rsid w:val="00530595"/>
    <w:rsid w:val="005305FB"/>
    <w:rsid w:val="00530715"/>
    <w:rsid w:val="005309A8"/>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894"/>
    <w:rsid w:val="00532902"/>
    <w:rsid w:val="00532AF0"/>
    <w:rsid w:val="00532C2B"/>
    <w:rsid w:val="00532EC3"/>
    <w:rsid w:val="005330DB"/>
    <w:rsid w:val="00533498"/>
    <w:rsid w:val="00533680"/>
    <w:rsid w:val="005339AC"/>
    <w:rsid w:val="00533A3B"/>
    <w:rsid w:val="00533F61"/>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507"/>
    <w:rsid w:val="0053662D"/>
    <w:rsid w:val="00536866"/>
    <w:rsid w:val="00536926"/>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641"/>
    <w:rsid w:val="0054086F"/>
    <w:rsid w:val="005408F8"/>
    <w:rsid w:val="00540929"/>
    <w:rsid w:val="00540AC7"/>
    <w:rsid w:val="00540C85"/>
    <w:rsid w:val="0054105C"/>
    <w:rsid w:val="005410A3"/>
    <w:rsid w:val="005411F9"/>
    <w:rsid w:val="00541202"/>
    <w:rsid w:val="0054142D"/>
    <w:rsid w:val="005417F7"/>
    <w:rsid w:val="00541CCC"/>
    <w:rsid w:val="00541EBC"/>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7160"/>
    <w:rsid w:val="005471F7"/>
    <w:rsid w:val="00547301"/>
    <w:rsid w:val="005473C2"/>
    <w:rsid w:val="00547DB8"/>
    <w:rsid w:val="005503E1"/>
    <w:rsid w:val="005505C6"/>
    <w:rsid w:val="00550919"/>
    <w:rsid w:val="00550A02"/>
    <w:rsid w:val="00550C29"/>
    <w:rsid w:val="00550C89"/>
    <w:rsid w:val="00550D97"/>
    <w:rsid w:val="00550DD0"/>
    <w:rsid w:val="00550EA7"/>
    <w:rsid w:val="00550FBF"/>
    <w:rsid w:val="005510C0"/>
    <w:rsid w:val="00551248"/>
    <w:rsid w:val="0055149D"/>
    <w:rsid w:val="005515F7"/>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06C"/>
    <w:rsid w:val="00554386"/>
    <w:rsid w:val="005543F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D8C"/>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222"/>
    <w:rsid w:val="0057487D"/>
    <w:rsid w:val="00574934"/>
    <w:rsid w:val="00574938"/>
    <w:rsid w:val="00574C07"/>
    <w:rsid w:val="00574C91"/>
    <w:rsid w:val="00575239"/>
    <w:rsid w:val="005752BD"/>
    <w:rsid w:val="00575351"/>
    <w:rsid w:val="005753AD"/>
    <w:rsid w:val="00575584"/>
    <w:rsid w:val="00575A52"/>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A3"/>
    <w:rsid w:val="005848CA"/>
    <w:rsid w:val="00584A24"/>
    <w:rsid w:val="00584A6E"/>
    <w:rsid w:val="00584E94"/>
    <w:rsid w:val="00584EDE"/>
    <w:rsid w:val="005851E7"/>
    <w:rsid w:val="005855E0"/>
    <w:rsid w:val="005856BF"/>
    <w:rsid w:val="00585800"/>
    <w:rsid w:val="00585806"/>
    <w:rsid w:val="0058584B"/>
    <w:rsid w:val="00585925"/>
    <w:rsid w:val="00585B3E"/>
    <w:rsid w:val="00585BD4"/>
    <w:rsid w:val="00585C40"/>
    <w:rsid w:val="00585E94"/>
    <w:rsid w:val="00585F60"/>
    <w:rsid w:val="00585FD0"/>
    <w:rsid w:val="00586014"/>
    <w:rsid w:val="005860BE"/>
    <w:rsid w:val="00586150"/>
    <w:rsid w:val="005868CF"/>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63"/>
    <w:rsid w:val="00592D6D"/>
    <w:rsid w:val="00592E8B"/>
    <w:rsid w:val="00592EE3"/>
    <w:rsid w:val="00592FAE"/>
    <w:rsid w:val="005931A0"/>
    <w:rsid w:val="00593357"/>
    <w:rsid w:val="00593511"/>
    <w:rsid w:val="0059360A"/>
    <w:rsid w:val="005937E0"/>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23F"/>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34"/>
    <w:rsid w:val="005A098E"/>
    <w:rsid w:val="005A0A18"/>
    <w:rsid w:val="005A0D3D"/>
    <w:rsid w:val="005A0D9B"/>
    <w:rsid w:val="005A0EEB"/>
    <w:rsid w:val="005A0F86"/>
    <w:rsid w:val="005A10F9"/>
    <w:rsid w:val="005A147D"/>
    <w:rsid w:val="005A1800"/>
    <w:rsid w:val="005A1901"/>
    <w:rsid w:val="005A1C67"/>
    <w:rsid w:val="005A1CD1"/>
    <w:rsid w:val="005A2064"/>
    <w:rsid w:val="005A24CF"/>
    <w:rsid w:val="005A257C"/>
    <w:rsid w:val="005A2830"/>
    <w:rsid w:val="005A2985"/>
    <w:rsid w:val="005A2B8A"/>
    <w:rsid w:val="005A2C83"/>
    <w:rsid w:val="005A2FEC"/>
    <w:rsid w:val="005A30AB"/>
    <w:rsid w:val="005A3466"/>
    <w:rsid w:val="005A38EF"/>
    <w:rsid w:val="005A397C"/>
    <w:rsid w:val="005A39BB"/>
    <w:rsid w:val="005A3E5B"/>
    <w:rsid w:val="005A3F1A"/>
    <w:rsid w:val="005A3FEB"/>
    <w:rsid w:val="005A4065"/>
    <w:rsid w:val="005A4069"/>
    <w:rsid w:val="005A44C2"/>
    <w:rsid w:val="005A454F"/>
    <w:rsid w:val="005A4571"/>
    <w:rsid w:val="005A467B"/>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CB7"/>
    <w:rsid w:val="005A6DB6"/>
    <w:rsid w:val="005A6DC8"/>
    <w:rsid w:val="005A6E81"/>
    <w:rsid w:val="005A6F2E"/>
    <w:rsid w:val="005A7029"/>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905"/>
    <w:rsid w:val="005B2A19"/>
    <w:rsid w:val="005B2A44"/>
    <w:rsid w:val="005B2B3E"/>
    <w:rsid w:val="005B2C39"/>
    <w:rsid w:val="005B2E70"/>
    <w:rsid w:val="005B316C"/>
    <w:rsid w:val="005B33E9"/>
    <w:rsid w:val="005B368D"/>
    <w:rsid w:val="005B3709"/>
    <w:rsid w:val="005B3751"/>
    <w:rsid w:val="005B38E1"/>
    <w:rsid w:val="005B3B7E"/>
    <w:rsid w:val="005B3BBF"/>
    <w:rsid w:val="005B3CF0"/>
    <w:rsid w:val="005B3D08"/>
    <w:rsid w:val="005B3E39"/>
    <w:rsid w:val="005B3EE5"/>
    <w:rsid w:val="005B3F00"/>
    <w:rsid w:val="005B40C5"/>
    <w:rsid w:val="005B417D"/>
    <w:rsid w:val="005B421C"/>
    <w:rsid w:val="005B4322"/>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BD9"/>
    <w:rsid w:val="005B6DBA"/>
    <w:rsid w:val="005B6E4A"/>
    <w:rsid w:val="005B6FD2"/>
    <w:rsid w:val="005B703A"/>
    <w:rsid w:val="005B7201"/>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B0D"/>
    <w:rsid w:val="005C3B73"/>
    <w:rsid w:val="005C3BF7"/>
    <w:rsid w:val="005C3DEF"/>
    <w:rsid w:val="005C409E"/>
    <w:rsid w:val="005C424F"/>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34A"/>
    <w:rsid w:val="005C544A"/>
    <w:rsid w:val="005C54C9"/>
    <w:rsid w:val="005C573C"/>
    <w:rsid w:val="005C5D24"/>
    <w:rsid w:val="005C5ED7"/>
    <w:rsid w:val="005C5F37"/>
    <w:rsid w:val="005C6209"/>
    <w:rsid w:val="005C65D8"/>
    <w:rsid w:val="005C660C"/>
    <w:rsid w:val="005C67D7"/>
    <w:rsid w:val="005C6848"/>
    <w:rsid w:val="005C685B"/>
    <w:rsid w:val="005C6A7C"/>
    <w:rsid w:val="005C6B5A"/>
    <w:rsid w:val="005C6B95"/>
    <w:rsid w:val="005C6BD6"/>
    <w:rsid w:val="005C6F1D"/>
    <w:rsid w:val="005C6F33"/>
    <w:rsid w:val="005C7412"/>
    <w:rsid w:val="005C7447"/>
    <w:rsid w:val="005C74CA"/>
    <w:rsid w:val="005C7517"/>
    <w:rsid w:val="005C77DE"/>
    <w:rsid w:val="005C7877"/>
    <w:rsid w:val="005C7878"/>
    <w:rsid w:val="005C7BD4"/>
    <w:rsid w:val="005D0177"/>
    <w:rsid w:val="005D021B"/>
    <w:rsid w:val="005D0252"/>
    <w:rsid w:val="005D0339"/>
    <w:rsid w:val="005D0415"/>
    <w:rsid w:val="005D0470"/>
    <w:rsid w:val="005D04F3"/>
    <w:rsid w:val="005D07BA"/>
    <w:rsid w:val="005D0923"/>
    <w:rsid w:val="005D0B37"/>
    <w:rsid w:val="005D0B4D"/>
    <w:rsid w:val="005D0E70"/>
    <w:rsid w:val="005D0E9A"/>
    <w:rsid w:val="005D0F90"/>
    <w:rsid w:val="005D0F95"/>
    <w:rsid w:val="005D102C"/>
    <w:rsid w:val="005D12C4"/>
    <w:rsid w:val="005D1312"/>
    <w:rsid w:val="005D138A"/>
    <w:rsid w:val="005D13C0"/>
    <w:rsid w:val="005D144F"/>
    <w:rsid w:val="005D1559"/>
    <w:rsid w:val="005D15FC"/>
    <w:rsid w:val="005D1878"/>
    <w:rsid w:val="005D1BDB"/>
    <w:rsid w:val="005D1CCA"/>
    <w:rsid w:val="005D1E0E"/>
    <w:rsid w:val="005D1E20"/>
    <w:rsid w:val="005D207E"/>
    <w:rsid w:val="005D2607"/>
    <w:rsid w:val="005D2728"/>
    <w:rsid w:val="005D2840"/>
    <w:rsid w:val="005D2A4F"/>
    <w:rsid w:val="005D2A51"/>
    <w:rsid w:val="005D2A87"/>
    <w:rsid w:val="005D2AAE"/>
    <w:rsid w:val="005D2C32"/>
    <w:rsid w:val="005D2CCD"/>
    <w:rsid w:val="005D2D41"/>
    <w:rsid w:val="005D2F0D"/>
    <w:rsid w:val="005D2F21"/>
    <w:rsid w:val="005D3179"/>
    <w:rsid w:val="005D32FC"/>
    <w:rsid w:val="005D3721"/>
    <w:rsid w:val="005D389F"/>
    <w:rsid w:val="005D3C7D"/>
    <w:rsid w:val="005D4268"/>
    <w:rsid w:val="005D4442"/>
    <w:rsid w:val="005D4497"/>
    <w:rsid w:val="005D4912"/>
    <w:rsid w:val="005D4CBA"/>
    <w:rsid w:val="005D4DAE"/>
    <w:rsid w:val="005D50C8"/>
    <w:rsid w:val="005D5252"/>
    <w:rsid w:val="005D5265"/>
    <w:rsid w:val="005D542A"/>
    <w:rsid w:val="005D54C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CF"/>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900"/>
    <w:rsid w:val="005E1AEF"/>
    <w:rsid w:val="005E1CE0"/>
    <w:rsid w:val="005E1D1D"/>
    <w:rsid w:val="005E1D89"/>
    <w:rsid w:val="005E1E04"/>
    <w:rsid w:val="005E219E"/>
    <w:rsid w:val="005E21B3"/>
    <w:rsid w:val="005E22C4"/>
    <w:rsid w:val="005E24FA"/>
    <w:rsid w:val="005E27E9"/>
    <w:rsid w:val="005E28AC"/>
    <w:rsid w:val="005E28D8"/>
    <w:rsid w:val="005E2915"/>
    <w:rsid w:val="005E30D9"/>
    <w:rsid w:val="005E3157"/>
    <w:rsid w:val="005E332B"/>
    <w:rsid w:val="005E33DB"/>
    <w:rsid w:val="005E343C"/>
    <w:rsid w:val="005E346D"/>
    <w:rsid w:val="005E3665"/>
    <w:rsid w:val="005E3723"/>
    <w:rsid w:val="005E37BE"/>
    <w:rsid w:val="005E3A25"/>
    <w:rsid w:val="005E3A93"/>
    <w:rsid w:val="005E3C18"/>
    <w:rsid w:val="005E3C57"/>
    <w:rsid w:val="005E3DFA"/>
    <w:rsid w:val="005E3E72"/>
    <w:rsid w:val="005E3E92"/>
    <w:rsid w:val="005E42AE"/>
    <w:rsid w:val="005E4447"/>
    <w:rsid w:val="005E4514"/>
    <w:rsid w:val="005E45AD"/>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481"/>
    <w:rsid w:val="005E681C"/>
    <w:rsid w:val="005E6D28"/>
    <w:rsid w:val="005E6F1B"/>
    <w:rsid w:val="005E6FE1"/>
    <w:rsid w:val="005E7446"/>
    <w:rsid w:val="005E762B"/>
    <w:rsid w:val="005E781B"/>
    <w:rsid w:val="005E7AF3"/>
    <w:rsid w:val="005E7FE3"/>
    <w:rsid w:val="005F03A5"/>
    <w:rsid w:val="005F0792"/>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FD"/>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824"/>
    <w:rsid w:val="005F4A60"/>
    <w:rsid w:val="005F4AB3"/>
    <w:rsid w:val="005F4C32"/>
    <w:rsid w:val="005F4CB4"/>
    <w:rsid w:val="005F4DA1"/>
    <w:rsid w:val="005F5083"/>
    <w:rsid w:val="005F51F7"/>
    <w:rsid w:val="005F57FA"/>
    <w:rsid w:val="005F5935"/>
    <w:rsid w:val="005F5951"/>
    <w:rsid w:val="005F59B8"/>
    <w:rsid w:val="005F5A47"/>
    <w:rsid w:val="005F5AB0"/>
    <w:rsid w:val="005F5AF5"/>
    <w:rsid w:val="005F5B9B"/>
    <w:rsid w:val="005F5BA7"/>
    <w:rsid w:val="005F5C00"/>
    <w:rsid w:val="005F5E9E"/>
    <w:rsid w:val="005F5EDA"/>
    <w:rsid w:val="005F5F76"/>
    <w:rsid w:val="005F6324"/>
    <w:rsid w:val="005F654E"/>
    <w:rsid w:val="005F65E7"/>
    <w:rsid w:val="005F665D"/>
    <w:rsid w:val="005F67BE"/>
    <w:rsid w:val="005F6948"/>
    <w:rsid w:val="005F6A14"/>
    <w:rsid w:val="005F6B1E"/>
    <w:rsid w:val="005F6EE7"/>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FD7"/>
    <w:rsid w:val="006042D5"/>
    <w:rsid w:val="006043BC"/>
    <w:rsid w:val="006043F7"/>
    <w:rsid w:val="00604494"/>
    <w:rsid w:val="006045BB"/>
    <w:rsid w:val="00604692"/>
    <w:rsid w:val="00604774"/>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85D"/>
    <w:rsid w:val="00605B5A"/>
    <w:rsid w:val="00605D96"/>
    <w:rsid w:val="00606056"/>
    <w:rsid w:val="006063C9"/>
    <w:rsid w:val="0060656B"/>
    <w:rsid w:val="006065B4"/>
    <w:rsid w:val="00606735"/>
    <w:rsid w:val="00606939"/>
    <w:rsid w:val="00606C07"/>
    <w:rsid w:val="00606C92"/>
    <w:rsid w:val="00606D06"/>
    <w:rsid w:val="00606D48"/>
    <w:rsid w:val="00606DEE"/>
    <w:rsid w:val="00606E6C"/>
    <w:rsid w:val="006073DD"/>
    <w:rsid w:val="0060746C"/>
    <w:rsid w:val="00607509"/>
    <w:rsid w:val="0060755E"/>
    <w:rsid w:val="0060762C"/>
    <w:rsid w:val="0060767C"/>
    <w:rsid w:val="0060773F"/>
    <w:rsid w:val="006079F2"/>
    <w:rsid w:val="006101B0"/>
    <w:rsid w:val="0061031C"/>
    <w:rsid w:val="0061039F"/>
    <w:rsid w:val="006103DE"/>
    <w:rsid w:val="00610504"/>
    <w:rsid w:val="006105FE"/>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92"/>
    <w:rsid w:val="006121A8"/>
    <w:rsid w:val="00612300"/>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3F3E"/>
    <w:rsid w:val="00614315"/>
    <w:rsid w:val="0061439A"/>
    <w:rsid w:val="006143E4"/>
    <w:rsid w:val="006143EF"/>
    <w:rsid w:val="006143F0"/>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EB8"/>
    <w:rsid w:val="00617F53"/>
    <w:rsid w:val="0062011D"/>
    <w:rsid w:val="0062013B"/>
    <w:rsid w:val="0062017C"/>
    <w:rsid w:val="0062053D"/>
    <w:rsid w:val="00620602"/>
    <w:rsid w:val="00620942"/>
    <w:rsid w:val="006209DA"/>
    <w:rsid w:val="00620A2B"/>
    <w:rsid w:val="00620B3E"/>
    <w:rsid w:val="00621122"/>
    <w:rsid w:val="00621216"/>
    <w:rsid w:val="0062126E"/>
    <w:rsid w:val="0062149A"/>
    <w:rsid w:val="006217F9"/>
    <w:rsid w:val="00621A3B"/>
    <w:rsid w:val="00621A43"/>
    <w:rsid w:val="00621A87"/>
    <w:rsid w:val="00621D01"/>
    <w:rsid w:val="0062208E"/>
    <w:rsid w:val="00622119"/>
    <w:rsid w:val="00622195"/>
    <w:rsid w:val="006224CD"/>
    <w:rsid w:val="006226D3"/>
    <w:rsid w:val="006229D6"/>
    <w:rsid w:val="0062306B"/>
    <w:rsid w:val="0062342D"/>
    <w:rsid w:val="0062372C"/>
    <w:rsid w:val="00623793"/>
    <w:rsid w:val="00623D48"/>
    <w:rsid w:val="00623DA2"/>
    <w:rsid w:val="00623F17"/>
    <w:rsid w:val="00623F21"/>
    <w:rsid w:val="0062435D"/>
    <w:rsid w:val="0062469E"/>
    <w:rsid w:val="006247BD"/>
    <w:rsid w:val="006247D7"/>
    <w:rsid w:val="0062495E"/>
    <w:rsid w:val="006249F9"/>
    <w:rsid w:val="00624F4A"/>
    <w:rsid w:val="006251AD"/>
    <w:rsid w:val="006255A8"/>
    <w:rsid w:val="006259E4"/>
    <w:rsid w:val="00625F8D"/>
    <w:rsid w:val="00626009"/>
    <w:rsid w:val="0062605C"/>
    <w:rsid w:val="006262B2"/>
    <w:rsid w:val="0062642A"/>
    <w:rsid w:val="0062653A"/>
    <w:rsid w:val="0062678B"/>
    <w:rsid w:val="006268A7"/>
    <w:rsid w:val="006269A4"/>
    <w:rsid w:val="00626A8B"/>
    <w:rsid w:val="006272F3"/>
    <w:rsid w:val="00627875"/>
    <w:rsid w:val="006279DA"/>
    <w:rsid w:val="00627B49"/>
    <w:rsid w:val="00627B9A"/>
    <w:rsid w:val="00627CE2"/>
    <w:rsid w:val="00627DF5"/>
    <w:rsid w:val="00630041"/>
    <w:rsid w:val="006301CC"/>
    <w:rsid w:val="006303D5"/>
    <w:rsid w:val="006303E9"/>
    <w:rsid w:val="0063047B"/>
    <w:rsid w:val="006304A4"/>
    <w:rsid w:val="006305F1"/>
    <w:rsid w:val="0063063E"/>
    <w:rsid w:val="006308A0"/>
    <w:rsid w:val="006308D9"/>
    <w:rsid w:val="00630B97"/>
    <w:rsid w:val="00630F86"/>
    <w:rsid w:val="0063105D"/>
    <w:rsid w:val="0063123D"/>
    <w:rsid w:val="006313B5"/>
    <w:rsid w:val="006313C9"/>
    <w:rsid w:val="006317BA"/>
    <w:rsid w:val="00631822"/>
    <w:rsid w:val="006318E8"/>
    <w:rsid w:val="006318FE"/>
    <w:rsid w:val="00631C8A"/>
    <w:rsid w:val="006327CF"/>
    <w:rsid w:val="0063286B"/>
    <w:rsid w:val="00632A40"/>
    <w:rsid w:val="00632B78"/>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AB"/>
    <w:rsid w:val="00640E43"/>
    <w:rsid w:val="00641017"/>
    <w:rsid w:val="00641273"/>
    <w:rsid w:val="0064128B"/>
    <w:rsid w:val="0064159A"/>
    <w:rsid w:val="00641879"/>
    <w:rsid w:val="0064190C"/>
    <w:rsid w:val="00641938"/>
    <w:rsid w:val="00641966"/>
    <w:rsid w:val="00641AE4"/>
    <w:rsid w:val="00641C80"/>
    <w:rsid w:val="00641DC8"/>
    <w:rsid w:val="00642034"/>
    <w:rsid w:val="00642079"/>
    <w:rsid w:val="006420CC"/>
    <w:rsid w:val="00642282"/>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416"/>
    <w:rsid w:val="00643585"/>
    <w:rsid w:val="00643C12"/>
    <w:rsid w:val="00644245"/>
    <w:rsid w:val="0064444B"/>
    <w:rsid w:val="00644938"/>
    <w:rsid w:val="00644987"/>
    <w:rsid w:val="006449A1"/>
    <w:rsid w:val="00644D28"/>
    <w:rsid w:val="006452B2"/>
    <w:rsid w:val="006454B2"/>
    <w:rsid w:val="0064554D"/>
    <w:rsid w:val="00645732"/>
    <w:rsid w:val="006457C4"/>
    <w:rsid w:val="006457C6"/>
    <w:rsid w:val="006458A8"/>
    <w:rsid w:val="00645A2F"/>
    <w:rsid w:val="00645AE9"/>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384"/>
    <w:rsid w:val="006514B1"/>
    <w:rsid w:val="006517A2"/>
    <w:rsid w:val="006518B8"/>
    <w:rsid w:val="00651C4D"/>
    <w:rsid w:val="00651DA7"/>
    <w:rsid w:val="00652002"/>
    <w:rsid w:val="00652013"/>
    <w:rsid w:val="006521BB"/>
    <w:rsid w:val="00652579"/>
    <w:rsid w:val="006525DF"/>
    <w:rsid w:val="006526C4"/>
    <w:rsid w:val="00652B09"/>
    <w:rsid w:val="00652CDC"/>
    <w:rsid w:val="00652D61"/>
    <w:rsid w:val="00652DB9"/>
    <w:rsid w:val="00653267"/>
    <w:rsid w:val="00653525"/>
    <w:rsid w:val="0065357D"/>
    <w:rsid w:val="006535F8"/>
    <w:rsid w:val="00653747"/>
    <w:rsid w:val="0065396F"/>
    <w:rsid w:val="006539E1"/>
    <w:rsid w:val="00653E97"/>
    <w:rsid w:val="00653E98"/>
    <w:rsid w:val="006543A9"/>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8E5"/>
    <w:rsid w:val="00660A14"/>
    <w:rsid w:val="00660A6B"/>
    <w:rsid w:val="00660CA8"/>
    <w:rsid w:val="00660D2E"/>
    <w:rsid w:val="00660F0E"/>
    <w:rsid w:val="006614D0"/>
    <w:rsid w:val="006615EF"/>
    <w:rsid w:val="00661609"/>
    <w:rsid w:val="00661615"/>
    <w:rsid w:val="00661667"/>
    <w:rsid w:val="00661A50"/>
    <w:rsid w:val="00661D02"/>
    <w:rsid w:val="00661DCA"/>
    <w:rsid w:val="00661F4B"/>
    <w:rsid w:val="00661F6F"/>
    <w:rsid w:val="006627A7"/>
    <w:rsid w:val="00662838"/>
    <w:rsid w:val="00662908"/>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D5"/>
    <w:rsid w:val="006662AE"/>
    <w:rsid w:val="00666385"/>
    <w:rsid w:val="0066652A"/>
    <w:rsid w:val="00666600"/>
    <w:rsid w:val="0066660A"/>
    <w:rsid w:val="006667AB"/>
    <w:rsid w:val="006669F0"/>
    <w:rsid w:val="00666AA5"/>
    <w:rsid w:val="00666B3C"/>
    <w:rsid w:val="00666BD2"/>
    <w:rsid w:val="00666E4C"/>
    <w:rsid w:val="00666FDD"/>
    <w:rsid w:val="006671AC"/>
    <w:rsid w:val="006671AE"/>
    <w:rsid w:val="006671B6"/>
    <w:rsid w:val="006674FD"/>
    <w:rsid w:val="00667536"/>
    <w:rsid w:val="00667873"/>
    <w:rsid w:val="0066787D"/>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DB"/>
    <w:rsid w:val="00673B6E"/>
    <w:rsid w:val="00673C09"/>
    <w:rsid w:val="00673F2E"/>
    <w:rsid w:val="00673F87"/>
    <w:rsid w:val="00674047"/>
    <w:rsid w:val="006744EC"/>
    <w:rsid w:val="00674736"/>
    <w:rsid w:val="00674822"/>
    <w:rsid w:val="0067494B"/>
    <w:rsid w:val="00674CEB"/>
    <w:rsid w:val="006751C4"/>
    <w:rsid w:val="006751D8"/>
    <w:rsid w:val="0067554A"/>
    <w:rsid w:val="006755BA"/>
    <w:rsid w:val="00675835"/>
    <w:rsid w:val="006758A5"/>
    <w:rsid w:val="00675989"/>
    <w:rsid w:val="00675CAD"/>
    <w:rsid w:val="00675EEC"/>
    <w:rsid w:val="006760A5"/>
    <w:rsid w:val="00676366"/>
    <w:rsid w:val="00676643"/>
    <w:rsid w:val="00676685"/>
    <w:rsid w:val="006766D6"/>
    <w:rsid w:val="0067678A"/>
    <w:rsid w:val="006769A1"/>
    <w:rsid w:val="00676BB2"/>
    <w:rsid w:val="00676BBA"/>
    <w:rsid w:val="00676BC7"/>
    <w:rsid w:val="00676C05"/>
    <w:rsid w:val="0067707A"/>
    <w:rsid w:val="00677306"/>
    <w:rsid w:val="006773DC"/>
    <w:rsid w:val="006773DF"/>
    <w:rsid w:val="0067778C"/>
    <w:rsid w:val="006777DD"/>
    <w:rsid w:val="00677BB1"/>
    <w:rsid w:val="00677BF7"/>
    <w:rsid w:val="00677D00"/>
    <w:rsid w:val="00677E9B"/>
    <w:rsid w:val="00677EE3"/>
    <w:rsid w:val="00677F24"/>
    <w:rsid w:val="0068008E"/>
    <w:rsid w:val="0068051E"/>
    <w:rsid w:val="006808D0"/>
    <w:rsid w:val="00680911"/>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CEA"/>
    <w:rsid w:val="00683F47"/>
    <w:rsid w:val="0068419E"/>
    <w:rsid w:val="00684205"/>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306"/>
    <w:rsid w:val="0068649C"/>
    <w:rsid w:val="006865D9"/>
    <w:rsid w:val="00686613"/>
    <w:rsid w:val="0068668A"/>
    <w:rsid w:val="00686731"/>
    <w:rsid w:val="00686F74"/>
    <w:rsid w:val="00687016"/>
    <w:rsid w:val="006871FA"/>
    <w:rsid w:val="00687248"/>
    <w:rsid w:val="0068730D"/>
    <w:rsid w:val="00687994"/>
    <w:rsid w:val="00687A48"/>
    <w:rsid w:val="00687A71"/>
    <w:rsid w:val="00687B39"/>
    <w:rsid w:val="00687CA4"/>
    <w:rsid w:val="00687CFC"/>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452"/>
    <w:rsid w:val="006954B5"/>
    <w:rsid w:val="00695720"/>
    <w:rsid w:val="006957F9"/>
    <w:rsid w:val="006959FC"/>
    <w:rsid w:val="00695A38"/>
    <w:rsid w:val="00695A7E"/>
    <w:rsid w:val="00695AF4"/>
    <w:rsid w:val="00696091"/>
    <w:rsid w:val="0069633B"/>
    <w:rsid w:val="00696575"/>
    <w:rsid w:val="006966C5"/>
    <w:rsid w:val="00696964"/>
    <w:rsid w:val="00696A78"/>
    <w:rsid w:val="00696BD0"/>
    <w:rsid w:val="00696D2E"/>
    <w:rsid w:val="00696ED7"/>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F2B"/>
    <w:rsid w:val="006A327F"/>
    <w:rsid w:val="006A32E2"/>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A5"/>
    <w:rsid w:val="006A44B2"/>
    <w:rsid w:val="006A44B3"/>
    <w:rsid w:val="006A44CE"/>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7152"/>
    <w:rsid w:val="006A7214"/>
    <w:rsid w:val="006A7223"/>
    <w:rsid w:val="006A72C2"/>
    <w:rsid w:val="006A74A2"/>
    <w:rsid w:val="006A74BD"/>
    <w:rsid w:val="006A76F1"/>
    <w:rsid w:val="006A790F"/>
    <w:rsid w:val="006A7985"/>
    <w:rsid w:val="006A7E5D"/>
    <w:rsid w:val="006B02E8"/>
    <w:rsid w:val="006B0332"/>
    <w:rsid w:val="006B04CC"/>
    <w:rsid w:val="006B06E3"/>
    <w:rsid w:val="006B07FE"/>
    <w:rsid w:val="006B08FB"/>
    <w:rsid w:val="006B0A05"/>
    <w:rsid w:val="006B0A0D"/>
    <w:rsid w:val="006B0AB6"/>
    <w:rsid w:val="006B0BF3"/>
    <w:rsid w:val="006B0E5A"/>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F41"/>
    <w:rsid w:val="006C03C4"/>
    <w:rsid w:val="006C05CA"/>
    <w:rsid w:val="006C0A7E"/>
    <w:rsid w:val="006C0AE5"/>
    <w:rsid w:val="006C0F6A"/>
    <w:rsid w:val="006C1162"/>
    <w:rsid w:val="006C1198"/>
    <w:rsid w:val="006C1571"/>
    <w:rsid w:val="006C171C"/>
    <w:rsid w:val="006C1A7C"/>
    <w:rsid w:val="006C2047"/>
    <w:rsid w:val="006C219C"/>
    <w:rsid w:val="006C2230"/>
    <w:rsid w:val="006C22D5"/>
    <w:rsid w:val="006C22F0"/>
    <w:rsid w:val="006C2310"/>
    <w:rsid w:val="006C2325"/>
    <w:rsid w:val="006C2602"/>
    <w:rsid w:val="006C26C7"/>
    <w:rsid w:val="006C2A2F"/>
    <w:rsid w:val="006C2EAB"/>
    <w:rsid w:val="006C3000"/>
    <w:rsid w:val="006C32F9"/>
    <w:rsid w:val="006C3511"/>
    <w:rsid w:val="006C353C"/>
    <w:rsid w:val="006C359F"/>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A5C"/>
    <w:rsid w:val="006C5BA2"/>
    <w:rsid w:val="006C5BBA"/>
    <w:rsid w:val="006C5EE2"/>
    <w:rsid w:val="006C5F53"/>
    <w:rsid w:val="006C5FDB"/>
    <w:rsid w:val="006C6275"/>
    <w:rsid w:val="006C62D9"/>
    <w:rsid w:val="006C664D"/>
    <w:rsid w:val="006C6777"/>
    <w:rsid w:val="006C67CC"/>
    <w:rsid w:val="006C694E"/>
    <w:rsid w:val="006C6B9A"/>
    <w:rsid w:val="006C6BBB"/>
    <w:rsid w:val="006C6D34"/>
    <w:rsid w:val="006C6D68"/>
    <w:rsid w:val="006C6D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675"/>
    <w:rsid w:val="006D08D3"/>
    <w:rsid w:val="006D0923"/>
    <w:rsid w:val="006D09CE"/>
    <w:rsid w:val="006D0BD2"/>
    <w:rsid w:val="006D0C7F"/>
    <w:rsid w:val="006D1016"/>
    <w:rsid w:val="006D1478"/>
    <w:rsid w:val="006D1754"/>
    <w:rsid w:val="006D1774"/>
    <w:rsid w:val="006D18CE"/>
    <w:rsid w:val="006D1AB8"/>
    <w:rsid w:val="006D1F21"/>
    <w:rsid w:val="006D211E"/>
    <w:rsid w:val="006D21EF"/>
    <w:rsid w:val="006D23D4"/>
    <w:rsid w:val="006D23FC"/>
    <w:rsid w:val="006D26C9"/>
    <w:rsid w:val="006D2AE0"/>
    <w:rsid w:val="006D2C0F"/>
    <w:rsid w:val="006D2F51"/>
    <w:rsid w:val="006D2F97"/>
    <w:rsid w:val="006D30DB"/>
    <w:rsid w:val="006D3112"/>
    <w:rsid w:val="006D3323"/>
    <w:rsid w:val="006D335B"/>
    <w:rsid w:val="006D3518"/>
    <w:rsid w:val="006D3562"/>
    <w:rsid w:val="006D3783"/>
    <w:rsid w:val="006D3B9B"/>
    <w:rsid w:val="006D3C26"/>
    <w:rsid w:val="006D43EF"/>
    <w:rsid w:val="006D44B0"/>
    <w:rsid w:val="006D451D"/>
    <w:rsid w:val="006D4599"/>
    <w:rsid w:val="006D462B"/>
    <w:rsid w:val="006D4802"/>
    <w:rsid w:val="006D4882"/>
    <w:rsid w:val="006D48FA"/>
    <w:rsid w:val="006D4AC4"/>
    <w:rsid w:val="006D4C9C"/>
    <w:rsid w:val="006D4D3D"/>
    <w:rsid w:val="006D5423"/>
    <w:rsid w:val="006D546D"/>
    <w:rsid w:val="006D5524"/>
    <w:rsid w:val="006D554C"/>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BAE"/>
    <w:rsid w:val="006D6C8C"/>
    <w:rsid w:val="006D6D1A"/>
    <w:rsid w:val="006D6E35"/>
    <w:rsid w:val="006D6EB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995"/>
    <w:rsid w:val="006E0AB0"/>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C0B"/>
    <w:rsid w:val="006E5143"/>
    <w:rsid w:val="006E51B0"/>
    <w:rsid w:val="006E5327"/>
    <w:rsid w:val="006E53EB"/>
    <w:rsid w:val="006E56FB"/>
    <w:rsid w:val="006E5762"/>
    <w:rsid w:val="006E5993"/>
    <w:rsid w:val="006E5A49"/>
    <w:rsid w:val="006E5CF9"/>
    <w:rsid w:val="006E5D67"/>
    <w:rsid w:val="006E5E4C"/>
    <w:rsid w:val="006E613E"/>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978"/>
    <w:rsid w:val="006E7A7B"/>
    <w:rsid w:val="006E7DC5"/>
    <w:rsid w:val="006E7F2B"/>
    <w:rsid w:val="006F0083"/>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844"/>
    <w:rsid w:val="006F2E1F"/>
    <w:rsid w:val="006F300A"/>
    <w:rsid w:val="006F30E0"/>
    <w:rsid w:val="006F32FF"/>
    <w:rsid w:val="006F33AD"/>
    <w:rsid w:val="006F33B9"/>
    <w:rsid w:val="006F3402"/>
    <w:rsid w:val="006F34BA"/>
    <w:rsid w:val="006F34CF"/>
    <w:rsid w:val="006F3668"/>
    <w:rsid w:val="006F376F"/>
    <w:rsid w:val="006F3926"/>
    <w:rsid w:val="006F3AF1"/>
    <w:rsid w:val="006F3C1E"/>
    <w:rsid w:val="006F3E04"/>
    <w:rsid w:val="006F4043"/>
    <w:rsid w:val="006F4137"/>
    <w:rsid w:val="006F4200"/>
    <w:rsid w:val="006F42EE"/>
    <w:rsid w:val="006F43E2"/>
    <w:rsid w:val="006F455A"/>
    <w:rsid w:val="006F460F"/>
    <w:rsid w:val="006F46B8"/>
    <w:rsid w:val="006F46FA"/>
    <w:rsid w:val="006F478F"/>
    <w:rsid w:val="006F47A5"/>
    <w:rsid w:val="006F47D7"/>
    <w:rsid w:val="006F48DE"/>
    <w:rsid w:val="006F49A1"/>
    <w:rsid w:val="006F49A8"/>
    <w:rsid w:val="006F4B3C"/>
    <w:rsid w:val="006F4D07"/>
    <w:rsid w:val="006F4FF0"/>
    <w:rsid w:val="006F5205"/>
    <w:rsid w:val="006F5207"/>
    <w:rsid w:val="006F520C"/>
    <w:rsid w:val="006F557F"/>
    <w:rsid w:val="006F5619"/>
    <w:rsid w:val="006F56AF"/>
    <w:rsid w:val="006F5915"/>
    <w:rsid w:val="006F5981"/>
    <w:rsid w:val="006F59D9"/>
    <w:rsid w:val="006F5B60"/>
    <w:rsid w:val="006F5E8D"/>
    <w:rsid w:val="006F5F42"/>
    <w:rsid w:val="006F6494"/>
    <w:rsid w:val="006F65F8"/>
    <w:rsid w:val="006F662C"/>
    <w:rsid w:val="006F68F6"/>
    <w:rsid w:val="006F68FA"/>
    <w:rsid w:val="006F6A6B"/>
    <w:rsid w:val="006F6CD8"/>
    <w:rsid w:val="006F6DD4"/>
    <w:rsid w:val="006F6EC4"/>
    <w:rsid w:val="006F6FB0"/>
    <w:rsid w:val="006F704B"/>
    <w:rsid w:val="006F70CC"/>
    <w:rsid w:val="006F70FB"/>
    <w:rsid w:val="006F7117"/>
    <w:rsid w:val="006F7708"/>
    <w:rsid w:val="006F7950"/>
    <w:rsid w:val="006F7A19"/>
    <w:rsid w:val="006F7A97"/>
    <w:rsid w:val="006F7B13"/>
    <w:rsid w:val="006F7B78"/>
    <w:rsid w:val="006F7CA6"/>
    <w:rsid w:val="006F7CFA"/>
    <w:rsid w:val="006F7E1E"/>
    <w:rsid w:val="007003A2"/>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E30"/>
    <w:rsid w:val="00703E6C"/>
    <w:rsid w:val="00704006"/>
    <w:rsid w:val="0070414B"/>
    <w:rsid w:val="007046AF"/>
    <w:rsid w:val="00704A11"/>
    <w:rsid w:val="00704B2B"/>
    <w:rsid w:val="00704B4F"/>
    <w:rsid w:val="00704BCB"/>
    <w:rsid w:val="00704D4A"/>
    <w:rsid w:val="00705037"/>
    <w:rsid w:val="00705053"/>
    <w:rsid w:val="00705448"/>
    <w:rsid w:val="00705575"/>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10088"/>
    <w:rsid w:val="007100B4"/>
    <w:rsid w:val="007100C7"/>
    <w:rsid w:val="007101EE"/>
    <w:rsid w:val="00710239"/>
    <w:rsid w:val="00710282"/>
    <w:rsid w:val="00710467"/>
    <w:rsid w:val="00710670"/>
    <w:rsid w:val="007106AE"/>
    <w:rsid w:val="00710966"/>
    <w:rsid w:val="00710D1E"/>
    <w:rsid w:val="00710EE1"/>
    <w:rsid w:val="00710F51"/>
    <w:rsid w:val="00711023"/>
    <w:rsid w:val="0071108A"/>
    <w:rsid w:val="00711187"/>
    <w:rsid w:val="0071126A"/>
    <w:rsid w:val="00711481"/>
    <w:rsid w:val="007117E2"/>
    <w:rsid w:val="00711EB3"/>
    <w:rsid w:val="00711F0E"/>
    <w:rsid w:val="00712136"/>
    <w:rsid w:val="00712205"/>
    <w:rsid w:val="007122BB"/>
    <w:rsid w:val="0071268B"/>
    <w:rsid w:val="007126B4"/>
    <w:rsid w:val="00712913"/>
    <w:rsid w:val="007129BB"/>
    <w:rsid w:val="007129FE"/>
    <w:rsid w:val="00712CD9"/>
    <w:rsid w:val="00712DFB"/>
    <w:rsid w:val="00712EC4"/>
    <w:rsid w:val="00712ED8"/>
    <w:rsid w:val="0071319E"/>
    <w:rsid w:val="00713449"/>
    <w:rsid w:val="007135A1"/>
    <w:rsid w:val="0071388A"/>
    <w:rsid w:val="0071388B"/>
    <w:rsid w:val="00713896"/>
    <w:rsid w:val="00713C72"/>
    <w:rsid w:val="00713F35"/>
    <w:rsid w:val="00713FB1"/>
    <w:rsid w:val="007140A9"/>
    <w:rsid w:val="007142CB"/>
    <w:rsid w:val="00714359"/>
    <w:rsid w:val="007144B8"/>
    <w:rsid w:val="007144CC"/>
    <w:rsid w:val="007146CE"/>
    <w:rsid w:val="00714778"/>
    <w:rsid w:val="00714CF0"/>
    <w:rsid w:val="00714CFF"/>
    <w:rsid w:val="0071507F"/>
    <w:rsid w:val="0071510B"/>
    <w:rsid w:val="00715411"/>
    <w:rsid w:val="0071555B"/>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10D9"/>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B8"/>
    <w:rsid w:val="007248E6"/>
    <w:rsid w:val="00724E05"/>
    <w:rsid w:val="00724E08"/>
    <w:rsid w:val="00724F74"/>
    <w:rsid w:val="00725025"/>
    <w:rsid w:val="00725071"/>
    <w:rsid w:val="00725137"/>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B2"/>
    <w:rsid w:val="00726FDE"/>
    <w:rsid w:val="007275AA"/>
    <w:rsid w:val="007277C3"/>
    <w:rsid w:val="007277C4"/>
    <w:rsid w:val="007278FD"/>
    <w:rsid w:val="00727970"/>
    <w:rsid w:val="00727A3D"/>
    <w:rsid w:val="00727BDA"/>
    <w:rsid w:val="007300A1"/>
    <w:rsid w:val="00730339"/>
    <w:rsid w:val="00730540"/>
    <w:rsid w:val="0073078B"/>
    <w:rsid w:val="00730821"/>
    <w:rsid w:val="00730867"/>
    <w:rsid w:val="00730A88"/>
    <w:rsid w:val="00730AE1"/>
    <w:rsid w:val="00730B97"/>
    <w:rsid w:val="00730C1A"/>
    <w:rsid w:val="00730CA0"/>
    <w:rsid w:val="00730CE7"/>
    <w:rsid w:val="00730E40"/>
    <w:rsid w:val="00730F9A"/>
    <w:rsid w:val="00731030"/>
    <w:rsid w:val="007314F8"/>
    <w:rsid w:val="007315FE"/>
    <w:rsid w:val="00731671"/>
    <w:rsid w:val="00731922"/>
    <w:rsid w:val="007319C3"/>
    <w:rsid w:val="00731BB3"/>
    <w:rsid w:val="00732096"/>
    <w:rsid w:val="007320E1"/>
    <w:rsid w:val="007321B3"/>
    <w:rsid w:val="007321ED"/>
    <w:rsid w:val="007321FD"/>
    <w:rsid w:val="00732313"/>
    <w:rsid w:val="007323B2"/>
    <w:rsid w:val="007323E8"/>
    <w:rsid w:val="007326BD"/>
    <w:rsid w:val="00732F0B"/>
    <w:rsid w:val="007330DA"/>
    <w:rsid w:val="007330DD"/>
    <w:rsid w:val="007330EB"/>
    <w:rsid w:val="007332A4"/>
    <w:rsid w:val="0073362B"/>
    <w:rsid w:val="0073371B"/>
    <w:rsid w:val="00733880"/>
    <w:rsid w:val="00733B31"/>
    <w:rsid w:val="00733C83"/>
    <w:rsid w:val="00733E1F"/>
    <w:rsid w:val="00733F37"/>
    <w:rsid w:val="007340CA"/>
    <w:rsid w:val="0073431B"/>
    <w:rsid w:val="0073447C"/>
    <w:rsid w:val="007347E2"/>
    <w:rsid w:val="00734A2A"/>
    <w:rsid w:val="00734B57"/>
    <w:rsid w:val="00734D3B"/>
    <w:rsid w:val="007350CF"/>
    <w:rsid w:val="00735424"/>
    <w:rsid w:val="00735431"/>
    <w:rsid w:val="007358CC"/>
    <w:rsid w:val="00735B07"/>
    <w:rsid w:val="00735B93"/>
    <w:rsid w:val="00735CFE"/>
    <w:rsid w:val="00735D51"/>
    <w:rsid w:val="0073613D"/>
    <w:rsid w:val="00736383"/>
    <w:rsid w:val="00736459"/>
    <w:rsid w:val="00736514"/>
    <w:rsid w:val="0073651C"/>
    <w:rsid w:val="00736A6E"/>
    <w:rsid w:val="00736B53"/>
    <w:rsid w:val="00736C1B"/>
    <w:rsid w:val="00736F4A"/>
    <w:rsid w:val="00736FB7"/>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AB3"/>
    <w:rsid w:val="00743B29"/>
    <w:rsid w:val="00743D00"/>
    <w:rsid w:val="00743D03"/>
    <w:rsid w:val="00743E38"/>
    <w:rsid w:val="00743EF2"/>
    <w:rsid w:val="00744090"/>
    <w:rsid w:val="00744193"/>
    <w:rsid w:val="007441B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E3"/>
    <w:rsid w:val="00746155"/>
    <w:rsid w:val="00746261"/>
    <w:rsid w:val="00746613"/>
    <w:rsid w:val="007466DB"/>
    <w:rsid w:val="007467C8"/>
    <w:rsid w:val="007468B7"/>
    <w:rsid w:val="00746934"/>
    <w:rsid w:val="00746955"/>
    <w:rsid w:val="00746D33"/>
    <w:rsid w:val="00746F87"/>
    <w:rsid w:val="0074702F"/>
    <w:rsid w:val="00747187"/>
    <w:rsid w:val="0074753B"/>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2F5"/>
    <w:rsid w:val="00750482"/>
    <w:rsid w:val="007507EB"/>
    <w:rsid w:val="00750AF3"/>
    <w:rsid w:val="00750D05"/>
    <w:rsid w:val="0075118B"/>
    <w:rsid w:val="0075127B"/>
    <w:rsid w:val="0075148A"/>
    <w:rsid w:val="007514AB"/>
    <w:rsid w:val="0075196B"/>
    <w:rsid w:val="00751A7A"/>
    <w:rsid w:val="00751AAE"/>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A5"/>
    <w:rsid w:val="00753ABE"/>
    <w:rsid w:val="00753AEC"/>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F24"/>
    <w:rsid w:val="0075620F"/>
    <w:rsid w:val="007562E1"/>
    <w:rsid w:val="0075643E"/>
    <w:rsid w:val="00756685"/>
    <w:rsid w:val="0075674C"/>
    <w:rsid w:val="00756956"/>
    <w:rsid w:val="00756AC7"/>
    <w:rsid w:val="00756CD0"/>
    <w:rsid w:val="0075704D"/>
    <w:rsid w:val="00757296"/>
    <w:rsid w:val="007573C0"/>
    <w:rsid w:val="00757475"/>
    <w:rsid w:val="00757CFC"/>
    <w:rsid w:val="00757DB3"/>
    <w:rsid w:val="00757F9E"/>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E30"/>
    <w:rsid w:val="00762E48"/>
    <w:rsid w:val="00762EA2"/>
    <w:rsid w:val="00762EFF"/>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495"/>
    <w:rsid w:val="007655EB"/>
    <w:rsid w:val="00765802"/>
    <w:rsid w:val="00765945"/>
    <w:rsid w:val="007659F2"/>
    <w:rsid w:val="00765B8D"/>
    <w:rsid w:val="00765BDC"/>
    <w:rsid w:val="00765D9D"/>
    <w:rsid w:val="00765E87"/>
    <w:rsid w:val="00765F96"/>
    <w:rsid w:val="00766004"/>
    <w:rsid w:val="00766116"/>
    <w:rsid w:val="00766148"/>
    <w:rsid w:val="00766215"/>
    <w:rsid w:val="0076626D"/>
    <w:rsid w:val="0076628C"/>
    <w:rsid w:val="007662BD"/>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866"/>
    <w:rsid w:val="00767958"/>
    <w:rsid w:val="00767ABF"/>
    <w:rsid w:val="00767F9B"/>
    <w:rsid w:val="00767FC6"/>
    <w:rsid w:val="0077018D"/>
    <w:rsid w:val="0077019E"/>
    <w:rsid w:val="007701B4"/>
    <w:rsid w:val="0077021A"/>
    <w:rsid w:val="0077026E"/>
    <w:rsid w:val="0077034C"/>
    <w:rsid w:val="007704EC"/>
    <w:rsid w:val="00770590"/>
    <w:rsid w:val="007706FA"/>
    <w:rsid w:val="00770820"/>
    <w:rsid w:val="00770871"/>
    <w:rsid w:val="00770AE7"/>
    <w:rsid w:val="00770B19"/>
    <w:rsid w:val="00770B41"/>
    <w:rsid w:val="00770BCF"/>
    <w:rsid w:val="00770EC8"/>
    <w:rsid w:val="00770FA2"/>
    <w:rsid w:val="00771018"/>
    <w:rsid w:val="007710E7"/>
    <w:rsid w:val="007713A7"/>
    <w:rsid w:val="007713B8"/>
    <w:rsid w:val="0077153E"/>
    <w:rsid w:val="0077176F"/>
    <w:rsid w:val="00771A6A"/>
    <w:rsid w:val="00771C0B"/>
    <w:rsid w:val="00771C28"/>
    <w:rsid w:val="00771F88"/>
    <w:rsid w:val="00771FAB"/>
    <w:rsid w:val="007720E1"/>
    <w:rsid w:val="007722AD"/>
    <w:rsid w:val="00772323"/>
    <w:rsid w:val="0077238E"/>
    <w:rsid w:val="007723FB"/>
    <w:rsid w:val="00772663"/>
    <w:rsid w:val="007726CB"/>
    <w:rsid w:val="007727C8"/>
    <w:rsid w:val="007729A4"/>
    <w:rsid w:val="00772B30"/>
    <w:rsid w:val="00772C16"/>
    <w:rsid w:val="00772E08"/>
    <w:rsid w:val="00772E8E"/>
    <w:rsid w:val="0077301E"/>
    <w:rsid w:val="00773231"/>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CF"/>
    <w:rsid w:val="00780A35"/>
    <w:rsid w:val="00780AAD"/>
    <w:rsid w:val="00780F27"/>
    <w:rsid w:val="00780F2B"/>
    <w:rsid w:val="0078109C"/>
    <w:rsid w:val="00781302"/>
    <w:rsid w:val="007815DB"/>
    <w:rsid w:val="007818B7"/>
    <w:rsid w:val="007819F2"/>
    <w:rsid w:val="00781B78"/>
    <w:rsid w:val="00781B83"/>
    <w:rsid w:val="00781DB4"/>
    <w:rsid w:val="00781EEC"/>
    <w:rsid w:val="00781F5D"/>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A33"/>
    <w:rsid w:val="00782BB0"/>
    <w:rsid w:val="00782D89"/>
    <w:rsid w:val="007833F7"/>
    <w:rsid w:val="00783411"/>
    <w:rsid w:val="0078365C"/>
    <w:rsid w:val="00783998"/>
    <w:rsid w:val="00783E96"/>
    <w:rsid w:val="00783F0E"/>
    <w:rsid w:val="0078407E"/>
    <w:rsid w:val="0078413F"/>
    <w:rsid w:val="007846BD"/>
    <w:rsid w:val="007847FF"/>
    <w:rsid w:val="0078493D"/>
    <w:rsid w:val="00784B81"/>
    <w:rsid w:val="00784D35"/>
    <w:rsid w:val="00784E57"/>
    <w:rsid w:val="00785012"/>
    <w:rsid w:val="00785375"/>
    <w:rsid w:val="00785716"/>
    <w:rsid w:val="0078589E"/>
    <w:rsid w:val="00785925"/>
    <w:rsid w:val="007859FC"/>
    <w:rsid w:val="00786119"/>
    <w:rsid w:val="00786149"/>
    <w:rsid w:val="00786409"/>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729"/>
    <w:rsid w:val="007907EB"/>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71B"/>
    <w:rsid w:val="00792916"/>
    <w:rsid w:val="00792A12"/>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3BD"/>
    <w:rsid w:val="00797488"/>
    <w:rsid w:val="007974FD"/>
    <w:rsid w:val="0079761C"/>
    <w:rsid w:val="0079775D"/>
    <w:rsid w:val="007977AB"/>
    <w:rsid w:val="0079795D"/>
    <w:rsid w:val="007979F8"/>
    <w:rsid w:val="00797C59"/>
    <w:rsid w:val="00797D48"/>
    <w:rsid w:val="00797E8D"/>
    <w:rsid w:val="007A0208"/>
    <w:rsid w:val="007A037A"/>
    <w:rsid w:val="007A0394"/>
    <w:rsid w:val="007A05C9"/>
    <w:rsid w:val="007A0657"/>
    <w:rsid w:val="007A06C6"/>
    <w:rsid w:val="007A07C4"/>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B8D"/>
    <w:rsid w:val="007A1BFF"/>
    <w:rsid w:val="007A20E6"/>
    <w:rsid w:val="007A225A"/>
    <w:rsid w:val="007A2398"/>
    <w:rsid w:val="007A297D"/>
    <w:rsid w:val="007A2BB7"/>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5B"/>
    <w:rsid w:val="007A418C"/>
    <w:rsid w:val="007A444B"/>
    <w:rsid w:val="007A44E9"/>
    <w:rsid w:val="007A47BB"/>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EFB"/>
    <w:rsid w:val="007A60CB"/>
    <w:rsid w:val="007A62A8"/>
    <w:rsid w:val="007A6506"/>
    <w:rsid w:val="007A6631"/>
    <w:rsid w:val="007A66E3"/>
    <w:rsid w:val="007A68D2"/>
    <w:rsid w:val="007A6A95"/>
    <w:rsid w:val="007A6BF0"/>
    <w:rsid w:val="007A6C44"/>
    <w:rsid w:val="007A6C70"/>
    <w:rsid w:val="007A6D0B"/>
    <w:rsid w:val="007A6D94"/>
    <w:rsid w:val="007A7330"/>
    <w:rsid w:val="007A74B5"/>
    <w:rsid w:val="007A77B2"/>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44E"/>
    <w:rsid w:val="007B14A8"/>
    <w:rsid w:val="007B18F2"/>
    <w:rsid w:val="007B1B1C"/>
    <w:rsid w:val="007B1F3D"/>
    <w:rsid w:val="007B21D6"/>
    <w:rsid w:val="007B23DF"/>
    <w:rsid w:val="007B24A0"/>
    <w:rsid w:val="007B264E"/>
    <w:rsid w:val="007B2764"/>
    <w:rsid w:val="007B27FE"/>
    <w:rsid w:val="007B2953"/>
    <w:rsid w:val="007B2D7F"/>
    <w:rsid w:val="007B2E8E"/>
    <w:rsid w:val="007B2F81"/>
    <w:rsid w:val="007B311D"/>
    <w:rsid w:val="007B31AD"/>
    <w:rsid w:val="007B3207"/>
    <w:rsid w:val="007B33BC"/>
    <w:rsid w:val="007B3556"/>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AA"/>
    <w:rsid w:val="007B53CB"/>
    <w:rsid w:val="007B5416"/>
    <w:rsid w:val="007B54BE"/>
    <w:rsid w:val="007B55C0"/>
    <w:rsid w:val="007B574F"/>
    <w:rsid w:val="007B5AFB"/>
    <w:rsid w:val="007B5CE2"/>
    <w:rsid w:val="007B5E4A"/>
    <w:rsid w:val="007B5F93"/>
    <w:rsid w:val="007B5FAA"/>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6F1"/>
    <w:rsid w:val="007B790E"/>
    <w:rsid w:val="007B7A9F"/>
    <w:rsid w:val="007B7ABA"/>
    <w:rsid w:val="007B7C8C"/>
    <w:rsid w:val="007B7DDB"/>
    <w:rsid w:val="007C0110"/>
    <w:rsid w:val="007C0111"/>
    <w:rsid w:val="007C04A2"/>
    <w:rsid w:val="007C050C"/>
    <w:rsid w:val="007C05B4"/>
    <w:rsid w:val="007C07AD"/>
    <w:rsid w:val="007C09C4"/>
    <w:rsid w:val="007C09DC"/>
    <w:rsid w:val="007C0A37"/>
    <w:rsid w:val="007C0ACC"/>
    <w:rsid w:val="007C0B77"/>
    <w:rsid w:val="007C0C97"/>
    <w:rsid w:val="007C1477"/>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A3D"/>
    <w:rsid w:val="007C3C34"/>
    <w:rsid w:val="007C3D41"/>
    <w:rsid w:val="007C3FEA"/>
    <w:rsid w:val="007C429E"/>
    <w:rsid w:val="007C4333"/>
    <w:rsid w:val="007C440B"/>
    <w:rsid w:val="007C449E"/>
    <w:rsid w:val="007C464F"/>
    <w:rsid w:val="007C4826"/>
    <w:rsid w:val="007C4871"/>
    <w:rsid w:val="007C4997"/>
    <w:rsid w:val="007C4A8D"/>
    <w:rsid w:val="007C4DD4"/>
    <w:rsid w:val="007C4FDE"/>
    <w:rsid w:val="007C507F"/>
    <w:rsid w:val="007C520B"/>
    <w:rsid w:val="007C52B8"/>
    <w:rsid w:val="007C5552"/>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7F9"/>
    <w:rsid w:val="007C78FB"/>
    <w:rsid w:val="007C7C90"/>
    <w:rsid w:val="007C7CB1"/>
    <w:rsid w:val="007C7E5C"/>
    <w:rsid w:val="007C7F2C"/>
    <w:rsid w:val="007C7F94"/>
    <w:rsid w:val="007D0078"/>
    <w:rsid w:val="007D00AF"/>
    <w:rsid w:val="007D033F"/>
    <w:rsid w:val="007D0505"/>
    <w:rsid w:val="007D057A"/>
    <w:rsid w:val="007D0581"/>
    <w:rsid w:val="007D05FD"/>
    <w:rsid w:val="007D076A"/>
    <w:rsid w:val="007D0AFB"/>
    <w:rsid w:val="007D0BE1"/>
    <w:rsid w:val="007D0C84"/>
    <w:rsid w:val="007D0CB8"/>
    <w:rsid w:val="007D13A0"/>
    <w:rsid w:val="007D13C3"/>
    <w:rsid w:val="007D1437"/>
    <w:rsid w:val="007D14EA"/>
    <w:rsid w:val="007D15A1"/>
    <w:rsid w:val="007D163C"/>
    <w:rsid w:val="007D192F"/>
    <w:rsid w:val="007D1940"/>
    <w:rsid w:val="007D1A83"/>
    <w:rsid w:val="007D1ADA"/>
    <w:rsid w:val="007D1BC4"/>
    <w:rsid w:val="007D2026"/>
    <w:rsid w:val="007D20C2"/>
    <w:rsid w:val="007D21AE"/>
    <w:rsid w:val="007D2316"/>
    <w:rsid w:val="007D2408"/>
    <w:rsid w:val="007D240C"/>
    <w:rsid w:val="007D25EB"/>
    <w:rsid w:val="007D26F3"/>
    <w:rsid w:val="007D27A7"/>
    <w:rsid w:val="007D2972"/>
    <w:rsid w:val="007D2BA6"/>
    <w:rsid w:val="007D2BE8"/>
    <w:rsid w:val="007D2C57"/>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948"/>
    <w:rsid w:val="007D4AB3"/>
    <w:rsid w:val="007D4D92"/>
    <w:rsid w:val="007D4DC7"/>
    <w:rsid w:val="007D4F78"/>
    <w:rsid w:val="007D4FB5"/>
    <w:rsid w:val="007D52F8"/>
    <w:rsid w:val="007D56F6"/>
    <w:rsid w:val="007D5852"/>
    <w:rsid w:val="007D58BF"/>
    <w:rsid w:val="007D5917"/>
    <w:rsid w:val="007D5D67"/>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E4"/>
    <w:rsid w:val="007D79DB"/>
    <w:rsid w:val="007D7A1B"/>
    <w:rsid w:val="007D7A92"/>
    <w:rsid w:val="007D7B13"/>
    <w:rsid w:val="007D7B2A"/>
    <w:rsid w:val="007D7BA6"/>
    <w:rsid w:val="007E013A"/>
    <w:rsid w:val="007E0165"/>
    <w:rsid w:val="007E05C6"/>
    <w:rsid w:val="007E05F7"/>
    <w:rsid w:val="007E0793"/>
    <w:rsid w:val="007E0B5E"/>
    <w:rsid w:val="007E0BE8"/>
    <w:rsid w:val="007E0D09"/>
    <w:rsid w:val="007E0D48"/>
    <w:rsid w:val="007E10AD"/>
    <w:rsid w:val="007E119A"/>
    <w:rsid w:val="007E119D"/>
    <w:rsid w:val="007E120B"/>
    <w:rsid w:val="007E12D1"/>
    <w:rsid w:val="007E13C8"/>
    <w:rsid w:val="007E13FE"/>
    <w:rsid w:val="007E189D"/>
    <w:rsid w:val="007E18A3"/>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CE2"/>
    <w:rsid w:val="007E2DA8"/>
    <w:rsid w:val="007E2E05"/>
    <w:rsid w:val="007E2EA2"/>
    <w:rsid w:val="007E3164"/>
    <w:rsid w:val="007E338D"/>
    <w:rsid w:val="007E33AC"/>
    <w:rsid w:val="007E3503"/>
    <w:rsid w:val="007E361B"/>
    <w:rsid w:val="007E36E3"/>
    <w:rsid w:val="007E3803"/>
    <w:rsid w:val="007E3A95"/>
    <w:rsid w:val="007E3AA7"/>
    <w:rsid w:val="007E3DE6"/>
    <w:rsid w:val="007E3E60"/>
    <w:rsid w:val="007E406F"/>
    <w:rsid w:val="007E414E"/>
    <w:rsid w:val="007E45A6"/>
    <w:rsid w:val="007E4C96"/>
    <w:rsid w:val="007E505F"/>
    <w:rsid w:val="007E5119"/>
    <w:rsid w:val="007E5137"/>
    <w:rsid w:val="007E5297"/>
    <w:rsid w:val="007E57F3"/>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67F"/>
    <w:rsid w:val="007F58B3"/>
    <w:rsid w:val="007F5A75"/>
    <w:rsid w:val="007F5AB9"/>
    <w:rsid w:val="007F5D4E"/>
    <w:rsid w:val="007F6058"/>
    <w:rsid w:val="007F6544"/>
    <w:rsid w:val="007F6790"/>
    <w:rsid w:val="007F6879"/>
    <w:rsid w:val="007F68C7"/>
    <w:rsid w:val="007F69B2"/>
    <w:rsid w:val="007F6BB4"/>
    <w:rsid w:val="007F6C67"/>
    <w:rsid w:val="007F6D73"/>
    <w:rsid w:val="007F7196"/>
    <w:rsid w:val="007F726E"/>
    <w:rsid w:val="007F73A5"/>
    <w:rsid w:val="007F7411"/>
    <w:rsid w:val="007F770A"/>
    <w:rsid w:val="007F778C"/>
    <w:rsid w:val="007F7A52"/>
    <w:rsid w:val="007F7BC6"/>
    <w:rsid w:val="00800036"/>
    <w:rsid w:val="0080016D"/>
    <w:rsid w:val="00800182"/>
    <w:rsid w:val="00800942"/>
    <w:rsid w:val="008009B4"/>
    <w:rsid w:val="00800ACD"/>
    <w:rsid w:val="00800AD6"/>
    <w:rsid w:val="00800CE5"/>
    <w:rsid w:val="00800EFD"/>
    <w:rsid w:val="00800F39"/>
    <w:rsid w:val="00800FC1"/>
    <w:rsid w:val="00801134"/>
    <w:rsid w:val="0080116B"/>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3221"/>
    <w:rsid w:val="00803244"/>
    <w:rsid w:val="0080341D"/>
    <w:rsid w:val="008037C0"/>
    <w:rsid w:val="0080395C"/>
    <w:rsid w:val="008039DE"/>
    <w:rsid w:val="00803CA5"/>
    <w:rsid w:val="00803E7D"/>
    <w:rsid w:val="00803E96"/>
    <w:rsid w:val="00803F22"/>
    <w:rsid w:val="00803F3A"/>
    <w:rsid w:val="00803F42"/>
    <w:rsid w:val="00804027"/>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927"/>
    <w:rsid w:val="00810974"/>
    <w:rsid w:val="00810BBE"/>
    <w:rsid w:val="00810C56"/>
    <w:rsid w:val="00810FDD"/>
    <w:rsid w:val="00811289"/>
    <w:rsid w:val="0081148F"/>
    <w:rsid w:val="008115F1"/>
    <w:rsid w:val="008118C9"/>
    <w:rsid w:val="00811BC0"/>
    <w:rsid w:val="00811E1C"/>
    <w:rsid w:val="00811FC2"/>
    <w:rsid w:val="008121C4"/>
    <w:rsid w:val="00812278"/>
    <w:rsid w:val="008124DD"/>
    <w:rsid w:val="00812573"/>
    <w:rsid w:val="0081276C"/>
    <w:rsid w:val="0081284F"/>
    <w:rsid w:val="00812904"/>
    <w:rsid w:val="008129AC"/>
    <w:rsid w:val="00812AA9"/>
    <w:rsid w:val="00812AD0"/>
    <w:rsid w:val="00812D90"/>
    <w:rsid w:val="00812E22"/>
    <w:rsid w:val="00812F0B"/>
    <w:rsid w:val="008131D2"/>
    <w:rsid w:val="0081336F"/>
    <w:rsid w:val="008135FB"/>
    <w:rsid w:val="00813835"/>
    <w:rsid w:val="00813865"/>
    <w:rsid w:val="008138CD"/>
    <w:rsid w:val="00813922"/>
    <w:rsid w:val="00813B66"/>
    <w:rsid w:val="00813CE3"/>
    <w:rsid w:val="00813D7E"/>
    <w:rsid w:val="00813FCF"/>
    <w:rsid w:val="008143E1"/>
    <w:rsid w:val="008146B3"/>
    <w:rsid w:val="008147A6"/>
    <w:rsid w:val="00814924"/>
    <w:rsid w:val="00814995"/>
    <w:rsid w:val="00814AA4"/>
    <w:rsid w:val="00814CED"/>
    <w:rsid w:val="0081511F"/>
    <w:rsid w:val="00815378"/>
    <w:rsid w:val="00815550"/>
    <w:rsid w:val="008155D6"/>
    <w:rsid w:val="008158A8"/>
    <w:rsid w:val="00815947"/>
    <w:rsid w:val="00815A67"/>
    <w:rsid w:val="00815CDB"/>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1070"/>
    <w:rsid w:val="0082112D"/>
    <w:rsid w:val="00821310"/>
    <w:rsid w:val="008220A1"/>
    <w:rsid w:val="00822102"/>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FB"/>
    <w:rsid w:val="008233A2"/>
    <w:rsid w:val="00823662"/>
    <w:rsid w:val="0082375A"/>
    <w:rsid w:val="0082381A"/>
    <w:rsid w:val="00823AF8"/>
    <w:rsid w:val="00823C73"/>
    <w:rsid w:val="00823D79"/>
    <w:rsid w:val="00823DDC"/>
    <w:rsid w:val="00824376"/>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29D"/>
    <w:rsid w:val="00833383"/>
    <w:rsid w:val="0083345E"/>
    <w:rsid w:val="00833768"/>
    <w:rsid w:val="00833946"/>
    <w:rsid w:val="008339D0"/>
    <w:rsid w:val="00833A6C"/>
    <w:rsid w:val="00833B1B"/>
    <w:rsid w:val="00833B39"/>
    <w:rsid w:val="00833C94"/>
    <w:rsid w:val="00833D06"/>
    <w:rsid w:val="008345AD"/>
    <w:rsid w:val="00834BC7"/>
    <w:rsid w:val="00834BD2"/>
    <w:rsid w:val="00834BF5"/>
    <w:rsid w:val="00834D05"/>
    <w:rsid w:val="00834D3E"/>
    <w:rsid w:val="00834EA9"/>
    <w:rsid w:val="00834EE2"/>
    <w:rsid w:val="008350E6"/>
    <w:rsid w:val="00835156"/>
    <w:rsid w:val="00835215"/>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900"/>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2212"/>
    <w:rsid w:val="008422F9"/>
    <w:rsid w:val="008425E3"/>
    <w:rsid w:val="008425FA"/>
    <w:rsid w:val="008425FF"/>
    <w:rsid w:val="008426F0"/>
    <w:rsid w:val="008428B8"/>
    <w:rsid w:val="00842C53"/>
    <w:rsid w:val="00842EFE"/>
    <w:rsid w:val="00842F4C"/>
    <w:rsid w:val="00843000"/>
    <w:rsid w:val="00843047"/>
    <w:rsid w:val="00843412"/>
    <w:rsid w:val="0084395E"/>
    <w:rsid w:val="00843BD1"/>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87B"/>
    <w:rsid w:val="0084593E"/>
    <w:rsid w:val="00845B59"/>
    <w:rsid w:val="00845BF5"/>
    <w:rsid w:val="00845F6A"/>
    <w:rsid w:val="00845F98"/>
    <w:rsid w:val="00846079"/>
    <w:rsid w:val="00846218"/>
    <w:rsid w:val="00846380"/>
    <w:rsid w:val="00846722"/>
    <w:rsid w:val="008467DA"/>
    <w:rsid w:val="008467E0"/>
    <w:rsid w:val="00846959"/>
    <w:rsid w:val="00846CFB"/>
    <w:rsid w:val="00847015"/>
    <w:rsid w:val="00847364"/>
    <w:rsid w:val="008473D2"/>
    <w:rsid w:val="00847619"/>
    <w:rsid w:val="008477C2"/>
    <w:rsid w:val="008479CD"/>
    <w:rsid w:val="008479F3"/>
    <w:rsid w:val="008479F7"/>
    <w:rsid w:val="00847B76"/>
    <w:rsid w:val="00847CB4"/>
    <w:rsid w:val="00847D34"/>
    <w:rsid w:val="00847DFE"/>
    <w:rsid w:val="00850228"/>
    <w:rsid w:val="00850459"/>
    <w:rsid w:val="008508E9"/>
    <w:rsid w:val="008509B1"/>
    <w:rsid w:val="00850BFC"/>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2C2"/>
    <w:rsid w:val="0085732F"/>
    <w:rsid w:val="008576D2"/>
    <w:rsid w:val="008579CA"/>
    <w:rsid w:val="00857C0C"/>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43A"/>
    <w:rsid w:val="00863497"/>
    <w:rsid w:val="008635C5"/>
    <w:rsid w:val="00863604"/>
    <w:rsid w:val="00863624"/>
    <w:rsid w:val="008636B2"/>
    <w:rsid w:val="008636CD"/>
    <w:rsid w:val="00863725"/>
    <w:rsid w:val="00863C33"/>
    <w:rsid w:val="00863E1F"/>
    <w:rsid w:val="00863E46"/>
    <w:rsid w:val="00863E8F"/>
    <w:rsid w:val="008640FD"/>
    <w:rsid w:val="008641F1"/>
    <w:rsid w:val="008642B2"/>
    <w:rsid w:val="0086454B"/>
    <w:rsid w:val="008646A4"/>
    <w:rsid w:val="008646DD"/>
    <w:rsid w:val="00864AE6"/>
    <w:rsid w:val="00864CF8"/>
    <w:rsid w:val="00864D48"/>
    <w:rsid w:val="00864F3F"/>
    <w:rsid w:val="00865067"/>
    <w:rsid w:val="0086506E"/>
    <w:rsid w:val="008650BD"/>
    <w:rsid w:val="008652EF"/>
    <w:rsid w:val="00865450"/>
    <w:rsid w:val="00865458"/>
    <w:rsid w:val="0086564B"/>
    <w:rsid w:val="00865A03"/>
    <w:rsid w:val="00865B0A"/>
    <w:rsid w:val="00865CC1"/>
    <w:rsid w:val="00865D8F"/>
    <w:rsid w:val="00865F08"/>
    <w:rsid w:val="00865F75"/>
    <w:rsid w:val="00865F76"/>
    <w:rsid w:val="00866571"/>
    <w:rsid w:val="0086677A"/>
    <w:rsid w:val="00866EF0"/>
    <w:rsid w:val="008671E8"/>
    <w:rsid w:val="00867225"/>
    <w:rsid w:val="00867CC9"/>
    <w:rsid w:val="00867F8F"/>
    <w:rsid w:val="0087009A"/>
    <w:rsid w:val="00870106"/>
    <w:rsid w:val="0087026C"/>
    <w:rsid w:val="00870342"/>
    <w:rsid w:val="008703FD"/>
    <w:rsid w:val="0087062E"/>
    <w:rsid w:val="00870647"/>
    <w:rsid w:val="00870707"/>
    <w:rsid w:val="0087076F"/>
    <w:rsid w:val="0087081A"/>
    <w:rsid w:val="008708F0"/>
    <w:rsid w:val="008709CE"/>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202"/>
    <w:rsid w:val="008732F1"/>
    <w:rsid w:val="008733A0"/>
    <w:rsid w:val="00873442"/>
    <w:rsid w:val="008734B8"/>
    <w:rsid w:val="0087354F"/>
    <w:rsid w:val="00873592"/>
    <w:rsid w:val="008738EB"/>
    <w:rsid w:val="00873C92"/>
    <w:rsid w:val="00873DED"/>
    <w:rsid w:val="00873E13"/>
    <w:rsid w:val="00873F84"/>
    <w:rsid w:val="008743A8"/>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568"/>
    <w:rsid w:val="00877569"/>
    <w:rsid w:val="0087763F"/>
    <w:rsid w:val="008777A9"/>
    <w:rsid w:val="00877A6A"/>
    <w:rsid w:val="00877A6C"/>
    <w:rsid w:val="00877D75"/>
    <w:rsid w:val="00877DB8"/>
    <w:rsid w:val="00877F73"/>
    <w:rsid w:val="008800C1"/>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6F9"/>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D98"/>
    <w:rsid w:val="00886DC8"/>
    <w:rsid w:val="00886EEA"/>
    <w:rsid w:val="008872A8"/>
    <w:rsid w:val="008873F8"/>
    <w:rsid w:val="0088750F"/>
    <w:rsid w:val="0088755B"/>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122"/>
    <w:rsid w:val="00894846"/>
    <w:rsid w:val="00894881"/>
    <w:rsid w:val="00894A32"/>
    <w:rsid w:val="00894BF6"/>
    <w:rsid w:val="00894D9B"/>
    <w:rsid w:val="00894DC8"/>
    <w:rsid w:val="00894E86"/>
    <w:rsid w:val="00894E96"/>
    <w:rsid w:val="00895005"/>
    <w:rsid w:val="0089500E"/>
    <w:rsid w:val="008950AA"/>
    <w:rsid w:val="0089513B"/>
    <w:rsid w:val="00895198"/>
    <w:rsid w:val="00895816"/>
    <w:rsid w:val="008959C5"/>
    <w:rsid w:val="00895C8D"/>
    <w:rsid w:val="00895D44"/>
    <w:rsid w:val="00895EBE"/>
    <w:rsid w:val="00896208"/>
    <w:rsid w:val="00896217"/>
    <w:rsid w:val="00896257"/>
    <w:rsid w:val="008962B5"/>
    <w:rsid w:val="0089637E"/>
    <w:rsid w:val="00896BD4"/>
    <w:rsid w:val="00896CA7"/>
    <w:rsid w:val="00897000"/>
    <w:rsid w:val="008971CB"/>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56B"/>
    <w:rsid w:val="008A1612"/>
    <w:rsid w:val="008A1808"/>
    <w:rsid w:val="008A1A9F"/>
    <w:rsid w:val="008A1B45"/>
    <w:rsid w:val="008A1B64"/>
    <w:rsid w:val="008A1C1C"/>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3C3"/>
    <w:rsid w:val="008A33ED"/>
    <w:rsid w:val="008A3446"/>
    <w:rsid w:val="008A3570"/>
    <w:rsid w:val="008A35BB"/>
    <w:rsid w:val="008A363A"/>
    <w:rsid w:val="008A37BE"/>
    <w:rsid w:val="008A3832"/>
    <w:rsid w:val="008A38AB"/>
    <w:rsid w:val="008A3909"/>
    <w:rsid w:val="008A3BDD"/>
    <w:rsid w:val="008A3FDF"/>
    <w:rsid w:val="008A424C"/>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7333"/>
    <w:rsid w:val="008A76A7"/>
    <w:rsid w:val="008A7704"/>
    <w:rsid w:val="008A7A1D"/>
    <w:rsid w:val="008A7B16"/>
    <w:rsid w:val="008A7B71"/>
    <w:rsid w:val="008A7B8E"/>
    <w:rsid w:val="008A7BDF"/>
    <w:rsid w:val="008A7C9F"/>
    <w:rsid w:val="008A7E34"/>
    <w:rsid w:val="008B00D6"/>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B15"/>
    <w:rsid w:val="008B1B36"/>
    <w:rsid w:val="008B1BC7"/>
    <w:rsid w:val="008B1C14"/>
    <w:rsid w:val="008B1DEA"/>
    <w:rsid w:val="008B202C"/>
    <w:rsid w:val="008B2475"/>
    <w:rsid w:val="008B2521"/>
    <w:rsid w:val="008B29D8"/>
    <w:rsid w:val="008B2C77"/>
    <w:rsid w:val="008B2CA5"/>
    <w:rsid w:val="008B3039"/>
    <w:rsid w:val="008B308A"/>
    <w:rsid w:val="008B30FD"/>
    <w:rsid w:val="008B3263"/>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711"/>
    <w:rsid w:val="008B4AD2"/>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AA3"/>
    <w:rsid w:val="008C0CFC"/>
    <w:rsid w:val="008C0E4D"/>
    <w:rsid w:val="008C0E6B"/>
    <w:rsid w:val="008C11F6"/>
    <w:rsid w:val="008C13C7"/>
    <w:rsid w:val="008C15CF"/>
    <w:rsid w:val="008C16D4"/>
    <w:rsid w:val="008C1770"/>
    <w:rsid w:val="008C1CCD"/>
    <w:rsid w:val="008C1D57"/>
    <w:rsid w:val="008C1DB9"/>
    <w:rsid w:val="008C1E1F"/>
    <w:rsid w:val="008C1FCD"/>
    <w:rsid w:val="008C2056"/>
    <w:rsid w:val="008C2113"/>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93"/>
    <w:rsid w:val="008C5971"/>
    <w:rsid w:val="008C5C0E"/>
    <w:rsid w:val="008C5F93"/>
    <w:rsid w:val="008C6072"/>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952"/>
    <w:rsid w:val="008D5995"/>
    <w:rsid w:val="008D5A97"/>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6E76"/>
    <w:rsid w:val="008D7190"/>
    <w:rsid w:val="008D768C"/>
    <w:rsid w:val="008D77F6"/>
    <w:rsid w:val="008D7812"/>
    <w:rsid w:val="008D7E06"/>
    <w:rsid w:val="008E0186"/>
    <w:rsid w:val="008E02FB"/>
    <w:rsid w:val="008E0334"/>
    <w:rsid w:val="008E035B"/>
    <w:rsid w:val="008E0573"/>
    <w:rsid w:val="008E05EE"/>
    <w:rsid w:val="008E0754"/>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AC3"/>
    <w:rsid w:val="008E2BB7"/>
    <w:rsid w:val="008E2D1E"/>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1BA"/>
    <w:rsid w:val="008E5440"/>
    <w:rsid w:val="008E570F"/>
    <w:rsid w:val="008E57E7"/>
    <w:rsid w:val="008E587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74C"/>
    <w:rsid w:val="008E783C"/>
    <w:rsid w:val="008E7AD9"/>
    <w:rsid w:val="008E7C2F"/>
    <w:rsid w:val="008E7C3D"/>
    <w:rsid w:val="008E7D6C"/>
    <w:rsid w:val="008E7F52"/>
    <w:rsid w:val="008F07C9"/>
    <w:rsid w:val="008F07FD"/>
    <w:rsid w:val="008F088E"/>
    <w:rsid w:val="008F08A3"/>
    <w:rsid w:val="008F0AF3"/>
    <w:rsid w:val="008F0C52"/>
    <w:rsid w:val="008F0C66"/>
    <w:rsid w:val="008F0CC5"/>
    <w:rsid w:val="008F0D0F"/>
    <w:rsid w:val="008F116E"/>
    <w:rsid w:val="008F1239"/>
    <w:rsid w:val="008F1366"/>
    <w:rsid w:val="008F139A"/>
    <w:rsid w:val="008F1587"/>
    <w:rsid w:val="008F17B3"/>
    <w:rsid w:val="008F187F"/>
    <w:rsid w:val="008F1EEF"/>
    <w:rsid w:val="008F1F4D"/>
    <w:rsid w:val="008F2160"/>
    <w:rsid w:val="008F2357"/>
    <w:rsid w:val="008F2369"/>
    <w:rsid w:val="008F25EE"/>
    <w:rsid w:val="008F282F"/>
    <w:rsid w:val="008F2942"/>
    <w:rsid w:val="008F2AF7"/>
    <w:rsid w:val="008F2EC1"/>
    <w:rsid w:val="008F2F14"/>
    <w:rsid w:val="008F3238"/>
    <w:rsid w:val="008F32E4"/>
    <w:rsid w:val="008F34D0"/>
    <w:rsid w:val="008F3502"/>
    <w:rsid w:val="008F3720"/>
    <w:rsid w:val="008F39DD"/>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B5"/>
    <w:rsid w:val="008F68A5"/>
    <w:rsid w:val="008F691D"/>
    <w:rsid w:val="008F6A34"/>
    <w:rsid w:val="008F6ED7"/>
    <w:rsid w:val="008F7022"/>
    <w:rsid w:val="008F71E0"/>
    <w:rsid w:val="008F71FE"/>
    <w:rsid w:val="008F743B"/>
    <w:rsid w:val="008F75D4"/>
    <w:rsid w:val="008F777E"/>
    <w:rsid w:val="008F77E8"/>
    <w:rsid w:val="008F77F5"/>
    <w:rsid w:val="008F7D87"/>
    <w:rsid w:val="00900123"/>
    <w:rsid w:val="0090012C"/>
    <w:rsid w:val="00900317"/>
    <w:rsid w:val="0090039B"/>
    <w:rsid w:val="009009A6"/>
    <w:rsid w:val="00900AB8"/>
    <w:rsid w:val="00900CF3"/>
    <w:rsid w:val="00901198"/>
    <w:rsid w:val="00901395"/>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B"/>
    <w:rsid w:val="00902B5C"/>
    <w:rsid w:val="00902C1C"/>
    <w:rsid w:val="00902F4F"/>
    <w:rsid w:val="00902FC1"/>
    <w:rsid w:val="009031D0"/>
    <w:rsid w:val="009032C1"/>
    <w:rsid w:val="009037BB"/>
    <w:rsid w:val="00903BEB"/>
    <w:rsid w:val="00903C37"/>
    <w:rsid w:val="00903EC6"/>
    <w:rsid w:val="0090407B"/>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593"/>
    <w:rsid w:val="0091264B"/>
    <w:rsid w:val="009127FE"/>
    <w:rsid w:val="00912827"/>
    <w:rsid w:val="009128F2"/>
    <w:rsid w:val="009129B9"/>
    <w:rsid w:val="00912AA3"/>
    <w:rsid w:val="00912ADE"/>
    <w:rsid w:val="00912C63"/>
    <w:rsid w:val="00912D0B"/>
    <w:rsid w:val="00912D89"/>
    <w:rsid w:val="00912F9F"/>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659"/>
    <w:rsid w:val="009148B6"/>
    <w:rsid w:val="00914901"/>
    <w:rsid w:val="00914AB9"/>
    <w:rsid w:val="00914D3D"/>
    <w:rsid w:val="00914F32"/>
    <w:rsid w:val="009154EA"/>
    <w:rsid w:val="009155A9"/>
    <w:rsid w:val="009155F2"/>
    <w:rsid w:val="0091566A"/>
    <w:rsid w:val="00915AEB"/>
    <w:rsid w:val="00915B3D"/>
    <w:rsid w:val="00915C73"/>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AB1"/>
    <w:rsid w:val="00920AB9"/>
    <w:rsid w:val="00920C50"/>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E74"/>
    <w:rsid w:val="009251F5"/>
    <w:rsid w:val="00925202"/>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4B7"/>
    <w:rsid w:val="00931734"/>
    <w:rsid w:val="00931999"/>
    <w:rsid w:val="00931A22"/>
    <w:rsid w:val="00931B3A"/>
    <w:rsid w:val="00931BBE"/>
    <w:rsid w:val="00931C43"/>
    <w:rsid w:val="00931CAE"/>
    <w:rsid w:val="00931D7A"/>
    <w:rsid w:val="00931DB4"/>
    <w:rsid w:val="00931E25"/>
    <w:rsid w:val="00932044"/>
    <w:rsid w:val="009320D9"/>
    <w:rsid w:val="0093270F"/>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089"/>
    <w:rsid w:val="009343D2"/>
    <w:rsid w:val="009345C9"/>
    <w:rsid w:val="009345DE"/>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70"/>
    <w:rsid w:val="00937B7B"/>
    <w:rsid w:val="00937BB3"/>
    <w:rsid w:val="00937C51"/>
    <w:rsid w:val="00937EB7"/>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B4"/>
    <w:rsid w:val="00943270"/>
    <w:rsid w:val="0094350B"/>
    <w:rsid w:val="0094361F"/>
    <w:rsid w:val="00943949"/>
    <w:rsid w:val="00943A3E"/>
    <w:rsid w:val="00943AE9"/>
    <w:rsid w:val="00943D91"/>
    <w:rsid w:val="00943D99"/>
    <w:rsid w:val="00943FF8"/>
    <w:rsid w:val="009440D3"/>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FE"/>
    <w:rsid w:val="00947899"/>
    <w:rsid w:val="00947B55"/>
    <w:rsid w:val="00947B6C"/>
    <w:rsid w:val="00947CAE"/>
    <w:rsid w:val="00947D19"/>
    <w:rsid w:val="00947DB4"/>
    <w:rsid w:val="00947EC6"/>
    <w:rsid w:val="009502A0"/>
    <w:rsid w:val="00950451"/>
    <w:rsid w:val="0095049A"/>
    <w:rsid w:val="00950536"/>
    <w:rsid w:val="0095065B"/>
    <w:rsid w:val="00950799"/>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205"/>
    <w:rsid w:val="0095221E"/>
    <w:rsid w:val="00952B79"/>
    <w:rsid w:val="00952C05"/>
    <w:rsid w:val="00952C0B"/>
    <w:rsid w:val="00952C94"/>
    <w:rsid w:val="00952CC0"/>
    <w:rsid w:val="00952E7A"/>
    <w:rsid w:val="00952F28"/>
    <w:rsid w:val="009530F1"/>
    <w:rsid w:val="00953244"/>
    <w:rsid w:val="0095393E"/>
    <w:rsid w:val="00953944"/>
    <w:rsid w:val="00953B5E"/>
    <w:rsid w:val="00953BD8"/>
    <w:rsid w:val="00953DEA"/>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66C"/>
    <w:rsid w:val="0095575A"/>
    <w:rsid w:val="0095580F"/>
    <w:rsid w:val="00955AAE"/>
    <w:rsid w:val="00955B11"/>
    <w:rsid w:val="00955B92"/>
    <w:rsid w:val="00955BB3"/>
    <w:rsid w:val="00955DFA"/>
    <w:rsid w:val="00955FDF"/>
    <w:rsid w:val="00956133"/>
    <w:rsid w:val="009561B8"/>
    <w:rsid w:val="009562D3"/>
    <w:rsid w:val="00956354"/>
    <w:rsid w:val="00956657"/>
    <w:rsid w:val="009568BB"/>
    <w:rsid w:val="009569AA"/>
    <w:rsid w:val="00956DD4"/>
    <w:rsid w:val="00956E3A"/>
    <w:rsid w:val="00956F50"/>
    <w:rsid w:val="0095752E"/>
    <w:rsid w:val="00957622"/>
    <w:rsid w:val="00957626"/>
    <w:rsid w:val="00957873"/>
    <w:rsid w:val="00957904"/>
    <w:rsid w:val="009579AA"/>
    <w:rsid w:val="00957A39"/>
    <w:rsid w:val="00957D35"/>
    <w:rsid w:val="00957F51"/>
    <w:rsid w:val="00960064"/>
    <w:rsid w:val="009603F9"/>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9D1"/>
    <w:rsid w:val="00961B00"/>
    <w:rsid w:val="00961B25"/>
    <w:rsid w:val="0096239C"/>
    <w:rsid w:val="00962715"/>
    <w:rsid w:val="00962773"/>
    <w:rsid w:val="00962798"/>
    <w:rsid w:val="00962B37"/>
    <w:rsid w:val="00962B44"/>
    <w:rsid w:val="00963037"/>
    <w:rsid w:val="009631C0"/>
    <w:rsid w:val="009634E2"/>
    <w:rsid w:val="00963821"/>
    <w:rsid w:val="009638AF"/>
    <w:rsid w:val="009639C7"/>
    <w:rsid w:val="00963A2F"/>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CE"/>
    <w:rsid w:val="00965BDA"/>
    <w:rsid w:val="00965C40"/>
    <w:rsid w:val="00965EC1"/>
    <w:rsid w:val="00966133"/>
    <w:rsid w:val="00966187"/>
    <w:rsid w:val="00966286"/>
    <w:rsid w:val="009667EB"/>
    <w:rsid w:val="00966810"/>
    <w:rsid w:val="00966970"/>
    <w:rsid w:val="009669CE"/>
    <w:rsid w:val="00966A12"/>
    <w:rsid w:val="00966CD8"/>
    <w:rsid w:val="00966E9C"/>
    <w:rsid w:val="00966F2C"/>
    <w:rsid w:val="009671EA"/>
    <w:rsid w:val="00967241"/>
    <w:rsid w:val="009672DB"/>
    <w:rsid w:val="00967358"/>
    <w:rsid w:val="009673A5"/>
    <w:rsid w:val="00967530"/>
    <w:rsid w:val="0096758E"/>
    <w:rsid w:val="00967599"/>
    <w:rsid w:val="00967652"/>
    <w:rsid w:val="009677D3"/>
    <w:rsid w:val="00967803"/>
    <w:rsid w:val="00967E43"/>
    <w:rsid w:val="00967FA1"/>
    <w:rsid w:val="009700E2"/>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D5"/>
    <w:rsid w:val="00971EE0"/>
    <w:rsid w:val="009722AD"/>
    <w:rsid w:val="00972399"/>
    <w:rsid w:val="009723D8"/>
    <w:rsid w:val="009724B7"/>
    <w:rsid w:val="009726D7"/>
    <w:rsid w:val="009727CA"/>
    <w:rsid w:val="00972A4F"/>
    <w:rsid w:val="00972A57"/>
    <w:rsid w:val="00972A6A"/>
    <w:rsid w:val="00972D6C"/>
    <w:rsid w:val="00972FEA"/>
    <w:rsid w:val="0097320A"/>
    <w:rsid w:val="009734B4"/>
    <w:rsid w:val="00973572"/>
    <w:rsid w:val="009736F6"/>
    <w:rsid w:val="009738A7"/>
    <w:rsid w:val="009738C3"/>
    <w:rsid w:val="009738C5"/>
    <w:rsid w:val="0097398F"/>
    <w:rsid w:val="00973AC1"/>
    <w:rsid w:val="00973FB7"/>
    <w:rsid w:val="009741A7"/>
    <w:rsid w:val="0097430A"/>
    <w:rsid w:val="0097453C"/>
    <w:rsid w:val="00974574"/>
    <w:rsid w:val="009748CA"/>
    <w:rsid w:val="00974D3C"/>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A5"/>
    <w:rsid w:val="00980A80"/>
    <w:rsid w:val="00980AFA"/>
    <w:rsid w:val="00980E4D"/>
    <w:rsid w:val="00981054"/>
    <w:rsid w:val="009811E9"/>
    <w:rsid w:val="00981765"/>
    <w:rsid w:val="009817DE"/>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C11"/>
    <w:rsid w:val="00983D1E"/>
    <w:rsid w:val="00983DFE"/>
    <w:rsid w:val="00983F7C"/>
    <w:rsid w:val="00983FF1"/>
    <w:rsid w:val="009842A0"/>
    <w:rsid w:val="00984309"/>
    <w:rsid w:val="00984378"/>
    <w:rsid w:val="00984434"/>
    <w:rsid w:val="009845BD"/>
    <w:rsid w:val="00984699"/>
    <w:rsid w:val="009849BF"/>
    <w:rsid w:val="009849F2"/>
    <w:rsid w:val="00984A70"/>
    <w:rsid w:val="00984F5A"/>
    <w:rsid w:val="00984FAB"/>
    <w:rsid w:val="009851F9"/>
    <w:rsid w:val="0098524E"/>
    <w:rsid w:val="0098556B"/>
    <w:rsid w:val="009855A3"/>
    <w:rsid w:val="00985627"/>
    <w:rsid w:val="00985ED2"/>
    <w:rsid w:val="009863D3"/>
    <w:rsid w:val="00986672"/>
    <w:rsid w:val="00986814"/>
    <w:rsid w:val="00986850"/>
    <w:rsid w:val="009868DC"/>
    <w:rsid w:val="0098693D"/>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E6"/>
    <w:rsid w:val="00991008"/>
    <w:rsid w:val="009911B8"/>
    <w:rsid w:val="009913CF"/>
    <w:rsid w:val="00991684"/>
    <w:rsid w:val="009917FB"/>
    <w:rsid w:val="00991A06"/>
    <w:rsid w:val="00991A9A"/>
    <w:rsid w:val="00991BA3"/>
    <w:rsid w:val="00991F7B"/>
    <w:rsid w:val="00992126"/>
    <w:rsid w:val="0099214C"/>
    <w:rsid w:val="00992323"/>
    <w:rsid w:val="00992355"/>
    <w:rsid w:val="009923FD"/>
    <w:rsid w:val="0099277F"/>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61D3"/>
    <w:rsid w:val="00996249"/>
    <w:rsid w:val="00996454"/>
    <w:rsid w:val="00996624"/>
    <w:rsid w:val="009968CC"/>
    <w:rsid w:val="00996A54"/>
    <w:rsid w:val="00996B2E"/>
    <w:rsid w:val="00996B33"/>
    <w:rsid w:val="00996CD9"/>
    <w:rsid w:val="00996E4C"/>
    <w:rsid w:val="00996E77"/>
    <w:rsid w:val="00996FB4"/>
    <w:rsid w:val="009971F2"/>
    <w:rsid w:val="009972AC"/>
    <w:rsid w:val="009975D8"/>
    <w:rsid w:val="009975F6"/>
    <w:rsid w:val="009977DB"/>
    <w:rsid w:val="00997873"/>
    <w:rsid w:val="0099790D"/>
    <w:rsid w:val="00997A78"/>
    <w:rsid w:val="00997C8E"/>
    <w:rsid w:val="00997EFE"/>
    <w:rsid w:val="009A006C"/>
    <w:rsid w:val="009A066E"/>
    <w:rsid w:val="009A07D1"/>
    <w:rsid w:val="009A07F8"/>
    <w:rsid w:val="009A09C9"/>
    <w:rsid w:val="009A0F13"/>
    <w:rsid w:val="009A0FDE"/>
    <w:rsid w:val="009A1079"/>
    <w:rsid w:val="009A1284"/>
    <w:rsid w:val="009A139F"/>
    <w:rsid w:val="009A13DC"/>
    <w:rsid w:val="009A152C"/>
    <w:rsid w:val="009A1632"/>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6BF"/>
    <w:rsid w:val="009B0725"/>
    <w:rsid w:val="009B0A07"/>
    <w:rsid w:val="009B0A58"/>
    <w:rsid w:val="009B0E73"/>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9C3"/>
    <w:rsid w:val="009B3E98"/>
    <w:rsid w:val="009B401C"/>
    <w:rsid w:val="009B40D8"/>
    <w:rsid w:val="009B411A"/>
    <w:rsid w:val="009B436C"/>
    <w:rsid w:val="009B43E7"/>
    <w:rsid w:val="009B4585"/>
    <w:rsid w:val="009B4805"/>
    <w:rsid w:val="009B4884"/>
    <w:rsid w:val="009B48D1"/>
    <w:rsid w:val="009B4BC0"/>
    <w:rsid w:val="009B4BCD"/>
    <w:rsid w:val="009B4C8C"/>
    <w:rsid w:val="009B4D06"/>
    <w:rsid w:val="009B4E34"/>
    <w:rsid w:val="009B4E63"/>
    <w:rsid w:val="009B5074"/>
    <w:rsid w:val="009B52E2"/>
    <w:rsid w:val="009B54C9"/>
    <w:rsid w:val="009B5536"/>
    <w:rsid w:val="009B56EB"/>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C54"/>
    <w:rsid w:val="009B7D20"/>
    <w:rsid w:val="009C018C"/>
    <w:rsid w:val="009C03D9"/>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EC9"/>
    <w:rsid w:val="009C211C"/>
    <w:rsid w:val="009C21A6"/>
    <w:rsid w:val="009C23AE"/>
    <w:rsid w:val="009C27C0"/>
    <w:rsid w:val="009C27EC"/>
    <w:rsid w:val="009C2880"/>
    <w:rsid w:val="009C28CA"/>
    <w:rsid w:val="009C292C"/>
    <w:rsid w:val="009C2D11"/>
    <w:rsid w:val="009C2E62"/>
    <w:rsid w:val="009C2EEF"/>
    <w:rsid w:val="009C323E"/>
    <w:rsid w:val="009C36E5"/>
    <w:rsid w:val="009C37C0"/>
    <w:rsid w:val="009C3D75"/>
    <w:rsid w:val="009C3F5D"/>
    <w:rsid w:val="009C444C"/>
    <w:rsid w:val="009C44B3"/>
    <w:rsid w:val="009C44BD"/>
    <w:rsid w:val="009C45C0"/>
    <w:rsid w:val="009C4699"/>
    <w:rsid w:val="009C46DC"/>
    <w:rsid w:val="009C4831"/>
    <w:rsid w:val="009C4DA7"/>
    <w:rsid w:val="009C4DF6"/>
    <w:rsid w:val="009C4DFC"/>
    <w:rsid w:val="009C4ED7"/>
    <w:rsid w:val="009C5220"/>
    <w:rsid w:val="009C56C0"/>
    <w:rsid w:val="009C57F3"/>
    <w:rsid w:val="009C59F0"/>
    <w:rsid w:val="009C5A25"/>
    <w:rsid w:val="009C5A8C"/>
    <w:rsid w:val="009C5AD1"/>
    <w:rsid w:val="009C5D82"/>
    <w:rsid w:val="009C5E49"/>
    <w:rsid w:val="009C6041"/>
    <w:rsid w:val="009C6257"/>
    <w:rsid w:val="009C643E"/>
    <w:rsid w:val="009C649D"/>
    <w:rsid w:val="009C669D"/>
    <w:rsid w:val="009C66BF"/>
    <w:rsid w:val="009C6A0A"/>
    <w:rsid w:val="009C6AFA"/>
    <w:rsid w:val="009C6E32"/>
    <w:rsid w:val="009C6E5F"/>
    <w:rsid w:val="009C6EA1"/>
    <w:rsid w:val="009C7063"/>
    <w:rsid w:val="009C7587"/>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E8"/>
    <w:rsid w:val="009D0794"/>
    <w:rsid w:val="009D0860"/>
    <w:rsid w:val="009D08AE"/>
    <w:rsid w:val="009D0943"/>
    <w:rsid w:val="009D0976"/>
    <w:rsid w:val="009D0A3D"/>
    <w:rsid w:val="009D0A81"/>
    <w:rsid w:val="009D0B48"/>
    <w:rsid w:val="009D0BCB"/>
    <w:rsid w:val="009D0FB4"/>
    <w:rsid w:val="009D148E"/>
    <w:rsid w:val="009D1539"/>
    <w:rsid w:val="009D1B54"/>
    <w:rsid w:val="009D1B8F"/>
    <w:rsid w:val="009D1CD9"/>
    <w:rsid w:val="009D1DDA"/>
    <w:rsid w:val="009D1E7A"/>
    <w:rsid w:val="009D2042"/>
    <w:rsid w:val="009D2193"/>
    <w:rsid w:val="009D21C9"/>
    <w:rsid w:val="009D249A"/>
    <w:rsid w:val="009D252A"/>
    <w:rsid w:val="009D2687"/>
    <w:rsid w:val="009D296A"/>
    <w:rsid w:val="009D2CDD"/>
    <w:rsid w:val="009D2E2F"/>
    <w:rsid w:val="009D30BF"/>
    <w:rsid w:val="009D3100"/>
    <w:rsid w:val="009D31B1"/>
    <w:rsid w:val="009D342B"/>
    <w:rsid w:val="009D3791"/>
    <w:rsid w:val="009D386D"/>
    <w:rsid w:val="009D3C03"/>
    <w:rsid w:val="009D3CE4"/>
    <w:rsid w:val="009D3D46"/>
    <w:rsid w:val="009D3D8A"/>
    <w:rsid w:val="009D4122"/>
    <w:rsid w:val="009D4218"/>
    <w:rsid w:val="009D4710"/>
    <w:rsid w:val="009D486C"/>
    <w:rsid w:val="009D4B7D"/>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F59"/>
    <w:rsid w:val="009D5F71"/>
    <w:rsid w:val="009D640E"/>
    <w:rsid w:val="009D655E"/>
    <w:rsid w:val="009D65D8"/>
    <w:rsid w:val="009D69E9"/>
    <w:rsid w:val="009D6D9D"/>
    <w:rsid w:val="009D7106"/>
    <w:rsid w:val="009D7229"/>
    <w:rsid w:val="009D74D8"/>
    <w:rsid w:val="009D754D"/>
    <w:rsid w:val="009D7721"/>
    <w:rsid w:val="009D7827"/>
    <w:rsid w:val="009D7837"/>
    <w:rsid w:val="009D7CC8"/>
    <w:rsid w:val="009D7DFE"/>
    <w:rsid w:val="009D7EE0"/>
    <w:rsid w:val="009D7EFC"/>
    <w:rsid w:val="009E0016"/>
    <w:rsid w:val="009E015F"/>
    <w:rsid w:val="009E0AD0"/>
    <w:rsid w:val="009E0AE5"/>
    <w:rsid w:val="009E0C09"/>
    <w:rsid w:val="009E0C1C"/>
    <w:rsid w:val="009E0FE0"/>
    <w:rsid w:val="009E11BF"/>
    <w:rsid w:val="009E1412"/>
    <w:rsid w:val="009E1511"/>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A2"/>
    <w:rsid w:val="009E3230"/>
    <w:rsid w:val="009E3461"/>
    <w:rsid w:val="009E3559"/>
    <w:rsid w:val="009E376C"/>
    <w:rsid w:val="009E386B"/>
    <w:rsid w:val="009E3A31"/>
    <w:rsid w:val="009E3E9B"/>
    <w:rsid w:val="009E3EB5"/>
    <w:rsid w:val="009E3F92"/>
    <w:rsid w:val="009E3FFC"/>
    <w:rsid w:val="009E4285"/>
    <w:rsid w:val="009E429D"/>
    <w:rsid w:val="009E4399"/>
    <w:rsid w:val="009E48EF"/>
    <w:rsid w:val="009E492F"/>
    <w:rsid w:val="009E4AD8"/>
    <w:rsid w:val="009E4B5D"/>
    <w:rsid w:val="009E4C27"/>
    <w:rsid w:val="009E4C66"/>
    <w:rsid w:val="009E4D73"/>
    <w:rsid w:val="009E4E7D"/>
    <w:rsid w:val="009E501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932"/>
    <w:rsid w:val="009E6B6D"/>
    <w:rsid w:val="009E6CD4"/>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926"/>
    <w:rsid w:val="009F2C50"/>
    <w:rsid w:val="009F3212"/>
    <w:rsid w:val="009F35A1"/>
    <w:rsid w:val="009F35A8"/>
    <w:rsid w:val="009F39B6"/>
    <w:rsid w:val="009F3A9F"/>
    <w:rsid w:val="009F3B98"/>
    <w:rsid w:val="009F3CE6"/>
    <w:rsid w:val="009F3D9A"/>
    <w:rsid w:val="009F3EB3"/>
    <w:rsid w:val="009F4004"/>
    <w:rsid w:val="009F40F4"/>
    <w:rsid w:val="009F43DA"/>
    <w:rsid w:val="009F4496"/>
    <w:rsid w:val="009F477A"/>
    <w:rsid w:val="009F489C"/>
    <w:rsid w:val="009F49DA"/>
    <w:rsid w:val="009F4BB1"/>
    <w:rsid w:val="009F4C0E"/>
    <w:rsid w:val="009F4EA2"/>
    <w:rsid w:val="009F4EE8"/>
    <w:rsid w:val="009F5033"/>
    <w:rsid w:val="009F50B5"/>
    <w:rsid w:val="009F5290"/>
    <w:rsid w:val="009F5334"/>
    <w:rsid w:val="009F5418"/>
    <w:rsid w:val="009F571A"/>
    <w:rsid w:val="009F58B2"/>
    <w:rsid w:val="009F5BA7"/>
    <w:rsid w:val="009F5BCC"/>
    <w:rsid w:val="009F5D19"/>
    <w:rsid w:val="009F5DC9"/>
    <w:rsid w:val="009F5E30"/>
    <w:rsid w:val="009F5E42"/>
    <w:rsid w:val="009F5F34"/>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35"/>
    <w:rsid w:val="00A0357F"/>
    <w:rsid w:val="00A0365A"/>
    <w:rsid w:val="00A03AD9"/>
    <w:rsid w:val="00A03D6F"/>
    <w:rsid w:val="00A03E51"/>
    <w:rsid w:val="00A0413C"/>
    <w:rsid w:val="00A041C9"/>
    <w:rsid w:val="00A0423D"/>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CE"/>
    <w:rsid w:val="00A131F4"/>
    <w:rsid w:val="00A13455"/>
    <w:rsid w:val="00A134CD"/>
    <w:rsid w:val="00A13664"/>
    <w:rsid w:val="00A1379E"/>
    <w:rsid w:val="00A137E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F00"/>
    <w:rsid w:val="00A2105E"/>
    <w:rsid w:val="00A21373"/>
    <w:rsid w:val="00A213D6"/>
    <w:rsid w:val="00A2145E"/>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DD9"/>
    <w:rsid w:val="00A23181"/>
    <w:rsid w:val="00A23616"/>
    <w:rsid w:val="00A23674"/>
    <w:rsid w:val="00A23DA9"/>
    <w:rsid w:val="00A23EA7"/>
    <w:rsid w:val="00A23F08"/>
    <w:rsid w:val="00A2404F"/>
    <w:rsid w:val="00A24203"/>
    <w:rsid w:val="00A2428A"/>
    <w:rsid w:val="00A24355"/>
    <w:rsid w:val="00A24664"/>
    <w:rsid w:val="00A24695"/>
    <w:rsid w:val="00A24738"/>
    <w:rsid w:val="00A24B65"/>
    <w:rsid w:val="00A24D3A"/>
    <w:rsid w:val="00A24DB7"/>
    <w:rsid w:val="00A24EB1"/>
    <w:rsid w:val="00A250A7"/>
    <w:rsid w:val="00A25375"/>
    <w:rsid w:val="00A25635"/>
    <w:rsid w:val="00A2596F"/>
    <w:rsid w:val="00A259B6"/>
    <w:rsid w:val="00A25B91"/>
    <w:rsid w:val="00A25D50"/>
    <w:rsid w:val="00A26108"/>
    <w:rsid w:val="00A261B0"/>
    <w:rsid w:val="00A265B8"/>
    <w:rsid w:val="00A2685D"/>
    <w:rsid w:val="00A26934"/>
    <w:rsid w:val="00A26AA3"/>
    <w:rsid w:val="00A26E52"/>
    <w:rsid w:val="00A26FAE"/>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24A"/>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544"/>
    <w:rsid w:val="00A41559"/>
    <w:rsid w:val="00A41780"/>
    <w:rsid w:val="00A41ACD"/>
    <w:rsid w:val="00A41B4B"/>
    <w:rsid w:val="00A41C9A"/>
    <w:rsid w:val="00A41D6D"/>
    <w:rsid w:val="00A41E46"/>
    <w:rsid w:val="00A420C4"/>
    <w:rsid w:val="00A42269"/>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A11"/>
    <w:rsid w:val="00A46B87"/>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3B"/>
    <w:rsid w:val="00A513F7"/>
    <w:rsid w:val="00A515C0"/>
    <w:rsid w:val="00A51633"/>
    <w:rsid w:val="00A519B6"/>
    <w:rsid w:val="00A519DA"/>
    <w:rsid w:val="00A51A1A"/>
    <w:rsid w:val="00A51BCA"/>
    <w:rsid w:val="00A51BD1"/>
    <w:rsid w:val="00A51C47"/>
    <w:rsid w:val="00A51C89"/>
    <w:rsid w:val="00A51FA1"/>
    <w:rsid w:val="00A5202E"/>
    <w:rsid w:val="00A5203D"/>
    <w:rsid w:val="00A52172"/>
    <w:rsid w:val="00A52188"/>
    <w:rsid w:val="00A52384"/>
    <w:rsid w:val="00A524A9"/>
    <w:rsid w:val="00A526D7"/>
    <w:rsid w:val="00A528A2"/>
    <w:rsid w:val="00A52AB0"/>
    <w:rsid w:val="00A52B88"/>
    <w:rsid w:val="00A52D2B"/>
    <w:rsid w:val="00A533B8"/>
    <w:rsid w:val="00A5350B"/>
    <w:rsid w:val="00A53534"/>
    <w:rsid w:val="00A535DA"/>
    <w:rsid w:val="00A53A0E"/>
    <w:rsid w:val="00A53DF9"/>
    <w:rsid w:val="00A53EF6"/>
    <w:rsid w:val="00A540F9"/>
    <w:rsid w:val="00A541A7"/>
    <w:rsid w:val="00A541B9"/>
    <w:rsid w:val="00A54377"/>
    <w:rsid w:val="00A5437B"/>
    <w:rsid w:val="00A543E0"/>
    <w:rsid w:val="00A547E9"/>
    <w:rsid w:val="00A54C28"/>
    <w:rsid w:val="00A54E17"/>
    <w:rsid w:val="00A54FAD"/>
    <w:rsid w:val="00A54FCB"/>
    <w:rsid w:val="00A54FF2"/>
    <w:rsid w:val="00A55131"/>
    <w:rsid w:val="00A55300"/>
    <w:rsid w:val="00A553D0"/>
    <w:rsid w:val="00A559ED"/>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259"/>
    <w:rsid w:val="00A61310"/>
    <w:rsid w:val="00A6138C"/>
    <w:rsid w:val="00A61394"/>
    <w:rsid w:val="00A616C5"/>
    <w:rsid w:val="00A6185B"/>
    <w:rsid w:val="00A61B38"/>
    <w:rsid w:val="00A61B53"/>
    <w:rsid w:val="00A61CF4"/>
    <w:rsid w:val="00A61F5E"/>
    <w:rsid w:val="00A621ED"/>
    <w:rsid w:val="00A6249D"/>
    <w:rsid w:val="00A624BF"/>
    <w:rsid w:val="00A625FB"/>
    <w:rsid w:val="00A62D28"/>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B82"/>
    <w:rsid w:val="00A64E5E"/>
    <w:rsid w:val="00A6501C"/>
    <w:rsid w:val="00A651E2"/>
    <w:rsid w:val="00A6539E"/>
    <w:rsid w:val="00A655FB"/>
    <w:rsid w:val="00A659E6"/>
    <w:rsid w:val="00A659EE"/>
    <w:rsid w:val="00A65B6C"/>
    <w:rsid w:val="00A65BCE"/>
    <w:rsid w:val="00A65BD6"/>
    <w:rsid w:val="00A65BFC"/>
    <w:rsid w:val="00A65BFE"/>
    <w:rsid w:val="00A65CFE"/>
    <w:rsid w:val="00A65E24"/>
    <w:rsid w:val="00A66244"/>
    <w:rsid w:val="00A66417"/>
    <w:rsid w:val="00A66488"/>
    <w:rsid w:val="00A6674F"/>
    <w:rsid w:val="00A667F1"/>
    <w:rsid w:val="00A66BA8"/>
    <w:rsid w:val="00A66E9B"/>
    <w:rsid w:val="00A66F31"/>
    <w:rsid w:val="00A672A8"/>
    <w:rsid w:val="00A676D7"/>
    <w:rsid w:val="00A67775"/>
    <w:rsid w:val="00A678AF"/>
    <w:rsid w:val="00A678DE"/>
    <w:rsid w:val="00A67973"/>
    <w:rsid w:val="00A70391"/>
    <w:rsid w:val="00A7044E"/>
    <w:rsid w:val="00A7065A"/>
    <w:rsid w:val="00A709C4"/>
    <w:rsid w:val="00A70A94"/>
    <w:rsid w:val="00A70B74"/>
    <w:rsid w:val="00A70D62"/>
    <w:rsid w:val="00A710E8"/>
    <w:rsid w:val="00A71676"/>
    <w:rsid w:val="00A718ED"/>
    <w:rsid w:val="00A71AF2"/>
    <w:rsid w:val="00A71B1A"/>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221"/>
    <w:rsid w:val="00A73245"/>
    <w:rsid w:val="00A7326A"/>
    <w:rsid w:val="00A73574"/>
    <w:rsid w:val="00A735F9"/>
    <w:rsid w:val="00A7388B"/>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96"/>
    <w:rsid w:val="00A74C05"/>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85B"/>
    <w:rsid w:val="00A76897"/>
    <w:rsid w:val="00A769AE"/>
    <w:rsid w:val="00A76AF2"/>
    <w:rsid w:val="00A76CF3"/>
    <w:rsid w:val="00A76F49"/>
    <w:rsid w:val="00A77110"/>
    <w:rsid w:val="00A7736F"/>
    <w:rsid w:val="00A7748D"/>
    <w:rsid w:val="00A774D0"/>
    <w:rsid w:val="00A77640"/>
    <w:rsid w:val="00A77777"/>
    <w:rsid w:val="00A77798"/>
    <w:rsid w:val="00A77A00"/>
    <w:rsid w:val="00A77AE6"/>
    <w:rsid w:val="00A77DB9"/>
    <w:rsid w:val="00A800EB"/>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32F"/>
    <w:rsid w:val="00A84428"/>
    <w:rsid w:val="00A8476B"/>
    <w:rsid w:val="00A847B4"/>
    <w:rsid w:val="00A8486A"/>
    <w:rsid w:val="00A84872"/>
    <w:rsid w:val="00A84916"/>
    <w:rsid w:val="00A84AA8"/>
    <w:rsid w:val="00A84CDD"/>
    <w:rsid w:val="00A84DAC"/>
    <w:rsid w:val="00A84F88"/>
    <w:rsid w:val="00A850F1"/>
    <w:rsid w:val="00A8523C"/>
    <w:rsid w:val="00A8536A"/>
    <w:rsid w:val="00A85674"/>
    <w:rsid w:val="00A8567A"/>
    <w:rsid w:val="00A85795"/>
    <w:rsid w:val="00A85874"/>
    <w:rsid w:val="00A85BCC"/>
    <w:rsid w:val="00A85D0D"/>
    <w:rsid w:val="00A85D73"/>
    <w:rsid w:val="00A85EC5"/>
    <w:rsid w:val="00A85FD0"/>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2052"/>
    <w:rsid w:val="00A920F4"/>
    <w:rsid w:val="00A921E9"/>
    <w:rsid w:val="00A92272"/>
    <w:rsid w:val="00A92332"/>
    <w:rsid w:val="00A92483"/>
    <w:rsid w:val="00A92921"/>
    <w:rsid w:val="00A92F28"/>
    <w:rsid w:val="00A92F8E"/>
    <w:rsid w:val="00A93159"/>
    <w:rsid w:val="00A9323B"/>
    <w:rsid w:val="00A9357F"/>
    <w:rsid w:val="00A93640"/>
    <w:rsid w:val="00A93696"/>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FE"/>
    <w:rsid w:val="00A9536F"/>
    <w:rsid w:val="00A95746"/>
    <w:rsid w:val="00A95E65"/>
    <w:rsid w:val="00A95E7B"/>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55C"/>
    <w:rsid w:val="00A975BF"/>
    <w:rsid w:val="00A977BB"/>
    <w:rsid w:val="00A97844"/>
    <w:rsid w:val="00A978A4"/>
    <w:rsid w:val="00A9798F"/>
    <w:rsid w:val="00A97D24"/>
    <w:rsid w:val="00A97DCB"/>
    <w:rsid w:val="00A97FFD"/>
    <w:rsid w:val="00AA07FF"/>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4E8"/>
    <w:rsid w:val="00AA35FB"/>
    <w:rsid w:val="00AA37AB"/>
    <w:rsid w:val="00AA39CC"/>
    <w:rsid w:val="00AA3B15"/>
    <w:rsid w:val="00AA3B29"/>
    <w:rsid w:val="00AA3F00"/>
    <w:rsid w:val="00AA3F21"/>
    <w:rsid w:val="00AA3FE4"/>
    <w:rsid w:val="00AA4153"/>
    <w:rsid w:val="00AA46D6"/>
    <w:rsid w:val="00AA4B40"/>
    <w:rsid w:val="00AA4D36"/>
    <w:rsid w:val="00AA5024"/>
    <w:rsid w:val="00AA53D8"/>
    <w:rsid w:val="00AA54E2"/>
    <w:rsid w:val="00AA561C"/>
    <w:rsid w:val="00AA5654"/>
    <w:rsid w:val="00AA580A"/>
    <w:rsid w:val="00AA5BDB"/>
    <w:rsid w:val="00AA5C1E"/>
    <w:rsid w:val="00AA5CF8"/>
    <w:rsid w:val="00AA6046"/>
    <w:rsid w:val="00AA62B4"/>
    <w:rsid w:val="00AA63D1"/>
    <w:rsid w:val="00AA6568"/>
    <w:rsid w:val="00AA66E4"/>
    <w:rsid w:val="00AA66E8"/>
    <w:rsid w:val="00AA6A53"/>
    <w:rsid w:val="00AA6B5E"/>
    <w:rsid w:val="00AA6B71"/>
    <w:rsid w:val="00AA6E67"/>
    <w:rsid w:val="00AA709E"/>
    <w:rsid w:val="00AA70CA"/>
    <w:rsid w:val="00AA715C"/>
    <w:rsid w:val="00AA71A9"/>
    <w:rsid w:val="00AA7441"/>
    <w:rsid w:val="00AA74F5"/>
    <w:rsid w:val="00AA7A6F"/>
    <w:rsid w:val="00AA7AB8"/>
    <w:rsid w:val="00AA7C41"/>
    <w:rsid w:val="00AB02E4"/>
    <w:rsid w:val="00AB0353"/>
    <w:rsid w:val="00AB0367"/>
    <w:rsid w:val="00AB049A"/>
    <w:rsid w:val="00AB05A9"/>
    <w:rsid w:val="00AB0A37"/>
    <w:rsid w:val="00AB0A59"/>
    <w:rsid w:val="00AB0C52"/>
    <w:rsid w:val="00AB0D03"/>
    <w:rsid w:val="00AB0E90"/>
    <w:rsid w:val="00AB10C5"/>
    <w:rsid w:val="00AB1159"/>
    <w:rsid w:val="00AB11B0"/>
    <w:rsid w:val="00AB129D"/>
    <w:rsid w:val="00AB12A3"/>
    <w:rsid w:val="00AB12E1"/>
    <w:rsid w:val="00AB13B2"/>
    <w:rsid w:val="00AB15A1"/>
    <w:rsid w:val="00AB177F"/>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689"/>
    <w:rsid w:val="00AB57E3"/>
    <w:rsid w:val="00AB587B"/>
    <w:rsid w:val="00AB590E"/>
    <w:rsid w:val="00AB59B4"/>
    <w:rsid w:val="00AB5C5D"/>
    <w:rsid w:val="00AB5E47"/>
    <w:rsid w:val="00AB5F2F"/>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C18"/>
    <w:rsid w:val="00AC4D15"/>
    <w:rsid w:val="00AC504C"/>
    <w:rsid w:val="00AC5282"/>
    <w:rsid w:val="00AC52D6"/>
    <w:rsid w:val="00AC53B3"/>
    <w:rsid w:val="00AC5454"/>
    <w:rsid w:val="00AC5694"/>
    <w:rsid w:val="00AC5774"/>
    <w:rsid w:val="00AC58E5"/>
    <w:rsid w:val="00AC596F"/>
    <w:rsid w:val="00AC5ABA"/>
    <w:rsid w:val="00AC5AE6"/>
    <w:rsid w:val="00AC6029"/>
    <w:rsid w:val="00AC620A"/>
    <w:rsid w:val="00AC632D"/>
    <w:rsid w:val="00AC63C7"/>
    <w:rsid w:val="00AC645F"/>
    <w:rsid w:val="00AC66AE"/>
    <w:rsid w:val="00AC67DF"/>
    <w:rsid w:val="00AC69BE"/>
    <w:rsid w:val="00AC6AAE"/>
    <w:rsid w:val="00AC6ED0"/>
    <w:rsid w:val="00AC70A6"/>
    <w:rsid w:val="00AC70AB"/>
    <w:rsid w:val="00AC711D"/>
    <w:rsid w:val="00AC73F2"/>
    <w:rsid w:val="00AC77DB"/>
    <w:rsid w:val="00AC7945"/>
    <w:rsid w:val="00AC7B1B"/>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BBE"/>
    <w:rsid w:val="00AD1E6A"/>
    <w:rsid w:val="00AD202A"/>
    <w:rsid w:val="00AD223B"/>
    <w:rsid w:val="00AD240E"/>
    <w:rsid w:val="00AD2BED"/>
    <w:rsid w:val="00AD2D2C"/>
    <w:rsid w:val="00AD2D75"/>
    <w:rsid w:val="00AD2E55"/>
    <w:rsid w:val="00AD305A"/>
    <w:rsid w:val="00AD3246"/>
    <w:rsid w:val="00AD333A"/>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250"/>
    <w:rsid w:val="00AD64B4"/>
    <w:rsid w:val="00AD6A65"/>
    <w:rsid w:val="00AD6AA6"/>
    <w:rsid w:val="00AD6C11"/>
    <w:rsid w:val="00AD6CBB"/>
    <w:rsid w:val="00AD7093"/>
    <w:rsid w:val="00AD7150"/>
    <w:rsid w:val="00AD7591"/>
    <w:rsid w:val="00AD760D"/>
    <w:rsid w:val="00AD7632"/>
    <w:rsid w:val="00AD7803"/>
    <w:rsid w:val="00AD7F74"/>
    <w:rsid w:val="00AD7F9A"/>
    <w:rsid w:val="00AD7FA2"/>
    <w:rsid w:val="00AE024A"/>
    <w:rsid w:val="00AE029B"/>
    <w:rsid w:val="00AE02C8"/>
    <w:rsid w:val="00AE06D3"/>
    <w:rsid w:val="00AE07A3"/>
    <w:rsid w:val="00AE0AB8"/>
    <w:rsid w:val="00AE0ACF"/>
    <w:rsid w:val="00AE0B17"/>
    <w:rsid w:val="00AE0BB8"/>
    <w:rsid w:val="00AE0DA2"/>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BC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6AD"/>
    <w:rsid w:val="00AE4A51"/>
    <w:rsid w:val="00AE4D1B"/>
    <w:rsid w:val="00AE4FB0"/>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5D"/>
    <w:rsid w:val="00AE7568"/>
    <w:rsid w:val="00AE75A6"/>
    <w:rsid w:val="00AE76F8"/>
    <w:rsid w:val="00AE77B6"/>
    <w:rsid w:val="00AE78A5"/>
    <w:rsid w:val="00AE791F"/>
    <w:rsid w:val="00AE7A43"/>
    <w:rsid w:val="00AE7B2B"/>
    <w:rsid w:val="00AE7DBB"/>
    <w:rsid w:val="00AE7E19"/>
    <w:rsid w:val="00AE7F0C"/>
    <w:rsid w:val="00AF009D"/>
    <w:rsid w:val="00AF015F"/>
    <w:rsid w:val="00AF03FC"/>
    <w:rsid w:val="00AF05D9"/>
    <w:rsid w:val="00AF06A4"/>
    <w:rsid w:val="00AF07D1"/>
    <w:rsid w:val="00AF07E3"/>
    <w:rsid w:val="00AF0952"/>
    <w:rsid w:val="00AF0B36"/>
    <w:rsid w:val="00AF0BBF"/>
    <w:rsid w:val="00AF0D2E"/>
    <w:rsid w:val="00AF0D7C"/>
    <w:rsid w:val="00AF0E8A"/>
    <w:rsid w:val="00AF0E9E"/>
    <w:rsid w:val="00AF0FF2"/>
    <w:rsid w:val="00AF106B"/>
    <w:rsid w:val="00AF1332"/>
    <w:rsid w:val="00AF138B"/>
    <w:rsid w:val="00AF1433"/>
    <w:rsid w:val="00AF158F"/>
    <w:rsid w:val="00AF188F"/>
    <w:rsid w:val="00AF1B72"/>
    <w:rsid w:val="00AF1D80"/>
    <w:rsid w:val="00AF1E1E"/>
    <w:rsid w:val="00AF1EEB"/>
    <w:rsid w:val="00AF1FD2"/>
    <w:rsid w:val="00AF23AD"/>
    <w:rsid w:val="00AF2550"/>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01"/>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2E2"/>
    <w:rsid w:val="00AF64D4"/>
    <w:rsid w:val="00AF668B"/>
    <w:rsid w:val="00AF66DD"/>
    <w:rsid w:val="00AF67C6"/>
    <w:rsid w:val="00AF6B14"/>
    <w:rsid w:val="00AF6B60"/>
    <w:rsid w:val="00AF6C2E"/>
    <w:rsid w:val="00AF6C66"/>
    <w:rsid w:val="00AF6C7E"/>
    <w:rsid w:val="00AF6E5D"/>
    <w:rsid w:val="00AF6E94"/>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3D"/>
    <w:rsid w:val="00B045B6"/>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88"/>
    <w:rsid w:val="00B078F4"/>
    <w:rsid w:val="00B07AFB"/>
    <w:rsid w:val="00B07C30"/>
    <w:rsid w:val="00B07DDC"/>
    <w:rsid w:val="00B07EB5"/>
    <w:rsid w:val="00B07EDD"/>
    <w:rsid w:val="00B10014"/>
    <w:rsid w:val="00B1029E"/>
    <w:rsid w:val="00B10311"/>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87F"/>
    <w:rsid w:val="00B128E9"/>
    <w:rsid w:val="00B129EB"/>
    <w:rsid w:val="00B12AE3"/>
    <w:rsid w:val="00B12C9D"/>
    <w:rsid w:val="00B12CC6"/>
    <w:rsid w:val="00B12D15"/>
    <w:rsid w:val="00B12DD7"/>
    <w:rsid w:val="00B12E98"/>
    <w:rsid w:val="00B12F9C"/>
    <w:rsid w:val="00B131CC"/>
    <w:rsid w:val="00B1324C"/>
    <w:rsid w:val="00B13552"/>
    <w:rsid w:val="00B13720"/>
    <w:rsid w:val="00B1376E"/>
    <w:rsid w:val="00B137EF"/>
    <w:rsid w:val="00B13931"/>
    <w:rsid w:val="00B1398C"/>
    <w:rsid w:val="00B13B70"/>
    <w:rsid w:val="00B13C62"/>
    <w:rsid w:val="00B13D99"/>
    <w:rsid w:val="00B13DBD"/>
    <w:rsid w:val="00B13F94"/>
    <w:rsid w:val="00B14168"/>
    <w:rsid w:val="00B1425B"/>
    <w:rsid w:val="00B1437D"/>
    <w:rsid w:val="00B1470A"/>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402"/>
    <w:rsid w:val="00B17485"/>
    <w:rsid w:val="00B174AE"/>
    <w:rsid w:val="00B17C55"/>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D3F"/>
    <w:rsid w:val="00B21EBF"/>
    <w:rsid w:val="00B22157"/>
    <w:rsid w:val="00B22327"/>
    <w:rsid w:val="00B22383"/>
    <w:rsid w:val="00B2244E"/>
    <w:rsid w:val="00B2257A"/>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E55"/>
    <w:rsid w:val="00B26255"/>
    <w:rsid w:val="00B26293"/>
    <w:rsid w:val="00B26585"/>
    <w:rsid w:val="00B26712"/>
    <w:rsid w:val="00B26C9A"/>
    <w:rsid w:val="00B26DB5"/>
    <w:rsid w:val="00B272BE"/>
    <w:rsid w:val="00B2742D"/>
    <w:rsid w:val="00B27607"/>
    <w:rsid w:val="00B27678"/>
    <w:rsid w:val="00B2768E"/>
    <w:rsid w:val="00B2773A"/>
    <w:rsid w:val="00B279F2"/>
    <w:rsid w:val="00B27E3A"/>
    <w:rsid w:val="00B27F3D"/>
    <w:rsid w:val="00B300EA"/>
    <w:rsid w:val="00B301C2"/>
    <w:rsid w:val="00B304F7"/>
    <w:rsid w:val="00B30510"/>
    <w:rsid w:val="00B30607"/>
    <w:rsid w:val="00B307B8"/>
    <w:rsid w:val="00B307E1"/>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BD"/>
    <w:rsid w:val="00B323C9"/>
    <w:rsid w:val="00B325F3"/>
    <w:rsid w:val="00B32A63"/>
    <w:rsid w:val="00B32ACA"/>
    <w:rsid w:val="00B32C72"/>
    <w:rsid w:val="00B32C91"/>
    <w:rsid w:val="00B330EE"/>
    <w:rsid w:val="00B33689"/>
    <w:rsid w:val="00B339B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A7A"/>
    <w:rsid w:val="00B35FB9"/>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6F3F"/>
    <w:rsid w:val="00B3706E"/>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1E56"/>
    <w:rsid w:val="00B42232"/>
    <w:rsid w:val="00B42304"/>
    <w:rsid w:val="00B424A0"/>
    <w:rsid w:val="00B428FD"/>
    <w:rsid w:val="00B42F60"/>
    <w:rsid w:val="00B4361B"/>
    <w:rsid w:val="00B4373B"/>
    <w:rsid w:val="00B4374E"/>
    <w:rsid w:val="00B43C86"/>
    <w:rsid w:val="00B43C95"/>
    <w:rsid w:val="00B43D28"/>
    <w:rsid w:val="00B43FE8"/>
    <w:rsid w:val="00B442E5"/>
    <w:rsid w:val="00B44375"/>
    <w:rsid w:val="00B44415"/>
    <w:rsid w:val="00B445CC"/>
    <w:rsid w:val="00B44E24"/>
    <w:rsid w:val="00B44E81"/>
    <w:rsid w:val="00B45102"/>
    <w:rsid w:val="00B45320"/>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6DD"/>
    <w:rsid w:val="00B47758"/>
    <w:rsid w:val="00B47E9B"/>
    <w:rsid w:val="00B47EF3"/>
    <w:rsid w:val="00B47FA0"/>
    <w:rsid w:val="00B50001"/>
    <w:rsid w:val="00B500CF"/>
    <w:rsid w:val="00B502A9"/>
    <w:rsid w:val="00B502EB"/>
    <w:rsid w:val="00B5032B"/>
    <w:rsid w:val="00B5041B"/>
    <w:rsid w:val="00B509FC"/>
    <w:rsid w:val="00B50ECD"/>
    <w:rsid w:val="00B5111A"/>
    <w:rsid w:val="00B511DA"/>
    <w:rsid w:val="00B51534"/>
    <w:rsid w:val="00B51653"/>
    <w:rsid w:val="00B51659"/>
    <w:rsid w:val="00B517A7"/>
    <w:rsid w:val="00B519A0"/>
    <w:rsid w:val="00B51BA6"/>
    <w:rsid w:val="00B52253"/>
    <w:rsid w:val="00B522D6"/>
    <w:rsid w:val="00B522F6"/>
    <w:rsid w:val="00B523B4"/>
    <w:rsid w:val="00B5240E"/>
    <w:rsid w:val="00B5253D"/>
    <w:rsid w:val="00B52567"/>
    <w:rsid w:val="00B525C0"/>
    <w:rsid w:val="00B52686"/>
    <w:rsid w:val="00B5276F"/>
    <w:rsid w:val="00B52875"/>
    <w:rsid w:val="00B52B88"/>
    <w:rsid w:val="00B52D21"/>
    <w:rsid w:val="00B52E5A"/>
    <w:rsid w:val="00B531AE"/>
    <w:rsid w:val="00B532C4"/>
    <w:rsid w:val="00B535A3"/>
    <w:rsid w:val="00B537BA"/>
    <w:rsid w:val="00B5383B"/>
    <w:rsid w:val="00B5390A"/>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A11"/>
    <w:rsid w:val="00B54AC7"/>
    <w:rsid w:val="00B54B88"/>
    <w:rsid w:val="00B54BDA"/>
    <w:rsid w:val="00B54CC8"/>
    <w:rsid w:val="00B54E4E"/>
    <w:rsid w:val="00B5511F"/>
    <w:rsid w:val="00B551B6"/>
    <w:rsid w:val="00B55271"/>
    <w:rsid w:val="00B55291"/>
    <w:rsid w:val="00B552F9"/>
    <w:rsid w:val="00B55424"/>
    <w:rsid w:val="00B555A6"/>
    <w:rsid w:val="00B556F2"/>
    <w:rsid w:val="00B55860"/>
    <w:rsid w:val="00B55932"/>
    <w:rsid w:val="00B5594F"/>
    <w:rsid w:val="00B55A30"/>
    <w:rsid w:val="00B55BAE"/>
    <w:rsid w:val="00B55C1D"/>
    <w:rsid w:val="00B55D12"/>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EC2"/>
    <w:rsid w:val="00B60EC4"/>
    <w:rsid w:val="00B60EF3"/>
    <w:rsid w:val="00B610B3"/>
    <w:rsid w:val="00B6147B"/>
    <w:rsid w:val="00B61513"/>
    <w:rsid w:val="00B61601"/>
    <w:rsid w:val="00B61A67"/>
    <w:rsid w:val="00B61A7B"/>
    <w:rsid w:val="00B61C23"/>
    <w:rsid w:val="00B61C58"/>
    <w:rsid w:val="00B61E0F"/>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3B5"/>
    <w:rsid w:val="00B64468"/>
    <w:rsid w:val="00B64596"/>
    <w:rsid w:val="00B645B3"/>
    <w:rsid w:val="00B64A7E"/>
    <w:rsid w:val="00B64C52"/>
    <w:rsid w:val="00B64DE5"/>
    <w:rsid w:val="00B650A0"/>
    <w:rsid w:val="00B650C2"/>
    <w:rsid w:val="00B65290"/>
    <w:rsid w:val="00B654C4"/>
    <w:rsid w:val="00B65540"/>
    <w:rsid w:val="00B655CF"/>
    <w:rsid w:val="00B6568F"/>
    <w:rsid w:val="00B659A4"/>
    <w:rsid w:val="00B65A08"/>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F62"/>
    <w:rsid w:val="00B74F85"/>
    <w:rsid w:val="00B74FD1"/>
    <w:rsid w:val="00B75257"/>
    <w:rsid w:val="00B755D4"/>
    <w:rsid w:val="00B758B8"/>
    <w:rsid w:val="00B75A9B"/>
    <w:rsid w:val="00B75DEA"/>
    <w:rsid w:val="00B762C2"/>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70"/>
    <w:rsid w:val="00B779D8"/>
    <w:rsid w:val="00B77C58"/>
    <w:rsid w:val="00B77EAE"/>
    <w:rsid w:val="00B77FE3"/>
    <w:rsid w:val="00B80044"/>
    <w:rsid w:val="00B800F9"/>
    <w:rsid w:val="00B806EA"/>
    <w:rsid w:val="00B808E0"/>
    <w:rsid w:val="00B80965"/>
    <w:rsid w:val="00B809C7"/>
    <w:rsid w:val="00B80A0B"/>
    <w:rsid w:val="00B811B9"/>
    <w:rsid w:val="00B813C7"/>
    <w:rsid w:val="00B81425"/>
    <w:rsid w:val="00B814DE"/>
    <w:rsid w:val="00B815B8"/>
    <w:rsid w:val="00B815CE"/>
    <w:rsid w:val="00B8181D"/>
    <w:rsid w:val="00B81AD0"/>
    <w:rsid w:val="00B81B0F"/>
    <w:rsid w:val="00B81B62"/>
    <w:rsid w:val="00B8219A"/>
    <w:rsid w:val="00B82278"/>
    <w:rsid w:val="00B82325"/>
    <w:rsid w:val="00B825FD"/>
    <w:rsid w:val="00B82F75"/>
    <w:rsid w:val="00B831CB"/>
    <w:rsid w:val="00B8348F"/>
    <w:rsid w:val="00B83735"/>
    <w:rsid w:val="00B837E1"/>
    <w:rsid w:val="00B83A00"/>
    <w:rsid w:val="00B83A1A"/>
    <w:rsid w:val="00B83A29"/>
    <w:rsid w:val="00B83A76"/>
    <w:rsid w:val="00B83D3F"/>
    <w:rsid w:val="00B842E1"/>
    <w:rsid w:val="00B84886"/>
    <w:rsid w:val="00B848D1"/>
    <w:rsid w:val="00B849B8"/>
    <w:rsid w:val="00B84A3C"/>
    <w:rsid w:val="00B84A54"/>
    <w:rsid w:val="00B84AA0"/>
    <w:rsid w:val="00B84AAB"/>
    <w:rsid w:val="00B84B6F"/>
    <w:rsid w:val="00B84B84"/>
    <w:rsid w:val="00B84D71"/>
    <w:rsid w:val="00B84FA5"/>
    <w:rsid w:val="00B8525B"/>
    <w:rsid w:val="00B853AB"/>
    <w:rsid w:val="00B855BC"/>
    <w:rsid w:val="00B857CA"/>
    <w:rsid w:val="00B8581D"/>
    <w:rsid w:val="00B858BE"/>
    <w:rsid w:val="00B85A1E"/>
    <w:rsid w:val="00B85A30"/>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80C"/>
    <w:rsid w:val="00B878DC"/>
    <w:rsid w:val="00B87935"/>
    <w:rsid w:val="00B8795A"/>
    <w:rsid w:val="00B8795E"/>
    <w:rsid w:val="00B87A6C"/>
    <w:rsid w:val="00B87CA4"/>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911"/>
    <w:rsid w:val="00B92C7E"/>
    <w:rsid w:val="00B92D7A"/>
    <w:rsid w:val="00B92F7A"/>
    <w:rsid w:val="00B93032"/>
    <w:rsid w:val="00B9317E"/>
    <w:rsid w:val="00B9334C"/>
    <w:rsid w:val="00B93494"/>
    <w:rsid w:val="00B937BF"/>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596"/>
    <w:rsid w:val="00B95686"/>
    <w:rsid w:val="00B957DD"/>
    <w:rsid w:val="00B95800"/>
    <w:rsid w:val="00B95AC9"/>
    <w:rsid w:val="00B95B09"/>
    <w:rsid w:val="00B95E12"/>
    <w:rsid w:val="00B95F57"/>
    <w:rsid w:val="00B960A1"/>
    <w:rsid w:val="00B96388"/>
    <w:rsid w:val="00B9643B"/>
    <w:rsid w:val="00B96444"/>
    <w:rsid w:val="00B965D7"/>
    <w:rsid w:val="00B96998"/>
    <w:rsid w:val="00B969B2"/>
    <w:rsid w:val="00B969E7"/>
    <w:rsid w:val="00B96D67"/>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3B"/>
    <w:rsid w:val="00BA0ED0"/>
    <w:rsid w:val="00BA0FDE"/>
    <w:rsid w:val="00BA11D5"/>
    <w:rsid w:val="00BA17AB"/>
    <w:rsid w:val="00BA181E"/>
    <w:rsid w:val="00BA1C37"/>
    <w:rsid w:val="00BA200B"/>
    <w:rsid w:val="00BA24AE"/>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81B"/>
    <w:rsid w:val="00BA39D3"/>
    <w:rsid w:val="00BA3B91"/>
    <w:rsid w:val="00BA3BE5"/>
    <w:rsid w:val="00BA3E10"/>
    <w:rsid w:val="00BA3FF2"/>
    <w:rsid w:val="00BA4177"/>
    <w:rsid w:val="00BA426B"/>
    <w:rsid w:val="00BA42D2"/>
    <w:rsid w:val="00BA42EF"/>
    <w:rsid w:val="00BA4374"/>
    <w:rsid w:val="00BA43C4"/>
    <w:rsid w:val="00BA456B"/>
    <w:rsid w:val="00BA45B7"/>
    <w:rsid w:val="00BA483A"/>
    <w:rsid w:val="00BA49E7"/>
    <w:rsid w:val="00BA4F8E"/>
    <w:rsid w:val="00BA505B"/>
    <w:rsid w:val="00BA5139"/>
    <w:rsid w:val="00BA5622"/>
    <w:rsid w:val="00BA5887"/>
    <w:rsid w:val="00BA5939"/>
    <w:rsid w:val="00BA5C04"/>
    <w:rsid w:val="00BA5C23"/>
    <w:rsid w:val="00BA5C40"/>
    <w:rsid w:val="00BA5FD7"/>
    <w:rsid w:val="00BA5FE8"/>
    <w:rsid w:val="00BA6082"/>
    <w:rsid w:val="00BA6173"/>
    <w:rsid w:val="00BA623E"/>
    <w:rsid w:val="00BA639A"/>
    <w:rsid w:val="00BA65F5"/>
    <w:rsid w:val="00BA674E"/>
    <w:rsid w:val="00BA6A48"/>
    <w:rsid w:val="00BA6A6F"/>
    <w:rsid w:val="00BA6BC9"/>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40EE"/>
    <w:rsid w:val="00BB41A9"/>
    <w:rsid w:val="00BB42E0"/>
    <w:rsid w:val="00BB432F"/>
    <w:rsid w:val="00BB46C7"/>
    <w:rsid w:val="00BB472A"/>
    <w:rsid w:val="00BB49F3"/>
    <w:rsid w:val="00BB4B81"/>
    <w:rsid w:val="00BB4CBF"/>
    <w:rsid w:val="00BB4CC4"/>
    <w:rsid w:val="00BB4E5A"/>
    <w:rsid w:val="00BB523F"/>
    <w:rsid w:val="00BB53F7"/>
    <w:rsid w:val="00BB548C"/>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6FA1"/>
    <w:rsid w:val="00BB736F"/>
    <w:rsid w:val="00BB77C3"/>
    <w:rsid w:val="00BB7C1E"/>
    <w:rsid w:val="00BB7FC1"/>
    <w:rsid w:val="00BC0266"/>
    <w:rsid w:val="00BC0342"/>
    <w:rsid w:val="00BC03ED"/>
    <w:rsid w:val="00BC0495"/>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C75"/>
    <w:rsid w:val="00BC3EB1"/>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C83"/>
    <w:rsid w:val="00BD3EC9"/>
    <w:rsid w:val="00BD3FA7"/>
    <w:rsid w:val="00BD4072"/>
    <w:rsid w:val="00BD42D3"/>
    <w:rsid w:val="00BD4339"/>
    <w:rsid w:val="00BD46B6"/>
    <w:rsid w:val="00BD4A7C"/>
    <w:rsid w:val="00BD4C80"/>
    <w:rsid w:val="00BD4D9D"/>
    <w:rsid w:val="00BD4FB3"/>
    <w:rsid w:val="00BD518B"/>
    <w:rsid w:val="00BD519E"/>
    <w:rsid w:val="00BD5451"/>
    <w:rsid w:val="00BD582D"/>
    <w:rsid w:val="00BD585C"/>
    <w:rsid w:val="00BD5DD1"/>
    <w:rsid w:val="00BD5EE1"/>
    <w:rsid w:val="00BD632E"/>
    <w:rsid w:val="00BD65B0"/>
    <w:rsid w:val="00BD6762"/>
    <w:rsid w:val="00BD68B1"/>
    <w:rsid w:val="00BD6B25"/>
    <w:rsid w:val="00BD6BCB"/>
    <w:rsid w:val="00BD6CD2"/>
    <w:rsid w:val="00BD6D1F"/>
    <w:rsid w:val="00BD6DE5"/>
    <w:rsid w:val="00BD6E88"/>
    <w:rsid w:val="00BD6F3C"/>
    <w:rsid w:val="00BD6FE3"/>
    <w:rsid w:val="00BD723D"/>
    <w:rsid w:val="00BD7600"/>
    <w:rsid w:val="00BD7A88"/>
    <w:rsid w:val="00BD7B50"/>
    <w:rsid w:val="00BD7D9A"/>
    <w:rsid w:val="00BD7F69"/>
    <w:rsid w:val="00BD7FA6"/>
    <w:rsid w:val="00BE00C7"/>
    <w:rsid w:val="00BE0467"/>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E8"/>
    <w:rsid w:val="00BE57FE"/>
    <w:rsid w:val="00BE5915"/>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81"/>
    <w:rsid w:val="00BF2EB4"/>
    <w:rsid w:val="00BF2EDB"/>
    <w:rsid w:val="00BF2F5A"/>
    <w:rsid w:val="00BF32BC"/>
    <w:rsid w:val="00BF33A9"/>
    <w:rsid w:val="00BF352B"/>
    <w:rsid w:val="00BF35D6"/>
    <w:rsid w:val="00BF36B1"/>
    <w:rsid w:val="00BF370F"/>
    <w:rsid w:val="00BF3C4C"/>
    <w:rsid w:val="00BF3CD4"/>
    <w:rsid w:val="00BF3D20"/>
    <w:rsid w:val="00BF3D53"/>
    <w:rsid w:val="00BF3E0B"/>
    <w:rsid w:val="00BF40DA"/>
    <w:rsid w:val="00BF42E5"/>
    <w:rsid w:val="00BF4543"/>
    <w:rsid w:val="00BF4857"/>
    <w:rsid w:val="00BF4992"/>
    <w:rsid w:val="00BF4A37"/>
    <w:rsid w:val="00BF4E2F"/>
    <w:rsid w:val="00BF4EE3"/>
    <w:rsid w:val="00BF4F89"/>
    <w:rsid w:val="00BF529C"/>
    <w:rsid w:val="00BF536A"/>
    <w:rsid w:val="00BF58C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42"/>
    <w:rsid w:val="00BF71B8"/>
    <w:rsid w:val="00BF7533"/>
    <w:rsid w:val="00BF78A2"/>
    <w:rsid w:val="00BF7AB1"/>
    <w:rsid w:val="00BF7C41"/>
    <w:rsid w:val="00BF7FBF"/>
    <w:rsid w:val="00BF7FF7"/>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CC"/>
    <w:rsid w:val="00C0260A"/>
    <w:rsid w:val="00C02756"/>
    <w:rsid w:val="00C02A6C"/>
    <w:rsid w:val="00C02D61"/>
    <w:rsid w:val="00C02FB3"/>
    <w:rsid w:val="00C03006"/>
    <w:rsid w:val="00C032E7"/>
    <w:rsid w:val="00C0340D"/>
    <w:rsid w:val="00C03578"/>
    <w:rsid w:val="00C037B2"/>
    <w:rsid w:val="00C03A64"/>
    <w:rsid w:val="00C03A85"/>
    <w:rsid w:val="00C03B35"/>
    <w:rsid w:val="00C03B87"/>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61B6"/>
    <w:rsid w:val="00C0622E"/>
    <w:rsid w:val="00C062DB"/>
    <w:rsid w:val="00C06353"/>
    <w:rsid w:val="00C06357"/>
    <w:rsid w:val="00C063B6"/>
    <w:rsid w:val="00C068AE"/>
    <w:rsid w:val="00C06E59"/>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621"/>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364"/>
    <w:rsid w:val="00C167B5"/>
    <w:rsid w:val="00C16867"/>
    <w:rsid w:val="00C16943"/>
    <w:rsid w:val="00C169A6"/>
    <w:rsid w:val="00C16CBA"/>
    <w:rsid w:val="00C16D9B"/>
    <w:rsid w:val="00C17063"/>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6A"/>
    <w:rsid w:val="00C230DB"/>
    <w:rsid w:val="00C233FB"/>
    <w:rsid w:val="00C234AF"/>
    <w:rsid w:val="00C23781"/>
    <w:rsid w:val="00C23940"/>
    <w:rsid w:val="00C239FF"/>
    <w:rsid w:val="00C2400F"/>
    <w:rsid w:val="00C240AD"/>
    <w:rsid w:val="00C243A8"/>
    <w:rsid w:val="00C24466"/>
    <w:rsid w:val="00C24633"/>
    <w:rsid w:val="00C2469E"/>
    <w:rsid w:val="00C249D5"/>
    <w:rsid w:val="00C24AD3"/>
    <w:rsid w:val="00C24D28"/>
    <w:rsid w:val="00C2502E"/>
    <w:rsid w:val="00C252F8"/>
    <w:rsid w:val="00C25588"/>
    <w:rsid w:val="00C25722"/>
    <w:rsid w:val="00C25781"/>
    <w:rsid w:val="00C259B6"/>
    <w:rsid w:val="00C25C21"/>
    <w:rsid w:val="00C25E80"/>
    <w:rsid w:val="00C25F7B"/>
    <w:rsid w:val="00C25FAF"/>
    <w:rsid w:val="00C260AA"/>
    <w:rsid w:val="00C26144"/>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22"/>
    <w:rsid w:val="00C31B8E"/>
    <w:rsid w:val="00C31BBC"/>
    <w:rsid w:val="00C31F64"/>
    <w:rsid w:val="00C3207A"/>
    <w:rsid w:val="00C3219F"/>
    <w:rsid w:val="00C322CE"/>
    <w:rsid w:val="00C3258E"/>
    <w:rsid w:val="00C327D0"/>
    <w:rsid w:val="00C327D8"/>
    <w:rsid w:val="00C329BD"/>
    <w:rsid w:val="00C32A04"/>
    <w:rsid w:val="00C32A2B"/>
    <w:rsid w:val="00C32BD3"/>
    <w:rsid w:val="00C32DC5"/>
    <w:rsid w:val="00C3303E"/>
    <w:rsid w:val="00C330FD"/>
    <w:rsid w:val="00C331F8"/>
    <w:rsid w:val="00C332BA"/>
    <w:rsid w:val="00C33331"/>
    <w:rsid w:val="00C33412"/>
    <w:rsid w:val="00C33A10"/>
    <w:rsid w:val="00C33A20"/>
    <w:rsid w:val="00C33B73"/>
    <w:rsid w:val="00C33B78"/>
    <w:rsid w:val="00C33C86"/>
    <w:rsid w:val="00C33DF9"/>
    <w:rsid w:val="00C33E56"/>
    <w:rsid w:val="00C33E9A"/>
    <w:rsid w:val="00C34214"/>
    <w:rsid w:val="00C34511"/>
    <w:rsid w:val="00C345B0"/>
    <w:rsid w:val="00C345F0"/>
    <w:rsid w:val="00C346DA"/>
    <w:rsid w:val="00C348A7"/>
    <w:rsid w:val="00C34904"/>
    <w:rsid w:val="00C3490A"/>
    <w:rsid w:val="00C34943"/>
    <w:rsid w:val="00C34BAC"/>
    <w:rsid w:val="00C34C58"/>
    <w:rsid w:val="00C34CD7"/>
    <w:rsid w:val="00C35072"/>
    <w:rsid w:val="00C35248"/>
    <w:rsid w:val="00C35C84"/>
    <w:rsid w:val="00C35DB1"/>
    <w:rsid w:val="00C35FBC"/>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DB"/>
    <w:rsid w:val="00C41B4A"/>
    <w:rsid w:val="00C41F0E"/>
    <w:rsid w:val="00C421F9"/>
    <w:rsid w:val="00C422E8"/>
    <w:rsid w:val="00C42549"/>
    <w:rsid w:val="00C42671"/>
    <w:rsid w:val="00C426C0"/>
    <w:rsid w:val="00C42837"/>
    <w:rsid w:val="00C42B4A"/>
    <w:rsid w:val="00C42BD9"/>
    <w:rsid w:val="00C42F08"/>
    <w:rsid w:val="00C43127"/>
    <w:rsid w:val="00C43225"/>
    <w:rsid w:val="00C436FD"/>
    <w:rsid w:val="00C4383C"/>
    <w:rsid w:val="00C43968"/>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501D"/>
    <w:rsid w:val="00C452B5"/>
    <w:rsid w:val="00C45AEC"/>
    <w:rsid w:val="00C45C93"/>
    <w:rsid w:val="00C45CB7"/>
    <w:rsid w:val="00C45E3A"/>
    <w:rsid w:val="00C4604B"/>
    <w:rsid w:val="00C46186"/>
    <w:rsid w:val="00C462A4"/>
    <w:rsid w:val="00C4660C"/>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3122"/>
    <w:rsid w:val="00C532A7"/>
    <w:rsid w:val="00C5377F"/>
    <w:rsid w:val="00C537B0"/>
    <w:rsid w:val="00C53832"/>
    <w:rsid w:val="00C53BCD"/>
    <w:rsid w:val="00C53E08"/>
    <w:rsid w:val="00C54169"/>
    <w:rsid w:val="00C541B7"/>
    <w:rsid w:val="00C54240"/>
    <w:rsid w:val="00C542CE"/>
    <w:rsid w:val="00C54464"/>
    <w:rsid w:val="00C544EB"/>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7A"/>
    <w:rsid w:val="00C60BEF"/>
    <w:rsid w:val="00C610B3"/>
    <w:rsid w:val="00C615D0"/>
    <w:rsid w:val="00C61860"/>
    <w:rsid w:val="00C61A65"/>
    <w:rsid w:val="00C61AA8"/>
    <w:rsid w:val="00C61AE4"/>
    <w:rsid w:val="00C61BB8"/>
    <w:rsid w:val="00C61F45"/>
    <w:rsid w:val="00C61F9C"/>
    <w:rsid w:val="00C62000"/>
    <w:rsid w:val="00C6241F"/>
    <w:rsid w:val="00C62456"/>
    <w:rsid w:val="00C627EE"/>
    <w:rsid w:val="00C627F2"/>
    <w:rsid w:val="00C62831"/>
    <w:rsid w:val="00C62ACF"/>
    <w:rsid w:val="00C62BDF"/>
    <w:rsid w:val="00C63264"/>
    <w:rsid w:val="00C632FE"/>
    <w:rsid w:val="00C637C4"/>
    <w:rsid w:val="00C63900"/>
    <w:rsid w:val="00C639D1"/>
    <w:rsid w:val="00C63B23"/>
    <w:rsid w:val="00C63B78"/>
    <w:rsid w:val="00C63BCC"/>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8A"/>
    <w:rsid w:val="00C71BB1"/>
    <w:rsid w:val="00C71CA6"/>
    <w:rsid w:val="00C71D10"/>
    <w:rsid w:val="00C720B5"/>
    <w:rsid w:val="00C7236C"/>
    <w:rsid w:val="00C72443"/>
    <w:rsid w:val="00C7268C"/>
    <w:rsid w:val="00C72B0C"/>
    <w:rsid w:val="00C72C8C"/>
    <w:rsid w:val="00C72CC7"/>
    <w:rsid w:val="00C72ED7"/>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E4"/>
    <w:rsid w:val="00C74B6D"/>
    <w:rsid w:val="00C74B8A"/>
    <w:rsid w:val="00C74C8D"/>
    <w:rsid w:val="00C74CC7"/>
    <w:rsid w:val="00C74DBC"/>
    <w:rsid w:val="00C75274"/>
    <w:rsid w:val="00C75291"/>
    <w:rsid w:val="00C75335"/>
    <w:rsid w:val="00C7596D"/>
    <w:rsid w:val="00C75BEA"/>
    <w:rsid w:val="00C75F84"/>
    <w:rsid w:val="00C75FCD"/>
    <w:rsid w:val="00C7612A"/>
    <w:rsid w:val="00C764B3"/>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A01"/>
    <w:rsid w:val="00C77A1A"/>
    <w:rsid w:val="00C77A91"/>
    <w:rsid w:val="00C77ACA"/>
    <w:rsid w:val="00C77B25"/>
    <w:rsid w:val="00C77B63"/>
    <w:rsid w:val="00C77F67"/>
    <w:rsid w:val="00C77F6B"/>
    <w:rsid w:val="00C8004F"/>
    <w:rsid w:val="00C80239"/>
    <w:rsid w:val="00C8055C"/>
    <w:rsid w:val="00C8058F"/>
    <w:rsid w:val="00C805E0"/>
    <w:rsid w:val="00C8090C"/>
    <w:rsid w:val="00C809FE"/>
    <w:rsid w:val="00C80A11"/>
    <w:rsid w:val="00C80ABF"/>
    <w:rsid w:val="00C80BCC"/>
    <w:rsid w:val="00C80DC8"/>
    <w:rsid w:val="00C80E3D"/>
    <w:rsid w:val="00C80FA5"/>
    <w:rsid w:val="00C81504"/>
    <w:rsid w:val="00C8169D"/>
    <w:rsid w:val="00C817B0"/>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724"/>
    <w:rsid w:val="00C84761"/>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D79"/>
    <w:rsid w:val="00C87F57"/>
    <w:rsid w:val="00C87FE9"/>
    <w:rsid w:val="00C903A4"/>
    <w:rsid w:val="00C903E8"/>
    <w:rsid w:val="00C9045E"/>
    <w:rsid w:val="00C9049C"/>
    <w:rsid w:val="00C9053F"/>
    <w:rsid w:val="00C90645"/>
    <w:rsid w:val="00C907D2"/>
    <w:rsid w:val="00C909C2"/>
    <w:rsid w:val="00C90B32"/>
    <w:rsid w:val="00C90C9B"/>
    <w:rsid w:val="00C90FC2"/>
    <w:rsid w:val="00C91750"/>
    <w:rsid w:val="00C91852"/>
    <w:rsid w:val="00C91885"/>
    <w:rsid w:val="00C918A2"/>
    <w:rsid w:val="00C9193B"/>
    <w:rsid w:val="00C919CD"/>
    <w:rsid w:val="00C91ABB"/>
    <w:rsid w:val="00C91F73"/>
    <w:rsid w:val="00C91FA5"/>
    <w:rsid w:val="00C921CF"/>
    <w:rsid w:val="00C9236F"/>
    <w:rsid w:val="00C924A9"/>
    <w:rsid w:val="00C9279B"/>
    <w:rsid w:val="00C92BA3"/>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5E9"/>
    <w:rsid w:val="00C94620"/>
    <w:rsid w:val="00C9462F"/>
    <w:rsid w:val="00C94637"/>
    <w:rsid w:val="00C94648"/>
    <w:rsid w:val="00C947D1"/>
    <w:rsid w:val="00C94C60"/>
    <w:rsid w:val="00C94DEA"/>
    <w:rsid w:val="00C94F92"/>
    <w:rsid w:val="00C9502C"/>
    <w:rsid w:val="00C9523E"/>
    <w:rsid w:val="00C953F3"/>
    <w:rsid w:val="00C95407"/>
    <w:rsid w:val="00C954F2"/>
    <w:rsid w:val="00C95616"/>
    <w:rsid w:val="00C95696"/>
    <w:rsid w:val="00C95797"/>
    <w:rsid w:val="00C95978"/>
    <w:rsid w:val="00C959C2"/>
    <w:rsid w:val="00C959EB"/>
    <w:rsid w:val="00C95E04"/>
    <w:rsid w:val="00C95FCA"/>
    <w:rsid w:val="00C9607C"/>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891"/>
    <w:rsid w:val="00C97A07"/>
    <w:rsid w:val="00C97C61"/>
    <w:rsid w:val="00C97D3F"/>
    <w:rsid w:val="00C97F3B"/>
    <w:rsid w:val="00CA003F"/>
    <w:rsid w:val="00CA03A5"/>
    <w:rsid w:val="00CA048F"/>
    <w:rsid w:val="00CA076C"/>
    <w:rsid w:val="00CA0A4A"/>
    <w:rsid w:val="00CA0E50"/>
    <w:rsid w:val="00CA0F7D"/>
    <w:rsid w:val="00CA11F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3E4C"/>
    <w:rsid w:val="00CA4124"/>
    <w:rsid w:val="00CA4319"/>
    <w:rsid w:val="00CA44DF"/>
    <w:rsid w:val="00CA4763"/>
    <w:rsid w:val="00CA47EC"/>
    <w:rsid w:val="00CA4959"/>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3B"/>
    <w:rsid w:val="00CA7E61"/>
    <w:rsid w:val="00CB00E8"/>
    <w:rsid w:val="00CB0140"/>
    <w:rsid w:val="00CB0200"/>
    <w:rsid w:val="00CB0446"/>
    <w:rsid w:val="00CB06C6"/>
    <w:rsid w:val="00CB06FC"/>
    <w:rsid w:val="00CB0793"/>
    <w:rsid w:val="00CB083C"/>
    <w:rsid w:val="00CB0896"/>
    <w:rsid w:val="00CB0921"/>
    <w:rsid w:val="00CB0965"/>
    <w:rsid w:val="00CB0C10"/>
    <w:rsid w:val="00CB0FD3"/>
    <w:rsid w:val="00CB0FF5"/>
    <w:rsid w:val="00CB10CA"/>
    <w:rsid w:val="00CB1193"/>
    <w:rsid w:val="00CB12EB"/>
    <w:rsid w:val="00CB1347"/>
    <w:rsid w:val="00CB1583"/>
    <w:rsid w:val="00CB15C7"/>
    <w:rsid w:val="00CB176C"/>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C0"/>
    <w:rsid w:val="00CB5722"/>
    <w:rsid w:val="00CB58B2"/>
    <w:rsid w:val="00CB596A"/>
    <w:rsid w:val="00CB5996"/>
    <w:rsid w:val="00CB5AE6"/>
    <w:rsid w:val="00CB5E5F"/>
    <w:rsid w:val="00CB5FD1"/>
    <w:rsid w:val="00CB6094"/>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925"/>
    <w:rsid w:val="00CC192A"/>
    <w:rsid w:val="00CC197E"/>
    <w:rsid w:val="00CC1B7C"/>
    <w:rsid w:val="00CC1D9D"/>
    <w:rsid w:val="00CC1DCD"/>
    <w:rsid w:val="00CC1F3C"/>
    <w:rsid w:val="00CC1F88"/>
    <w:rsid w:val="00CC2118"/>
    <w:rsid w:val="00CC21AE"/>
    <w:rsid w:val="00CC21C1"/>
    <w:rsid w:val="00CC262C"/>
    <w:rsid w:val="00CC28D0"/>
    <w:rsid w:val="00CC2DE6"/>
    <w:rsid w:val="00CC2ECB"/>
    <w:rsid w:val="00CC2F18"/>
    <w:rsid w:val="00CC2F73"/>
    <w:rsid w:val="00CC3096"/>
    <w:rsid w:val="00CC323F"/>
    <w:rsid w:val="00CC32EA"/>
    <w:rsid w:val="00CC3367"/>
    <w:rsid w:val="00CC33B1"/>
    <w:rsid w:val="00CC34BB"/>
    <w:rsid w:val="00CC359E"/>
    <w:rsid w:val="00CC3629"/>
    <w:rsid w:val="00CC376D"/>
    <w:rsid w:val="00CC38AE"/>
    <w:rsid w:val="00CC3ED3"/>
    <w:rsid w:val="00CC404E"/>
    <w:rsid w:val="00CC4306"/>
    <w:rsid w:val="00CC4337"/>
    <w:rsid w:val="00CC47B1"/>
    <w:rsid w:val="00CC4A43"/>
    <w:rsid w:val="00CC4A72"/>
    <w:rsid w:val="00CC4B6D"/>
    <w:rsid w:val="00CC4B85"/>
    <w:rsid w:val="00CC4BE1"/>
    <w:rsid w:val="00CC4E33"/>
    <w:rsid w:val="00CC4E96"/>
    <w:rsid w:val="00CC50B6"/>
    <w:rsid w:val="00CC514F"/>
    <w:rsid w:val="00CC531F"/>
    <w:rsid w:val="00CC54D7"/>
    <w:rsid w:val="00CC552B"/>
    <w:rsid w:val="00CC5618"/>
    <w:rsid w:val="00CC5714"/>
    <w:rsid w:val="00CC5921"/>
    <w:rsid w:val="00CC5C70"/>
    <w:rsid w:val="00CC5DDA"/>
    <w:rsid w:val="00CC5FAB"/>
    <w:rsid w:val="00CC6059"/>
    <w:rsid w:val="00CC605A"/>
    <w:rsid w:val="00CC625C"/>
    <w:rsid w:val="00CC6290"/>
    <w:rsid w:val="00CC6306"/>
    <w:rsid w:val="00CC7621"/>
    <w:rsid w:val="00CC770C"/>
    <w:rsid w:val="00CD0017"/>
    <w:rsid w:val="00CD02E3"/>
    <w:rsid w:val="00CD0732"/>
    <w:rsid w:val="00CD08D2"/>
    <w:rsid w:val="00CD0B34"/>
    <w:rsid w:val="00CD114C"/>
    <w:rsid w:val="00CD128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82A"/>
    <w:rsid w:val="00CD28CA"/>
    <w:rsid w:val="00CD2D72"/>
    <w:rsid w:val="00CD2F19"/>
    <w:rsid w:val="00CD3033"/>
    <w:rsid w:val="00CD30E7"/>
    <w:rsid w:val="00CD3343"/>
    <w:rsid w:val="00CD36CB"/>
    <w:rsid w:val="00CD37D0"/>
    <w:rsid w:val="00CD389A"/>
    <w:rsid w:val="00CD3ABF"/>
    <w:rsid w:val="00CD3B5B"/>
    <w:rsid w:val="00CD3C29"/>
    <w:rsid w:val="00CD3CA2"/>
    <w:rsid w:val="00CD3EEB"/>
    <w:rsid w:val="00CD4087"/>
    <w:rsid w:val="00CD4091"/>
    <w:rsid w:val="00CD4552"/>
    <w:rsid w:val="00CD456E"/>
    <w:rsid w:val="00CD4A15"/>
    <w:rsid w:val="00CD4CBF"/>
    <w:rsid w:val="00CD4DC1"/>
    <w:rsid w:val="00CD4F9C"/>
    <w:rsid w:val="00CD4FB9"/>
    <w:rsid w:val="00CD51D9"/>
    <w:rsid w:val="00CD5556"/>
    <w:rsid w:val="00CD5610"/>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D71"/>
    <w:rsid w:val="00CE0EDD"/>
    <w:rsid w:val="00CE0EE7"/>
    <w:rsid w:val="00CE100C"/>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CE8"/>
    <w:rsid w:val="00CE2E82"/>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5C"/>
    <w:rsid w:val="00CE7044"/>
    <w:rsid w:val="00CE7233"/>
    <w:rsid w:val="00CE730F"/>
    <w:rsid w:val="00CE73B6"/>
    <w:rsid w:val="00CE741A"/>
    <w:rsid w:val="00CE77BD"/>
    <w:rsid w:val="00CE798D"/>
    <w:rsid w:val="00CE7A40"/>
    <w:rsid w:val="00CE7D77"/>
    <w:rsid w:val="00CE7D8B"/>
    <w:rsid w:val="00CF05C1"/>
    <w:rsid w:val="00CF05CC"/>
    <w:rsid w:val="00CF0644"/>
    <w:rsid w:val="00CF0689"/>
    <w:rsid w:val="00CF06D2"/>
    <w:rsid w:val="00CF08D5"/>
    <w:rsid w:val="00CF09DD"/>
    <w:rsid w:val="00CF0F1F"/>
    <w:rsid w:val="00CF0FB8"/>
    <w:rsid w:val="00CF122D"/>
    <w:rsid w:val="00CF13AB"/>
    <w:rsid w:val="00CF153F"/>
    <w:rsid w:val="00CF1616"/>
    <w:rsid w:val="00CF1702"/>
    <w:rsid w:val="00CF173E"/>
    <w:rsid w:val="00CF1827"/>
    <w:rsid w:val="00CF1D28"/>
    <w:rsid w:val="00CF1DD6"/>
    <w:rsid w:val="00CF2044"/>
    <w:rsid w:val="00CF2090"/>
    <w:rsid w:val="00CF2151"/>
    <w:rsid w:val="00CF22CA"/>
    <w:rsid w:val="00CF2843"/>
    <w:rsid w:val="00CF28F3"/>
    <w:rsid w:val="00CF2A87"/>
    <w:rsid w:val="00CF2F37"/>
    <w:rsid w:val="00CF2FAD"/>
    <w:rsid w:val="00CF2FB4"/>
    <w:rsid w:val="00CF30C8"/>
    <w:rsid w:val="00CF323C"/>
    <w:rsid w:val="00CF3281"/>
    <w:rsid w:val="00CF32C1"/>
    <w:rsid w:val="00CF33F7"/>
    <w:rsid w:val="00CF346B"/>
    <w:rsid w:val="00CF354E"/>
    <w:rsid w:val="00CF3E88"/>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A3"/>
    <w:rsid w:val="00CF6C83"/>
    <w:rsid w:val="00CF6CA7"/>
    <w:rsid w:val="00CF70E6"/>
    <w:rsid w:val="00CF7442"/>
    <w:rsid w:val="00CF7488"/>
    <w:rsid w:val="00CF7692"/>
    <w:rsid w:val="00CF773C"/>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471"/>
    <w:rsid w:val="00D03572"/>
    <w:rsid w:val="00D0376D"/>
    <w:rsid w:val="00D03B02"/>
    <w:rsid w:val="00D045AE"/>
    <w:rsid w:val="00D048F0"/>
    <w:rsid w:val="00D04AD9"/>
    <w:rsid w:val="00D04BA1"/>
    <w:rsid w:val="00D04C29"/>
    <w:rsid w:val="00D04EB6"/>
    <w:rsid w:val="00D04F76"/>
    <w:rsid w:val="00D051E2"/>
    <w:rsid w:val="00D052E7"/>
    <w:rsid w:val="00D05322"/>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A72"/>
    <w:rsid w:val="00D10AF9"/>
    <w:rsid w:val="00D10C88"/>
    <w:rsid w:val="00D10EB3"/>
    <w:rsid w:val="00D11169"/>
    <w:rsid w:val="00D1121D"/>
    <w:rsid w:val="00D11259"/>
    <w:rsid w:val="00D113CF"/>
    <w:rsid w:val="00D11861"/>
    <w:rsid w:val="00D119A9"/>
    <w:rsid w:val="00D11C5D"/>
    <w:rsid w:val="00D11E2C"/>
    <w:rsid w:val="00D1217F"/>
    <w:rsid w:val="00D123A0"/>
    <w:rsid w:val="00D124E2"/>
    <w:rsid w:val="00D126B6"/>
    <w:rsid w:val="00D126D9"/>
    <w:rsid w:val="00D126FF"/>
    <w:rsid w:val="00D12938"/>
    <w:rsid w:val="00D12A84"/>
    <w:rsid w:val="00D12B45"/>
    <w:rsid w:val="00D12BE4"/>
    <w:rsid w:val="00D12C1C"/>
    <w:rsid w:val="00D12D3F"/>
    <w:rsid w:val="00D12F5F"/>
    <w:rsid w:val="00D131C1"/>
    <w:rsid w:val="00D1332E"/>
    <w:rsid w:val="00D133BD"/>
    <w:rsid w:val="00D134AD"/>
    <w:rsid w:val="00D13701"/>
    <w:rsid w:val="00D13734"/>
    <w:rsid w:val="00D13BB9"/>
    <w:rsid w:val="00D13C62"/>
    <w:rsid w:val="00D13D06"/>
    <w:rsid w:val="00D13D22"/>
    <w:rsid w:val="00D13EBD"/>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33"/>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C3E"/>
    <w:rsid w:val="00D25C4E"/>
    <w:rsid w:val="00D25F1F"/>
    <w:rsid w:val="00D26024"/>
    <w:rsid w:val="00D260C3"/>
    <w:rsid w:val="00D261E7"/>
    <w:rsid w:val="00D2640D"/>
    <w:rsid w:val="00D266F3"/>
    <w:rsid w:val="00D26889"/>
    <w:rsid w:val="00D269B6"/>
    <w:rsid w:val="00D26AFB"/>
    <w:rsid w:val="00D26B9A"/>
    <w:rsid w:val="00D26CBE"/>
    <w:rsid w:val="00D26F7D"/>
    <w:rsid w:val="00D26F87"/>
    <w:rsid w:val="00D270C3"/>
    <w:rsid w:val="00D2710C"/>
    <w:rsid w:val="00D276B5"/>
    <w:rsid w:val="00D27C3C"/>
    <w:rsid w:val="00D27ED7"/>
    <w:rsid w:val="00D27F16"/>
    <w:rsid w:val="00D30094"/>
    <w:rsid w:val="00D302E2"/>
    <w:rsid w:val="00D303D5"/>
    <w:rsid w:val="00D30771"/>
    <w:rsid w:val="00D30791"/>
    <w:rsid w:val="00D30A87"/>
    <w:rsid w:val="00D30EB9"/>
    <w:rsid w:val="00D30EBF"/>
    <w:rsid w:val="00D31295"/>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3050"/>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A1B"/>
    <w:rsid w:val="00D34B42"/>
    <w:rsid w:val="00D34B55"/>
    <w:rsid w:val="00D34BB0"/>
    <w:rsid w:val="00D34CC0"/>
    <w:rsid w:val="00D350A1"/>
    <w:rsid w:val="00D35271"/>
    <w:rsid w:val="00D3561C"/>
    <w:rsid w:val="00D35A6D"/>
    <w:rsid w:val="00D35AB9"/>
    <w:rsid w:val="00D35B4A"/>
    <w:rsid w:val="00D35C58"/>
    <w:rsid w:val="00D35E2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FE"/>
    <w:rsid w:val="00D37226"/>
    <w:rsid w:val="00D372C2"/>
    <w:rsid w:val="00D37526"/>
    <w:rsid w:val="00D3756F"/>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95B"/>
    <w:rsid w:val="00D42AF7"/>
    <w:rsid w:val="00D42E2B"/>
    <w:rsid w:val="00D42E9A"/>
    <w:rsid w:val="00D43137"/>
    <w:rsid w:val="00D431C7"/>
    <w:rsid w:val="00D4333A"/>
    <w:rsid w:val="00D434FB"/>
    <w:rsid w:val="00D43528"/>
    <w:rsid w:val="00D43567"/>
    <w:rsid w:val="00D435EF"/>
    <w:rsid w:val="00D438A2"/>
    <w:rsid w:val="00D43A32"/>
    <w:rsid w:val="00D43B06"/>
    <w:rsid w:val="00D43EBE"/>
    <w:rsid w:val="00D44090"/>
    <w:rsid w:val="00D4421A"/>
    <w:rsid w:val="00D44365"/>
    <w:rsid w:val="00D44380"/>
    <w:rsid w:val="00D44493"/>
    <w:rsid w:val="00D44508"/>
    <w:rsid w:val="00D4452D"/>
    <w:rsid w:val="00D4464D"/>
    <w:rsid w:val="00D44B3C"/>
    <w:rsid w:val="00D44C80"/>
    <w:rsid w:val="00D44EC8"/>
    <w:rsid w:val="00D4517F"/>
    <w:rsid w:val="00D45193"/>
    <w:rsid w:val="00D45352"/>
    <w:rsid w:val="00D45402"/>
    <w:rsid w:val="00D4542C"/>
    <w:rsid w:val="00D45557"/>
    <w:rsid w:val="00D4556A"/>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C01"/>
    <w:rsid w:val="00D52C87"/>
    <w:rsid w:val="00D52CBE"/>
    <w:rsid w:val="00D52D94"/>
    <w:rsid w:val="00D52D9C"/>
    <w:rsid w:val="00D53182"/>
    <w:rsid w:val="00D53421"/>
    <w:rsid w:val="00D539B1"/>
    <w:rsid w:val="00D53A24"/>
    <w:rsid w:val="00D53CEA"/>
    <w:rsid w:val="00D53D40"/>
    <w:rsid w:val="00D53E9C"/>
    <w:rsid w:val="00D540E9"/>
    <w:rsid w:val="00D5428F"/>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881"/>
    <w:rsid w:val="00D56884"/>
    <w:rsid w:val="00D56AEF"/>
    <w:rsid w:val="00D56B73"/>
    <w:rsid w:val="00D56C64"/>
    <w:rsid w:val="00D56CAA"/>
    <w:rsid w:val="00D56CAD"/>
    <w:rsid w:val="00D56F87"/>
    <w:rsid w:val="00D57057"/>
    <w:rsid w:val="00D570C5"/>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C14"/>
    <w:rsid w:val="00D61D75"/>
    <w:rsid w:val="00D61E7F"/>
    <w:rsid w:val="00D62025"/>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4A"/>
    <w:rsid w:val="00D65B68"/>
    <w:rsid w:val="00D65B86"/>
    <w:rsid w:val="00D66030"/>
    <w:rsid w:val="00D660DD"/>
    <w:rsid w:val="00D662A9"/>
    <w:rsid w:val="00D6645E"/>
    <w:rsid w:val="00D66881"/>
    <w:rsid w:val="00D668B8"/>
    <w:rsid w:val="00D66A68"/>
    <w:rsid w:val="00D66B53"/>
    <w:rsid w:val="00D66BA1"/>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9E"/>
    <w:rsid w:val="00D701F6"/>
    <w:rsid w:val="00D701FB"/>
    <w:rsid w:val="00D70489"/>
    <w:rsid w:val="00D705F0"/>
    <w:rsid w:val="00D70889"/>
    <w:rsid w:val="00D7091D"/>
    <w:rsid w:val="00D70953"/>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8C7"/>
    <w:rsid w:val="00D74A6F"/>
    <w:rsid w:val="00D74A84"/>
    <w:rsid w:val="00D74E8D"/>
    <w:rsid w:val="00D74EFD"/>
    <w:rsid w:val="00D750BA"/>
    <w:rsid w:val="00D753B6"/>
    <w:rsid w:val="00D75581"/>
    <w:rsid w:val="00D75638"/>
    <w:rsid w:val="00D75BBD"/>
    <w:rsid w:val="00D75E0F"/>
    <w:rsid w:val="00D75F52"/>
    <w:rsid w:val="00D75F6E"/>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2E"/>
    <w:rsid w:val="00D82031"/>
    <w:rsid w:val="00D820DF"/>
    <w:rsid w:val="00D823E3"/>
    <w:rsid w:val="00D82861"/>
    <w:rsid w:val="00D82D8C"/>
    <w:rsid w:val="00D82DD8"/>
    <w:rsid w:val="00D82DE7"/>
    <w:rsid w:val="00D82E68"/>
    <w:rsid w:val="00D8317E"/>
    <w:rsid w:val="00D83214"/>
    <w:rsid w:val="00D83627"/>
    <w:rsid w:val="00D83747"/>
    <w:rsid w:val="00D83A41"/>
    <w:rsid w:val="00D83E7C"/>
    <w:rsid w:val="00D83F5B"/>
    <w:rsid w:val="00D84759"/>
    <w:rsid w:val="00D84782"/>
    <w:rsid w:val="00D84D04"/>
    <w:rsid w:val="00D84F50"/>
    <w:rsid w:val="00D850E4"/>
    <w:rsid w:val="00D85129"/>
    <w:rsid w:val="00D85157"/>
    <w:rsid w:val="00D85397"/>
    <w:rsid w:val="00D8540F"/>
    <w:rsid w:val="00D85468"/>
    <w:rsid w:val="00D8575F"/>
    <w:rsid w:val="00D8578C"/>
    <w:rsid w:val="00D859C8"/>
    <w:rsid w:val="00D859D4"/>
    <w:rsid w:val="00D85D4B"/>
    <w:rsid w:val="00D86008"/>
    <w:rsid w:val="00D8610A"/>
    <w:rsid w:val="00D862E7"/>
    <w:rsid w:val="00D8635D"/>
    <w:rsid w:val="00D863ED"/>
    <w:rsid w:val="00D86817"/>
    <w:rsid w:val="00D8692D"/>
    <w:rsid w:val="00D86AD4"/>
    <w:rsid w:val="00D86B7A"/>
    <w:rsid w:val="00D86EDF"/>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CAF"/>
    <w:rsid w:val="00D92E2D"/>
    <w:rsid w:val="00D9301B"/>
    <w:rsid w:val="00D930FE"/>
    <w:rsid w:val="00D93220"/>
    <w:rsid w:val="00D93526"/>
    <w:rsid w:val="00D939A0"/>
    <w:rsid w:val="00D93A97"/>
    <w:rsid w:val="00D93B06"/>
    <w:rsid w:val="00D93B48"/>
    <w:rsid w:val="00D93B81"/>
    <w:rsid w:val="00D93C41"/>
    <w:rsid w:val="00D93C73"/>
    <w:rsid w:val="00D9411A"/>
    <w:rsid w:val="00D94128"/>
    <w:rsid w:val="00D94168"/>
    <w:rsid w:val="00D94194"/>
    <w:rsid w:val="00D941DB"/>
    <w:rsid w:val="00D94266"/>
    <w:rsid w:val="00D946BB"/>
    <w:rsid w:val="00D9497E"/>
    <w:rsid w:val="00D94A62"/>
    <w:rsid w:val="00D95668"/>
    <w:rsid w:val="00D9594B"/>
    <w:rsid w:val="00D959FF"/>
    <w:rsid w:val="00D95C94"/>
    <w:rsid w:val="00D961E6"/>
    <w:rsid w:val="00D9632D"/>
    <w:rsid w:val="00D96466"/>
    <w:rsid w:val="00D9647A"/>
    <w:rsid w:val="00D964B6"/>
    <w:rsid w:val="00D9654F"/>
    <w:rsid w:val="00D96780"/>
    <w:rsid w:val="00D96801"/>
    <w:rsid w:val="00D96957"/>
    <w:rsid w:val="00D969F3"/>
    <w:rsid w:val="00D96A1C"/>
    <w:rsid w:val="00D96B32"/>
    <w:rsid w:val="00D96DBD"/>
    <w:rsid w:val="00D96DBE"/>
    <w:rsid w:val="00D96F06"/>
    <w:rsid w:val="00D970F6"/>
    <w:rsid w:val="00D971DD"/>
    <w:rsid w:val="00D972FB"/>
    <w:rsid w:val="00D97304"/>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105B"/>
    <w:rsid w:val="00DA1063"/>
    <w:rsid w:val="00DA11E2"/>
    <w:rsid w:val="00DA13E0"/>
    <w:rsid w:val="00DA148B"/>
    <w:rsid w:val="00DA1600"/>
    <w:rsid w:val="00DA1672"/>
    <w:rsid w:val="00DA1934"/>
    <w:rsid w:val="00DA197C"/>
    <w:rsid w:val="00DA1A9A"/>
    <w:rsid w:val="00DA1B25"/>
    <w:rsid w:val="00DA1F2A"/>
    <w:rsid w:val="00DA20AE"/>
    <w:rsid w:val="00DA2186"/>
    <w:rsid w:val="00DA231A"/>
    <w:rsid w:val="00DA298C"/>
    <w:rsid w:val="00DA2AB5"/>
    <w:rsid w:val="00DA2C34"/>
    <w:rsid w:val="00DA2C8D"/>
    <w:rsid w:val="00DA2CF8"/>
    <w:rsid w:val="00DA2F7F"/>
    <w:rsid w:val="00DA3204"/>
    <w:rsid w:val="00DA3306"/>
    <w:rsid w:val="00DA3534"/>
    <w:rsid w:val="00DA3621"/>
    <w:rsid w:val="00DA3783"/>
    <w:rsid w:val="00DA3B57"/>
    <w:rsid w:val="00DA3D19"/>
    <w:rsid w:val="00DA3F64"/>
    <w:rsid w:val="00DA40F5"/>
    <w:rsid w:val="00DA413B"/>
    <w:rsid w:val="00DA4228"/>
    <w:rsid w:val="00DA4461"/>
    <w:rsid w:val="00DA448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48"/>
    <w:rsid w:val="00DA629C"/>
    <w:rsid w:val="00DA632B"/>
    <w:rsid w:val="00DA6496"/>
    <w:rsid w:val="00DA68B2"/>
    <w:rsid w:val="00DA6A45"/>
    <w:rsid w:val="00DA6B54"/>
    <w:rsid w:val="00DA6C72"/>
    <w:rsid w:val="00DA6C93"/>
    <w:rsid w:val="00DA6CB3"/>
    <w:rsid w:val="00DA6D09"/>
    <w:rsid w:val="00DA7118"/>
    <w:rsid w:val="00DA7145"/>
    <w:rsid w:val="00DA7390"/>
    <w:rsid w:val="00DA7670"/>
    <w:rsid w:val="00DA7730"/>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612"/>
    <w:rsid w:val="00DB182A"/>
    <w:rsid w:val="00DB190C"/>
    <w:rsid w:val="00DB1949"/>
    <w:rsid w:val="00DB195B"/>
    <w:rsid w:val="00DB1989"/>
    <w:rsid w:val="00DB1A13"/>
    <w:rsid w:val="00DB1DA6"/>
    <w:rsid w:val="00DB1F40"/>
    <w:rsid w:val="00DB2143"/>
    <w:rsid w:val="00DB22B5"/>
    <w:rsid w:val="00DB26E2"/>
    <w:rsid w:val="00DB2AB2"/>
    <w:rsid w:val="00DB2AF9"/>
    <w:rsid w:val="00DB2C5F"/>
    <w:rsid w:val="00DB2F38"/>
    <w:rsid w:val="00DB301C"/>
    <w:rsid w:val="00DB33FF"/>
    <w:rsid w:val="00DB3487"/>
    <w:rsid w:val="00DB34A2"/>
    <w:rsid w:val="00DB3763"/>
    <w:rsid w:val="00DB37DE"/>
    <w:rsid w:val="00DB37FD"/>
    <w:rsid w:val="00DB389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5003"/>
    <w:rsid w:val="00DB506C"/>
    <w:rsid w:val="00DB5100"/>
    <w:rsid w:val="00DB510E"/>
    <w:rsid w:val="00DB5172"/>
    <w:rsid w:val="00DB567B"/>
    <w:rsid w:val="00DB5AB9"/>
    <w:rsid w:val="00DB5BA1"/>
    <w:rsid w:val="00DB5C8B"/>
    <w:rsid w:val="00DB5DEC"/>
    <w:rsid w:val="00DB5EC9"/>
    <w:rsid w:val="00DB5EDC"/>
    <w:rsid w:val="00DB603F"/>
    <w:rsid w:val="00DB61AF"/>
    <w:rsid w:val="00DB62EE"/>
    <w:rsid w:val="00DB63DD"/>
    <w:rsid w:val="00DB64E5"/>
    <w:rsid w:val="00DB699A"/>
    <w:rsid w:val="00DB6B46"/>
    <w:rsid w:val="00DB6C91"/>
    <w:rsid w:val="00DB6DE4"/>
    <w:rsid w:val="00DB700B"/>
    <w:rsid w:val="00DB702B"/>
    <w:rsid w:val="00DB7425"/>
    <w:rsid w:val="00DB756E"/>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2C1"/>
    <w:rsid w:val="00DC157E"/>
    <w:rsid w:val="00DC1939"/>
    <w:rsid w:val="00DC196A"/>
    <w:rsid w:val="00DC21A2"/>
    <w:rsid w:val="00DC21D3"/>
    <w:rsid w:val="00DC24D9"/>
    <w:rsid w:val="00DC2540"/>
    <w:rsid w:val="00DC254A"/>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5FA1"/>
    <w:rsid w:val="00DC61B3"/>
    <w:rsid w:val="00DC62D6"/>
    <w:rsid w:val="00DC64AA"/>
    <w:rsid w:val="00DC683F"/>
    <w:rsid w:val="00DC68CC"/>
    <w:rsid w:val="00DC6A5F"/>
    <w:rsid w:val="00DC6B9C"/>
    <w:rsid w:val="00DC6E99"/>
    <w:rsid w:val="00DC700D"/>
    <w:rsid w:val="00DC70DC"/>
    <w:rsid w:val="00DC717F"/>
    <w:rsid w:val="00DC7191"/>
    <w:rsid w:val="00DC71D0"/>
    <w:rsid w:val="00DC72A2"/>
    <w:rsid w:val="00DC72A9"/>
    <w:rsid w:val="00DC752F"/>
    <w:rsid w:val="00DC75A8"/>
    <w:rsid w:val="00DC7A6C"/>
    <w:rsid w:val="00DC7B70"/>
    <w:rsid w:val="00DC7F8F"/>
    <w:rsid w:val="00DC7FAC"/>
    <w:rsid w:val="00DD0027"/>
    <w:rsid w:val="00DD007D"/>
    <w:rsid w:val="00DD044C"/>
    <w:rsid w:val="00DD0547"/>
    <w:rsid w:val="00DD05B8"/>
    <w:rsid w:val="00DD07F2"/>
    <w:rsid w:val="00DD092D"/>
    <w:rsid w:val="00DD0C60"/>
    <w:rsid w:val="00DD0EA6"/>
    <w:rsid w:val="00DD0F61"/>
    <w:rsid w:val="00DD1045"/>
    <w:rsid w:val="00DD1458"/>
    <w:rsid w:val="00DD168F"/>
    <w:rsid w:val="00DD172A"/>
    <w:rsid w:val="00DD197D"/>
    <w:rsid w:val="00DD1E15"/>
    <w:rsid w:val="00DD204B"/>
    <w:rsid w:val="00DD21EA"/>
    <w:rsid w:val="00DD221F"/>
    <w:rsid w:val="00DD229E"/>
    <w:rsid w:val="00DD22FF"/>
    <w:rsid w:val="00DD268D"/>
    <w:rsid w:val="00DD26F0"/>
    <w:rsid w:val="00DD2A9F"/>
    <w:rsid w:val="00DD2B74"/>
    <w:rsid w:val="00DD2C44"/>
    <w:rsid w:val="00DD2C5E"/>
    <w:rsid w:val="00DD2C83"/>
    <w:rsid w:val="00DD2EF6"/>
    <w:rsid w:val="00DD3073"/>
    <w:rsid w:val="00DD3208"/>
    <w:rsid w:val="00DD33D6"/>
    <w:rsid w:val="00DD3438"/>
    <w:rsid w:val="00DD3454"/>
    <w:rsid w:val="00DD37D3"/>
    <w:rsid w:val="00DD38A0"/>
    <w:rsid w:val="00DD38F6"/>
    <w:rsid w:val="00DD3CAD"/>
    <w:rsid w:val="00DD3D3C"/>
    <w:rsid w:val="00DD42EE"/>
    <w:rsid w:val="00DD4332"/>
    <w:rsid w:val="00DD4448"/>
    <w:rsid w:val="00DD4598"/>
    <w:rsid w:val="00DD4B28"/>
    <w:rsid w:val="00DD4B5B"/>
    <w:rsid w:val="00DD4CFE"/>
    <w:rsid w:val="00DD4E3C"/>
    <w:rsid w:val="00DD4E99"/>
    <w:rsid w:val="00DD4FE7"/>
    <w:rsid w:val="00DD50C3"/>
    <w:rsid w:val="00DD5155"/>
    <w:rsid w:val="00DD52EB"/>
    <w:rsid w:val="00DD548F"/>
    <w:rsid w:val="00DD54A6"/>
    <w:rsid w:val="00DD54B4"/>
    <w:rsid w:val="00DD54CE"/>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33"/>
    <w:rsid w:val="00DE058F"/>
    <w:rsid w:val="00DE0C47"/>
    <w:rsid w:val="00DE10F0"/>
    <w:rsid w:val="00DE11BF"/>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452"/>
    <w:rsid w:val="00DE34C9"/>
    <w:rsid w:val="00DE3583"/>
    <w:rsid w:val="00DE35D6"/>
    <w:rsid w:val="00DE3650"/>
    <w:rsid w:val="00DE386B"/>
    <w:rsid w:val="00DE39D0"/>
    <w:rsid w:val="00DE3B7E"/>
    <w:rsid w:val="00DE3BA0"/>
    <w:rsid w:val="00DE3C01"/>
    <w:rsid w:val="00DE3D75"/>
    <w:rsid w:val="00DE3EC7"/>
    <w:rsid w:val="00DE3F67"/>
    <w:rsid w:val="00DE4043"/>
    <w:rsid w:val="00DE42F4"/>
    <w:rsid w:val="00DE44FD"/>
    <w:rsid w:val="00DE459D"/>
    <w:rsid w:val="00DE4AEA"/>
    <w:rsid w:val="00DE4B91"/>
    <w:rsid w:val="00DE4C5B"/>
    <w:rsid w:val="00DE4C75"/>
    <w:rsid w:val="00DE4C8C"/>
    <w:rsid w:val="00DE4C8F"/>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214"/>
    <w:rsid w:val="00DE6314"/>
    <w:rsid w:val="00DE64DF"/>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D24"/>
    <w:rsid w:val="00DF1D6F"/>
    <w:rsid w:val="00DF1E1D"/>
    <w:rsid w:val="00DF1E59"/>
    <w:rsid w:val="00DF1F29"/>
    <w:rsid w:val="00DF1F81"/>
    <w:rsid w:val="00DF2005"/>
    <w:rsid w:val="00DF2070"/>
    <w:rsid w:val="00DF217C"/>
    <w:rsid w:val="00DF2184"/>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D3"/>
    <w:rsid w:val="00DF440C"/>
    <w:rsid w:val="00DF4490"/>
    <w:rsid w:val="00DF44D4"/>
    <w:rsid w:val="00DF47CE"/>
    <w:rsid w:val="00DF49C2"/>
    <w:rsid w:val="00DF4A78"/>
    <w:rsid w:val="00DF4B5B"/>
    <w:rsid w:val="00DF4D51"/>
    <w:rsid w:val="00DF4FB0"/>
    <w:rsid w:val="00DF51AC"/>
    <w:rsid w:val="00DF5385"/>
    <w:rsid w:val="00DF539C"/>
    <w:rsid w:val="00DF5438"/>
    <w:rsid w:val="00DF550D"/>
    <w:rsid w:val="00DF552B"/>
    <w:rsid w:val="00DF5628"/>
    <w:rsid w:val="00DF5724"/>
    <w:rsid w:val="00DF5923"/>
    <w:rsid w:val="00DF5ABF"/>
    <w:rsid w:val="00DF5BC8"/>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AF4"/>
    <w:rsid w:val="00DF7B09"/>
    <w:rsid w:val="00DF7D90"/>
    <w:rsid w:val="00E002E5"/>
    <w:rsid w:val="00E0058E"/>
    <w:rsid w:val="00E005B7"/>
    <w:rsid w:val="00E005D8"/>
    <w:rsid w:val="00E00632"/>
    <w:rsid w:val="00E006C5"/>
    <w:rsid w:val="00E007C0"/>
    <w:rsid w:val="00E00C0D"/>
    <w:rsid w:val="00E00DF6"/>
    <w:rsid w:val="00E00F19"/>
    <w:rsid w:val="00E0126F"/>
    <w:rsid w:val="00E014F2"/>
    <w:rsid w:val="00E01A27"/>
    <w:rsid w:val="00E01AEC"/>
    <w:rsid w:val="00E01C4B"/>
    <w:rsid w:val="00E023A7"/>
    <w:rsid w:val="00E023E0"/>
    <w:rsid w:val="00E0251D"/>
    <w:rsid w:val="00E0256D"/>
    <w:rsid w:val="00E0272E"/>
    <w:rsid w:val="00E02B8B"/>
    <w:rsid w:val="00E02DAA"/>
    <w:rsid w:val="00E02DE0"/>
    <w:rsid w:val="00E02E21"/>
    <w:rsid w:val="00E02F13"/>
    <w:rsid w:val="00E02F89"/>
    <w:rsid w:val="00E0310E"/>
    <w:rsid w:val="00E03411"/>
    <w:rsid w:val="00E036A0"/>
    <w:rsid w:val="00E037F7"/>
    <w:rsid w:val="00E03A98"/>
    <w:rsid w:val="00E03BF0"/>
    <w:rsid w:val="00E03CE0"/>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C40"/>
    <w:rsid w:val="00E13E80"/>
    <w:rsid w:val="00E13F8A"/>
    <w:rsid w:val="00E140E0"/>
    <w:rsid w:val="00E14332"/>
    <w:rsid w:val="00E14431"/>
    <w:rsid w:val="00E14939"/>
    <w:rsid w:val="00E14B14"/>
    <w:rsid w:val="00E1515D"/>
    <w:rsid w:val="00E151E7"/>
    <w:rsid w:val="00E15213"/>
    <w:rsid w:val="00E15224"/>
    <w:rsid w:val="00E1572E"/>
    <w:rsid w:val="00E15767"/>
    <w:rsid w:val="00E157B2"/>
    <w:rsid w:val="00E1599A"/>
    <w:rsid w:val="00E15A22"/>
    <w:rsid w:val="00E15C0C"/>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7D4"/>
    <w:rsid w:val="00E17861"/>
    <w:rsid w:val="00E17CB6"/>
    <w:rsid w:val="00E17CC9"/>
    <w:rsid w:val="00E17F81"/>
    <w:rsid w:val="00E17F89"/>
    <w:rsid w:val="00E200E2"/>
    <w:rsid w:val="00E20239"/>
    <w:rsid w:val="00E2027A"/>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39"/>
    <w:rsid w:val="00E25378"/>
    <w:rsid w:val="00E256D3"/>
    <w:rsid w:val="00E25948"/>
    <w:rsid w:val="00E25F15"/>
    <w:rsid w:val="00E2645F"/>
    <w:rsid w:val="00E2650D"/>
    <w:rsid w:val="00E266DF"/>
    <w:rsid w:val="00E268D7"/>
    <w:rsid w:val="00E26915"/>
    <w:rsid w:val="00E26C93"/>
    <w:rsid w:val="00E26F79"/>
    <w:rsid w:val="00E26F97"/>
    <w:rsid w:val="00E270C1"/>
    <w:rsid w:val="00E27293"/>
    <w:rsid w:val="00E2730B"/>
    <w:rsid w:val="00E2751A"/>
    <w:rsid w:val="00E27552"/>
    <w:rsid w:val="00E277DD"/>
    <w:rsid w:val="00E2786A"/>
    <w:rsid w:val="00E2799C"/>
    <w:rsid w:val="00E279C2"/>
    <w:rsid w:val="00E27CB2"/>
    <w:rsid w:val="00E27F23"/>
    <w:rsid w:val="00E30075"/>
    <w:rsid w:val="00E3011E"/>
    <w:rsid w:val="00E30153"/>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C2"/>
    <w:rsid w:val="00E320EC"/>
    <w:rsid w:val="00E323CA"/>
    <w:rsid w:val="00E32456"/>
    <w:rsid w:val="00E325B2"/>
    <w:rsid w:val="00E32812"/>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C2"/>
    <w:rsid w:val="00E37629"/>
    <w:rsid w:val="00E3771B"/>
    <w:rsid w:val="00E37798"/>
    <w:rsid w:val="00E37814"/>
    <w:rsid w:val="00E37CFE"/>
    <w:rsid w:val="00E37E1C"/>
    <w:rsid w:val="00E37E96"/>
    <w:rsid w:val="00E4036A"/>
    <w:rsid w:val="00E404C5"/>
    <w:rsid w:val="00E4050E"/>
    <w:rsid w:val="00E407EB"/>
    <w:rsid w:val="00E408A0"/>
    <w:rsid w:val="00E40BEE"/>
    <w:rsid w:val="00E40C0C"/>
    <w:rsid w:val="00E40CD8"/>
    <w:rsid w:val="00E40D9F"/>
    <w:rsid w:val="00E40EEE"/>
    <w:rsid w:val="00E40F2D"/>
    <w:rsid w:val="00E40F58"/>
    <w:rsid w:val="00E40FE2"/>
    <w:rsid w:val="00E40FEC"/>
    <w:rsid w:val="00E410B2"/>
    <w:rsid w:val="00E413B2"/>
    <w:rsid w:val="00E414F8"/>
    <w:rsid w:val="00E41637"/>
    <w:rsid w:val="00E417E4"/>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405C"/>
    <w:rsid w:val="00E440AD"/>
    <w:rsid w:val="00E4411C"/>
    <w:rsid w:val="00E44306"/>
    <w:rsid w:val="00E44350"/>
    <w:rsid w:val="00E443C6"/>
    <w:rsid w:val="00E444DE"/>
    <w:rsid w:val="00E4450B"/>
    <w:rsid w:val="00E44590"/>
    <w:rsid w:val="00E44B60"/>
    <w:rsid w:val="00E4513C"/>
    <w:rsid w:val="00E451F9"/>
    <w:rsid w:val="00E452F6"/>
    <w:rsid w:val="00E4550B"/>
    <w:rsid w:val="00E45614"/>
    <w:rsid w:val="00E456AC"/>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F4"/>
    <w:rsid w:val="00E47820"/>
    <w:rsid w:val="00E4794B"/>
    <w:rsid w:val="00E47995"/>
    <w:rsid w:val="00E47C84"/>
    <w:rsid w:val="00E47CB4"/>
    <w:rsid w:val="00E47CF2"/>
    <w:rsid w:val="00E47EDC"/>
    <w:rsid w:val="00E50040"/>
    <w:rsid w:val="00E50408"/>
    <w:rsid w:val="00E50445"/>
    <w:rsid w:val="00E507A9"/>
    <w:rsid w:val="00E50960"/>
    <w:rsid w:val="00E50A01"/>
    <w:rsid w:val="00E50BE3"/>
    <w:rsid w:val="00E50C77"/>
    <w:rsid w:val="00E51072"/>
    <w:rsid w:val="00E51192"/>
    <w:rsid w:val="00E51273"/>
    <w:rsid w:val="00E516E3"/>
    <w:rsid w:val="00E51751"/>
    <w:rsid w:val="00E5175F"/>
    <w:rsid w:val="00E517B9"/>
    <w:rsid w:val="00E518BC"/>
    <w:rsid w:val="00E51980"/>
    <w:rsid w:val="00E5199E"/>
    <w:rsid w:val="00E51A04"/>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19"/>
    <w:rsid w:val="00E53346"/>
    <w:rsid w:val="00E533F3"/>
    <w:rsid w:val="00E53462"/>
    <w:rsid w:val="00E534AD"/>
    <w:rsid w:val="00E536C9"/>
    <w:rsid w:val="00E53BAB"/>
    <w:rsid w:val="00E53BF5"/>
    <w:rsid w:val="00E53F5F"/>
    <w:rsid w:val="00E540BB"/>
    <w:rsid w:val="00E54477"/>
    <w:rsid w:val="00E5492A"/>
    <w:rsid w:val="00E54E38"/>
    <w:rsid w:val="00E54E59"/>
    <w:rsid w:val="00E54F9F"/>
    <w:rsid w:val="00E55029"/>
    <w:rsid w:val="00E5518A"/>
    <w:rsid w:val="00E552C4"/>
    <w:rsid w:val="00E554FA"/>
    <w:rsid w:val="00E555E2"/>
    <w:rsid w:val="00E557B3"/>
    <w:rsid w:val="00E55864"/>
    <w:rsid w:val="00E55865"/>
    <w:rsid w:val="00E55A60"/>
    <w:rsid w:val="00E55FBA"/>
    <w:rsid w:val="00E56077"/>
    <w:rsid w:val="00E5608C"/>
    <w:rsid w:val="00E560AE"/>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C73"/>
    <w:rsid w:val="00E57CDD"/>
    <w:rsid w:val="00E57CEA"/>
    <w:rsid w:val="00E57E52"/>
    <w:rsid w:val="00E57E8C"/>
    <w:rsid w:val="00E57FE2"/>
    <w:rsid w:val="00E6012E"/>
    <w:rsid w:val="00E60705"/>
    <w:rsid w:val="00E60814"/>
    <w:rsid w:val="00E609F9"/>
    <w:rsid w:val="00E609FE"/>
    <w:rsid w:val="00E60C00"/>
    <w:rsid w:val="00E60D5A"/>
    <w:rsid w:val="00E60D5D"/>
    <w:rsid w:val="00E60D65"/>
    <w:rsid w:val="00E60DA0"/>
    <w:rsid w:val="00E610D2"/>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42"/>
    <w:rsid w:val="00E65F8E"/>
    <w:rsid w:val="00E66193"/>
    <w:rsid w:val="00E6637F"/>
    <w:rsid w:val="00E66497"/>
    <w:rsid w:val="00E664B6"/>
    <w:rsid w:val="00E665C9"/>
    <w:rsid w:val="00E66A4B"/>
    <w:rsid w:val="00E66BD4"/>
    <w:rsid w:val="00E66E42"/>
    <w:rsid w:val="00E66E57"/>
    <w:rsid w:val="00E66E7C"/>
    <w:rsid w:val="00E66EA8"/>
    <w:rsid w:val="00E67298"/>
    <w:rsid w:val="00E673A3"/>
    <w:rsid w:val="00E6749E"/>
    <w:rsid w:val="00E676B4"/>
    <w:rsid w:val="00E6781A"/>
    <w:rsid w:val="00E67A33"/>
    <w:rsid w:val="00E67E38"/>
    <w:rsid w:val="00E7000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489"/>
    <w:rsid w:val="00E8150A"/>
    <w:rsid w:val="00E81705"/>
    <w:rsid w:val="00E8172E"/>
    <w:rsid w:val="00E8175C"/>
    <w:rsid w:val="00E817A1"/>
    <w:rsid w:val="00E8185E"/>
    <w:rsid w:val="00E8193B"/>
    <w:rsid w:val="00E81948"/>
    <w:rsid w:val="00E81BC3"/>
    <w:rsid w:val="00E81BEC"/>
    <w:rsid w:val="00E81C9E"/>
    <w:rsid w:val="00E81D47"/>
    <w:rsid w:val="00E81E37"/>
    <w:rsid w:val="00E820F2"/>
    <w:rsid w:val="00E82236"/>
    <w:rsid w:val="00E82400"/>
    <w:rsid w:val="00E8242F"/>
    <w:rsid w:val="00E8256B"/>
    <w:rsid w:val="00E828EC"/>
    <w:rsid w:val="00E82E23"/>
    <w:rsid w:val="00E82F66"/>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48F"/>
    <w:rsid w:val="00E8668F"/>
    <w:rsid w:val="00E869DC"/>
    <w:rsid w:val="00E86A09"/>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D30"/>
    <w:rsid w:val="00E87E38"/>
    <w:rsid w:val="00E87E6E"/>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B88"/>
    <w:rsid w:val="00E96BE3"/>
    <w:rsid w:val="00E96D1B"/>
    <w:rsid w:val="00E96FF0"/>
    <w:rsid w:val="00E9706E"/>
    <w:rsid w:val="00E9712F"/>
    <w:rsid w:val="00E971B5"/>
    <w:rsid w:val="00E97285"/>
    <w:rsid w:val="00E973F5"/>
    <w:rsid w:val="00E97552"/>
    <w:rsid w:val="00E97BC1"/>
    <w:rsid w:val="00E97E24"/>
    <w:rsid w:val="00EA019F"/>
    <w:rsid w:val="00EA01DE"/>
    <w:rsid w:val="00EA022A"/>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594"/>
    <w:rsid w:val="00EA35A9"/>
    <w:rsid w:val="00EA36E3"/>
    <w:rsid w:val="00EA37D0"/>
    <w:rsid w:val="00EA3832"/>
    <w:rsid w:val="00EA3884"/>
    <w:rsid w:val="00EA397E"/>
    <w:rsid w:val="00EA39B9"/>
    <w:rsid w:val="00EA3A85"/>
    <w:rsid w:val="00EA3B9E"/>
    <w:rsid w:val="00EA3C6A"/>
    <w:rsid w:val="00EA3DB8"/>
    <w:rsid w:val="00EA3EA8"/>
    <w:rsid w:val="00EA3F77"/>
    <w:rsid w:val="00EA4050"/>
    <w:rsid w:val="00EA4208"/>
    <w:rsid w:val="00EA4417"/>
    <w:rsid w:val="00EA44C7"/>
    <w:rsid w:val="00EA4654"/>
    <w:rsid w:val="00EA4787"/>
    <w:rsid w:val="00EA478A"/>
    <w:rsid w:val="00EA482A"/>
    <w:rsid w:val="00EA48E3"/>
    <w:rsid w:val="00EA494B"/>
    <w:rsid w:val="00EA4BF9"/>
    <w:rsid w:val="00EA4E2F"/>
    <w:rsid w:val="00EA50BD"/>
    <w:rsid w:val="00EA5635"/>
    <w:rsid w:val="00EA56F7"/>
    <w:rsid w:val="00EA578F"/>
    <w:rsid w:val="00EA5841"/>
    <w:rsid w:val="00EA5BF3"/>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B024F"/>
    <w:rsid w:val="00EB028D"/>
    <w:rsid w:val="00EB02A6"/>
    <w:rsid w:val="00EB0414"/>
    <w:rsid w:val="00EB05B7"/>
    <w:rsid w:val="00EB0A68"/>
    <w:rsid w:val="00EB0C45"/>
    <w:rsid w:val="00EB11D9"/>
    <w:rsid w:val="00EB12EE"/>
    <w:rsid w:val="00EB17C7"/>
    <w:rsid w:val="00EB1A8E"/>
    <w:rsid w:val="00EB1C0C"/>
    <w:rsid w:val="00EB1C43"/>
    <w:rsid w:val="00EB216A"/>
    <w:rsid w:val="00EB2213"/>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40E1"/>
    <w:rsid w:val="00EB413C"/>
    <w:rsid w:val="00EB4238"/>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85D"/>
    <w:rsid w:val="00EB58AD"/>
    <w:rsid w:val="00EB5998"/>
    <w:rsid w:val="00EB5A97"/>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C1"/>
    <w:rsid w:val="00EB7333"/>
    <w:rsid w:val="00EB7546"/>
    <w:rsid w:val="00EB7666"/>
    <w:rsid w:val="00EB77AF"/>
    <w:rsid w:val="00EB7A6A"/>
    <w:rsid w:val="00EB7DCB"/>
    <w:rsid w:val="00EB7DDC"/>
    <w:rsid w:val="00EC013B"/>
    <w:rsid w:val="00EC0276"/>
    <w:rsid w:val="00EC02EF"/>
    <w:rsid w:val="00EC0AA5"/>
    <w:rsid w:val="00EC0AB0"/>
    <w:rsid w:val="00EC0C2B"/>
    <w:rsid w:val="00EC0DA6"/>
    <w:rsid w:val="00EC0E05"/>
    <w:rsid w:val="00EC0EBB"/>
    <w:rsid w:val="00EC0F57"/>
    <w:rsid w:val="00EC0FD1"/>
    <w:rsid w:val="00EC107F"/>
    <w:rsid w:val="00EC141A"/>
    <w:rsid w:val="00EC14FD"/>
    <w:rsid w:val="00EC1BB3"/>
    <w:rsid w:val="00EC1C73"/>
    <w:rsid w:val="00EC1F58"/>
    <w:rsid w:val="00EC1FC9"/>
    <w:rsid w:val="00EC24A7"/>
    <w:rsid w:val="00EC2608"/>
    <w:rsid w:val="00EC2850"/>
    <w:rsid w:val="00EC2979"/>
    <w:rsid w:val="00EC2AA7"/>
    <w:rsid w:val="00EC2DA8"/>
    <w:rsid w:val="00EC2F83"/>
    <w:rsid w:val="00EC334E"/>
    <w:rsid w:val="00EC36D1"/>
    <w:rsid w:val="00EC3A6F"/>
    <w:rsid w:val="00EC3B14"/>
    <w:rsid w:val="00EC3BDD"/>
    <w:rsid w:val="00EC3C56"/>
    <w:rsid w:val="00EC3D37"/>
    <w:rsid w:val="00EC3E76"/>
    <w:rsid w:val="00EC417B"/>
    <w:rsid w:val="00EC418D"/>
    <w:rsid w:val="00EC41CF"/>
    <w:rsid w:val="00EC449B"/>
    <w:rsid w:val="00EC44B7"/>
    <w:rsid w:val="00EC4621"/>
    <w:rsid w:val="00EC4984"/>
    <w:rsid w:val="00EC4AE8"/>
    <w:rsid w:val="00EC4E91"/>
    <w:rsid w:val="00EC4EB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FA1"/>
    <w:rsid w:val="00ED1FDA"/>
    <w:rsid w:val="00ED20E8"/>
    <w:rsid w:val="00ED215B"/>
    <w:rsid w:val="00ED21DC"/>
    <w:rsid w:val="00ED25A5"/>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77F"/>
    <w:rsid w:val="00EE18C2"/>
    <w:rsid w:val="00EE1C6E"/>
    <w:rsid w:val="00EE1E7F"/>
    <w:rsid w:val="00EE2135"/>
    <w:rsid w:val="00EE28D3"/>
    <w:rsid w:val="00EE2B84"/>
    <w:rsid w:val="00EE2D3C"/>
    <w:rsid w:val="00EE2DAF"/>
    <w:rsid w:val="00EE33CA"/>
    <w:rsid w:val="00EE3611"/>
    <w:rsid w:val="00EE3617"/>
    <w:rsid w:val="00EE3684"/>
    <w:rsid w:val="00EE38AB"/>
    <w:rsid w:val="00EE393D"/>
    <w:rsid w:val="00EE3C5A"/>
    <w:rsid w:val="00EE3C88"/>
    <w:rsid w:val="00EE3D0A"/>
    <w:rsid w:val="00EE3DCA"/>
    <w:rsid w:val="00EE3E9B"/>
    <w:rsid w:val="00EE3FBE"/>
    <w:rsid w:val="00EE400A"/>
    <w:rsid w:val="00EE44BD"/>
    <w:rsid w:val="00EE461B"/>
    <w:rsid w:val="00EE46E3"/>
    <w:rsid w:val="00EE4762"/>
    <w:rsid w:val="00EE4858"/>
    <w:rsid w:val="00EE48F7"/>
    <w:rsid w:val="00EE48FD"/>
    <w:rsid w:val="00EE49A5"/>
    <w:rsid w:val="00EE4A00"/>
    <w:rsid w:val="00EE4AD8"/>
    <w:rsid w:val="00EE4BAA"/>
    <w:rsid w:val="00EE4BDA"/>
    <w:rsid w:val="00EE4F93"/>
    <w:rsid w:val="00EE5219"/>
    <w:rsid w:val="00EE5408"/>
    <w:rsid w:val="00EE578A"/>
    <w:rsid w:val="00EE57A7"/>
    <w:rsid w:val="00EE5918"/>
    <w:rsid w:val="00EE5935"/>
    <w:rsid w:val="00EE5A5D"/>
    <w:rsid w:val="00EE5AF1"/>
    <w:rsid w:val="00EE5CFB"/>
    <w:rsid w:val="00EE5FB2"/>
    <w:rsid w:val="00EE6348"/>
    <w:rsid w:val="00EE64B5"/>
    <w:rsid w:val="00EE64FB"/>
    <w:rsid w:val="00EE65CF"/>
    <w:rsid w:val="00EE688E"/>
    <w:rsid w:val="00EE69A5"/>
    <w:rsid w:val="00EE6BDC"/>
    <w:rsid w:val="00EE6C99"/>
    <w:rsid w:val="00EE6D6A"/>
    <w:rsid w:val="00EE6ECF"/>
    <w:rsid w:val="00EE6F2A"/>
    <w:rsid w:val="00EE6F8B"/>
    <w:rsid w:val="00EE70C9"/>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CB5"/>
    <w:rsid w:val="00EF1F38"/>
    <w:rsid w:val="00EF1F80"/>
    <w:rsid w:val="00EF2115"/>
    <w:rsid w:val="00EF277C"/>
    <w:rsid w:val="00EF2C14"/>
    <w:rsid w:val="00EF2C2F"/>
    <w:rsid w:val="00EF2C96"/>
    <w:rsid w:val="00EF2D0E"/>
    <w:rsid w:val="00EF2E0B"/>
    <w:rsid w:val="00EF304A"/>
    <w:rsid w:val="00EF30FD"/>
    <w:rsid w:val="00EF32C2"/>
    <w:rsid w:val="00EF3318"/>
    <w:rsid w:val="00EF34C0"/>
    <w:rsid w:val="00EF399A"/>
    <w:rsid w:val="00EF39F4"/>
    <w:rsid w:val="00EF39F6"/>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83E"/>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696"/>
    <w:rsid w:val="00F038EB"/>
    <w:rsid w:val="00F03DC0"/>
    <w:rsid w:val="00F03E0E"/>
    <w:rsid w:val="00F03F90"/>
    <w:rsid w:val="00F03FE5"/>
    <w:rsid w:val="00F040A1"/>
    <w:rsid w:val="00F04851"/>
    <w:rsid w:val="00F049C6"/>
    <w:rsid w:val="00F04DB0"/>
    <w:rsid w:val="00F04F52"/>
    <w:rsid w:val="00F04F93"/>
    <w:rsid w:val="00F04FAC"/>
    <w:rsid w:val="00F04FD3"/>
    <w:rsid w:val="00F05004"/>
    <w:rsid w:val="00F05083"/>
    <w:rsid w:val="00F051F4"/>
    <w:rsid w:val="00F05307"/>
    <w:rsid w:val="00F05543"/>
    <w:rsid w:val="00F0575E"/>
    <w:rsid w:val="00F0599D"/>
    <w:rsid w:val="00F059A4"/>
    <w:rsid w:val="00F05A17"/>
    <w:rsid w:val="00F05A4B"/>
    <w:rsid w:val="00F05AC8"/>
    <w:rsid w:val="00F05C46"/>
    <w:rsid w:val="00F05F01"/>
    <w:rsid w:val="00F05F95"/>
    <w:rsid w:val="00F0604C"/>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60F"/>
    <w:rsid w:val="00F237F1"/>
    <w:rsid w:val="00F23A24"/>
    <w:rsid w:val="00F23C5B"/>
    <w:rsid w:val="00F23F30"/>
    <w:rsid w:val="00F2403E"/>
    <w:rsid w:val="00F244D1"/>
    <w:rsid w:val="00F24871"/>
    <w:rsid w:val="00F24A75"/>
    <w:rsid w:val="00F24A9F"/>
    <w:rsid w:val="00F24BE9"/>
    <w:rsid w:val="00F24D7E"/>
    <w:rsid w:val="00F24DF0"/>
    <w:rsid w:val="00F24F92"/>
    <w:rsid w:val="00F25141"/>
    <w:rsid w:val="00F25192"/>
    <w:rsid w:val="00F252FC"/>
    <w:rsid w:val="00F258C1"/>
    <w:rsid w:val="00F25906"/>
    <w:rsid w:val="00F259C4"/>
    <w:rsid w:val="00F25F2F"/>
    <w:rsid w:val="00F25F58"/>
    <w:rsid w:val="00F25FCB"/>
    <w:rsid w:val="00F2600F"/>
    <w:rsid w:val="00F26090"/>
    <w:rsid w:val="00F26329"/>
    <w:rsid w:val="00F267F9"/>
    <w:rsid w:val="00F268D1"/>
    <w:rsid w:val="00F26C0F"/>
    <w:rsid w:val="00F27238"/>
    <w:rsid w:val="00F2727A"/>
    <w:rsid w:val="00F272F6"/>
    <w:rsid w:val="00F2735F"/>
    <w:rsid w:val="00F2744A"/>
    <w:rsid w:val="00F2744D"/>
    <w:rsid w:val="00F27679"/>
    <w:rsid w:val="00F279D0"/>
    <w:rsid w:val="00F27A68"/>
    <w:rsid w:val="00F27B27"/>
    <w:rsid w:val="00F27C0E"/>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D9E"/>
    <w:rsid w:val="00F33E6B"/>
    <w:rsid w:val="00F34084"/>
    <w:rsid w:val="00F3408F"/>
    <w:rsid w:val="00F342CA"/>
    <w:rsid w:val="00F3446C"/>
    <w:rsid w:val="00F345C7"/>
    <w:rsid w:val="00F34791"/>
    <w:rsid w:val="00F347C4"/>
    <w:rsid w:val="00F348FD"/>
    <w:rsid w:val="00F34AAC"/>
    <w:rsid w:val="00F34BEA"/>
    <w:rsid w:val="00F34F87"/>
    <w:rsid w:val="00F35145"/>
    <w:rsid w:val="00F351DD"/>
    <w:rsid w:val="00F352A0"/>
    <w:rsid w:val="00F35300"/>
    <w:rsid w:val="00F35315"/>
    <w:rsid w:val="00F353AD"/>
    <w:rsid w:val="00F35696"/>
    <w:rsid w:val="00F356DB"/>
    <w:rsid w:val="00F35738"/>
    <w:rsid w:val="00F3573C"/>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C7"/>
    <w:rsid w:val="00F374E1"/>
    <w:rsid w:val="00F3759F"/>
    <w:rsid w:val="00F37787"/>
    <w:rsid w:val="00F37807"/>
    <w:rsid w:val="00F37970"/>
    <w:rsid w:val="00F37CBB"/>
    <w:rsid w:val="00F37DC6"/>
    <w:rsid w:val="00F37EE2"/>
    <w:rsid w:val="00F4003B"/>
    <w:rsid w:val="00F4003E"/>
    <w:rsid w:val="00F40137"/>
    <w:rsid w:val="00F402B5"/>
    <w:rsid w:val="00F40350"/>
    <w:rsid w:val="00F40492"/>
    <w:rsid w:val="00F40550"/>
    <w:rsid w:val="00F40986"/>
    <w:rsid w:val="00F40B80"/>
    <w:rsid w:val="00F40BC3"/>
    <w:rsid w:val="00F40BF1"/>
    <w:rsid w:val="00F40DB2"/>
    <w:rsid w:val="00F41062"/>
    <w:rsid w:val="00F41398"/>
    <w:rsid w:val="00F4146D"/>
    <w:rsid w:val="00F4149B"/>
    <w:rsid w:val="00F414D0"/>
    <w:rsid w:val="00F4169C"/>
    <w:rsid w:val="00F41827"/>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977"/>
    <w:rsid w:val="00F42B97"/>
    <w:rsid w:val="00F42D20"/>
    <w:rsid w:val="00F42DDB"/>
    <w:rsid w:val="00F430D2"/>
    <w:rsid w:val="00F43117"/>
    <w:rsid w:val="00F432A9"/>
    <w:rsid w:val="00F4364C"/>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4CB"/>
    <w:rsid w:val="00F454DB"/>
    <w:rsid w:val="00F458FC"/>
    <w:rsid w:val="00F4590E"/>
    <w:rsid w:val="00F45E05"/>
    <w:rsid w:val="00F45EC5"/>
    <w:rsid w:val="00F45EFD"/>
    <w:rsid w:val="00F45FEA"/>
    <w:rsid w:val="00F4621D"/>
    <w:rsid w:val="00F46B6B"/>
    <w:rsid w:val="00F46DCD"/>
    <w:rsid w:val="00F46F02"/>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628"/>
    <w:rsid w:val="00F5167E"/>
    <w:rsid w:val="00F517E0"/>
    <w:rsid w:val="00F519A0"/>
    <w:rsid w:val="00F519AD"/>
    <w:rsid w:val="00F51C94"/>
    <w:rsid w:val="00F51D2F"/>
    <w:rsid w:val="00F5206A"/>
    <w:rsid w:val="00F5209D"/>
    <w:rsid w:val="00F5210C"/>
    <w:rsid w:val="00F5215A"/>
    <w:rsid w:val="00F52182"/>
    <w:rsid w:val="00F522DF"/>
    <w:rsid w:val="00F52426"/>
    <w:rsid w:val="00F524A5"/>
    <w:rsid w:val="00F52522"/>
    <w:rsid w:val="00F52560"/>
    <w:rsid w:val="00F5263E"/>
    <w:rsid w:val="00F52926"/>
    <w:rsid w:val="00F52A3A"/>
    <w:rsid w:val="00F52BAF"/>
    <w:rsid w:val="00F52DE8"/>
    <w:rsid w:val="00F52DFE"/>
    <w:rsid w:val="00F53286"/>
    <w:rsid w:val="00F532CC"/>
    <w:rsid w:val="00F532F0"/>
    <w:rsid w:val="00F53527"/>
    <w:rsid w:val="00F53707"/>
    <w:rsid w:val="00F539D0"/>
    <w:rsid w:val="00F53A47"/>
    <w:rsid w:val="00F53A53"/>
    <w:rsid w:val="00F53B40"/>
    <w:rsid w:val="00F53C18"/>
    <w:rsid w:val="00F53CE6"/>
    <w:rsid w:val="00F53F31"/>
    <w:rsid w:val="00F54087"/>
    <w:rsid w:val="00F541F4"/>
    <w:rsid w:val="00F541F7"/>
    <w:rsid w:val="00F542C3"/>
    <w:rsid w:val="00F54333"/>
    <w:rsid w:val="00F54367"/>
    <w:rsid w:val="00F545BA"/>
    <w:rsid w:val="00F5494D"/>
    <w:rsid w:val="00F5499C"/>
    <w:rsid w:val="00F549D4"/>
    <w:rsid w:val="00F54D1B"/>
    <w:rsid w:val="00F54DD5"/>
    <w:rsid w:val="00F54E8A"/>
    <w:rsid w:val="00F54FF8"/>
    <w:rsid w:val="00F55404"/>
    <w:rsid w:val="00F55494"/>
    <w:rsid w:val="00F5595A"/>
    <w:rsid w:val="00F55A8C"/>
    <w:rsid w:val="00F55CE6"/>
    <w:rsid w:val="00F55D4E"/>
    <w:rsid w:val="00F55DFB"/>
    <w:rsid w:val="00F55EDE"/>
    <w:rsid w:val="00F56031"/>
    <w:rsid w:val="00F561D4"/>
    <w:rsid w:val="00F5672E"/>
    <w:rsid w:val="00F56899"/>
    <w:rsid w:val="00F56D4A"/>
    <w:rsid w:val="00F5729B"/>
    <w:rsid w:val="00F573E6"/>
    <w:rsid w:val="00F573E7"/>
    <w:rsid w:val="00F574BC"/>
    <w:rsid w:val="00F574E6"/>
    <w:rsid w:val="00F57622"/>
    <w:rsid w:val="00F57668"/>
    <w:rsid w:val="00F57868"/>
    <w:rsid w:val="00F579DA"/>
    <w:rsid w:val="00F57C5B"/>
    <w:rsid w:val="00F57DBC"/>
    <w:rsid w:val="00F57F32"/>
    <w:rsid w:val="00F60209"/>
    <w:rsid w:val="00F602D4"/>
    <w:rsid w:val="00F609C8"/>
    <w:rsid w:val="00F60CDE"/>
    <w:rsid w:val="00F60DC6"/>
    <w:rsid w:val="00F60E01"/>
    <w:rsid w:val="00F611BE"/>
    <w:rsid w:val="00F6122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4B9"/>
    <w:rsid w:val="00F6250B"/>
    <w:rsid w:val="00F627E6"/>
    <w:rsid w:val="00F62B7C"/>
    <w:rsid w:val="00F62C8F"/>
    <w:rsid w:val="00F62E2A"/>
    <w:rsid w:val="00F62E9D"/>
    <w:rsid w:val="00F62F0D"/>
    <w:rsid w:val="00F63070"/>
    <w:rsid w:val="00F63095"/>
    <w:rsid w:val="00F631DF"/>
    <w:rsid w:val="00F63201"/>
    <w:rsid w:val="00F63298"/>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41A"/>
    <w:rsid w:val="00F656BA"/>
    <w:rsid w:val="00F6571A"/>
    <w:rsid w:val="00F66076"/>
    <w:rsid w:val="00F66266"/>
    <w:rsid w:val="00F6632D"/>
    <w:rsid w:val="00F6678A"/>
    <w:rsid w:val="00F668F8"/>
    <w:rsid w:val="00F669BE"/>
    <w:rsid w:val="00F669E7"/>
    <w:rsid w:val="00F66A4B"/>
    <w:rsid w:val="00F66D0F"/>
    <w:rsid w:val="00F6722F"/>
    <w:rsid w:val="00F67874"/>
    <w:rsid w:val="00F678C6"/>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1EA"/>
    <w:rsid w:val="00F763B5"/>
    <w:rsid w:val="00F763D4"/>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432"/>
    <w:rsid w:val="00F80440"/>
    <w:rsid w:val="00F80474"/>
    <w:rsid w:val="00F806D6"/>
    <w:rsid w:val="00F80744"/>
    <w:rsid w:val="00F80834"/>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F7B"/>
    <w:rsid w:val="00F81FC5"/>
    <w:rsid w:val="00F820FB"/>
    <w:rsid w:val="00F821A1"/>
    <w:rsid w:val="00F822CD"/>
    <w:rsid w:val="00F82415"/>
    <w:rsid w:val="00F824CC"/>
    <w:rsid w:val="00F82870"/>
    <w:rsid w:val="00F82894"/>
    <w:rsid w:val="00F82A12"/>
    <w:rsid w:val="00F82B92"/>
    <w:rsid w:val="00F82D5D"/>
    <w:rsid w:val="00F830C8"/>
    <w:rsid w:val="00F831DC"/>
    <w:rsid w:val="00F8327B"/>
    <w:rsid w:val="00F832CE"/>
    <w:rsid w:val="00F832E2"/>
    <w:rsid w:val="00F8366A"/>
    <w:rsid w:val="00F83746"/>
    <w:rsid w:val="00F8374A"/>
    <w:rsid w:val="00F83777"/>
    <w:rsid w:val="00F838A0"/>
    <w:rsid w:val="00F839B0"/>
    <w:rsid w:val="00F83A98"/>
    <w:rsid w:val="00F83C2F"/>
    <w:rsid w:val="00F83D6F"/>
    <w:rsid w:val="00F83E06"/>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C5"/>
    <w:rsid w:val="00F87CE2"/>
    <w:rsid w:val="00F87E6B"/>
    <w:rsid w:val="00F87EA2"/>
    <w:rsid w:val="00F87F70"/>
    <w:rsid w:val="00F90012"/>
    <w:rsid w:val="00F900ED"/>
    <w:rsid w:val="00F900F5"/>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65C"/>
    <w:rsid w:val="00F9280B"/>
    <w:rsid w:val="00F92B4D"/>
    <w:rsid w:val="00F9313F"/>
    <w:rsid w:val="00F935E8"/>
    <w:rsid w:val="00F93638"/>
    <w:rsid w:val="00F938A7"/>
    <w:rsid w:val="00F93A20"/>
    <w:rsid w:val="00F93AFC"/>
    <w:rsid w:val="00F93BD8"/>
    <w:rsid w:val="00F93C2B"/>
    <w:rsid w:val="00F93C3F"/>
    <w:rsid w:val="00F93D52"/>
    <w:rsid w:val="00F93D68"/>
    <w:rsid w:val="00F93DBD"/>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88"/>
    <w:rsid w:val="00F96780"/>
    <w:rsid w:val="00F9691A"/>
    <w:rsid w:val="00F9693C"/>
    <w:rsid w:val="00F96D1B"/>
    <w:rsid w:val="00F96D4F"/>
    <w:rsid w:val="00F96DEE"/>
    <w:rsid w:val="00F96E3D"/>
    <w:rsid w:val="00F96F7B"/>
    <w:rsid w:val="00F972F8"/>
    <w:rsid w:val="00F976E7"/>
    <w:rsid w:val="00F978CA"/>
    <w:rsid w:val="00F97AA2"/>
    <w:rsid w:val="00F97DAE"/>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69E"/>
    <w:rsid w:val="00FA2733"/>
    <w:rsid w:val="00FA2878"/>
    <w:rsid w:val="00FA296B"/>
    <w:rsid w:val="00FA2A7E"/>
    <w:rsid w:val="00FA2B39"/>
    <w:rsid w:val="00FA2BAF"/>
    <w:rsid w:val="00FA2CC2"/>
    <w:rsid w:val="00FA2ED2"/>
    <w:rsid w:val="00FA2EDD"/>
    <w:rsid w:val="00FA3066"/>
    <w:rsid w:val="00FA3124"/>
    <w:rsid w:val="00FA333B"/>
    <w:rsid w:val="00FA3447"/>
    <w:rsid w:val="00FA3449"/>
    <w:rsid w:val="00FA34BF"/>
    <w:rsid w:val="00FA3564"/>
    <w:rsid w:val="00FA358B"/>
    <w:rsid w:val="00FA35C2"/>
    <w:rsid w:val="00FA35C4"/>
    <w:rsid w:val="00FA368E"/>
    <w:rsid w:val="00FA37AD"/>
    <w:rsid w:val="00FA37FF"/>
    <w:rsid w:val="00FA393E"/>
    <w:rsid w:val="00FA39E2"/>
    <w:rsid w:val="00FA3BA7"/>
    <w:rsid w:val="00FA3D9E"/>
    <w:rsid w:val="00FA44E7"/>
    <w:rsid w:val="00FA450C"/>
    <w:rsid w:val="00FA4526"/>
    <w:rsid w:val="00FA4535"/>
    <w:rsid w:val="00FA4747"/>
    <w:rsid w:val="00FA479A"/>
    <w:rsid w:val="00FA4B22"/>
    <w:rsid w:val="00FA4B25"/>
    <w:rsid w:val="00FA4C3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075"/>
    <w:rsid w:val="00FA7193"/>
    <w:rsid w:val="00FA720E"/>
    <w:rsid w:val="00FA7343"/>
    <w:rsid w:val="00FA7415"/>
    <w:rsid w:val="00FA7478"/>
    <w:rsid w:val="00FA76BE"/>
    <w:rsid w:val="00FA780D"/>
    <w:rsid w:val="00FA7A77"/>
    <w:rsid w:val="00FB0309"/>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6B4"/>
    <w:rsid w:val="00FB3768"/>
    <w:rsid w:val="00FB399D"/>
    <w:rsid w:val="00FB3A4D"/>
    <w:rsid w:val="00FB3A7D"/>
    <w:rsid w:val="00FB3AD8"/>
    <w:rsid w:val="00FB3FBC"/>
    <w:rsid w:val="00FB3FDC"/>
    <w:rsid w:val="00FB400B"/>
    <w:rsid w:val="00FB40DB"/>
    <w:rsid w:val="00FB4106"/>
    <w:rsid w:val="00FB425E"/>
    <w:rsid w:val="00FB47A7"/>
    <w:rsid w:val="00FB484B"/>
    <w:rsid w:val="00FB4B6A"/>
    <w:rsid w:val="00FB4DDD"/>
    <w:rsid w:val="00FB4E79"/>
    <w:rsid w:val="00FB50AB"/>
    <w:rsid w:val="00FB5177"/>
    <w:rsid w:val="00FB54B9"/>
    <w:rsid w:val="00FB5773"/>
    <w:rsid w:val="00FB5824"/>
    <w:rsid w:val="00FB5900"/>
    <w:rsid w:val="00FB5911"/>
    <w:rsid w:val="00FB5BBB"/>
    <w:rsid w:val="00FB5C0D"/>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E82"/>
    <w:rsid w:val="00FC0EB5"/>
    <w:rsid w:val="00FC0F34"/>
    <w:rsid w:val="00FC0FA6"/>
    <w:rsid w:val="00FC11A0"/>
    <w:rsid w:val="00FC13BF"/>
    <w:rsid w:val="00FC1905"/>
    <w:rsid w:val="00FC1A2E"/>
    <w:rsid w:val="00FC1A7F"/>
    <w:rsid w:val="00FC1EE3"/>
    <w:rsid w:val="00FC1F64"/>
    <w:rsid w:val="00FC2301"/>
    <w:rsid w:val="00FC23DE"/>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6C2"/>
    <w:rsid w:val="00FC5C91"/>
    <w:rsid w:val="00FC5FC5"/>
    <w:rsid w:val="00FC623D"/>
    <w:rsid w:val="00FC63A7"/>
    <w:rsid w:val="00FC6459"/>
    <w:rsid w:val="00FC651A"/>
    <w:rsid w:val="00FC6CDD"/>
    <w:rsid w:val="00FC71F2"/>
    <w:rsid w:val="00FC7532"/>
    <w:rsid w:val="00FC75EA"/>
    <w:rsid w:val="00FC77A7"/>
    <w:rsid w:val="00FC79DF"/>
    <w:rsid w:val="00FC7B07"/>
    <w:rsid w:val="00FC7FC7"/>
    <w:rsid w:val="00FD04A5"/>
    <w:rsid w:val="00FD051E"/>
    <w:rsid w:val="00FD085E"/>
    <w:rsid w:val="00FD09A4"/>
    <w:rsid w:val="00FD0C8A"/>
    <w:rsid w:val="00FD0D80"/>
    <w:rsid w:val="00FD0F07"/>
    <w:rsid w:val="00FD14B5"/>
    <w:rsid w:val="00FD1505"/>
    <w:rsid w:val="00FD1699"/>
    <w:rsid w:val="00FD1770"/>
    <w:rsid w:val="00FD1802"/>
    <w:rsid w:val="00FD1B82"/>
    <w:rsid w:val="00FD1BDA"/>
    <w:rsid w:val="00FD1CD1"/>
    <w:rsid w:val="00FD1CF3"/>
    <w:rsid w:val="00FD1DAC"/>
    <w:rsid w:val="00FD1E54"/>
    <w:rsid w:val="00FD1F1E"/>
    <w:rsid w:val="00FD2235"/>
    <w:rsid w:val="00FD2638"/>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AFA"/>
    <w:rsid w:val="00FD5DEA"/>
    <w:rsid w:val="00FD5EA6"/>
    <w:rsid w:val="00FD5EEF"/>
    <w:rsid w:val="00FD5F93"/>
    <w:rsid w:val="00FD6055"/>
    <w:rsid w:val="00FD60F9"/>
    <w:rsid w:val="00FD615F"/>
    <w:rsid w:val="00FD6309"/>
    <w:rsid w:val="00FD661E"/>
    <w:rsid w:val="00FD6669"/>
    <w:rsid w:val="00FD6882"/>
    <w:rsid w:val="00FD6AD2"/>
    <w:rsid w:val="00FD6B43"/>
    <w:rsid w:val="00FD6B8C"/>
    <w:rsid w:val="00FD6D40"/>
    <w:rsid w:val="00FD6E1A"/>
    <w:rsid w:val="00FD6E90"/>
    <w:rsid w:val="00FD7085"/>
    <w:rsid w:val="00FD715E"/>
    <w:rsid w:val="00FD725C"/>
    <w:rsid w:val="00FD76BA"/>
    <w:rsid w:val="00FD7722"/>
    <w:rsid w:val="00FD79F5"/>
    <w:rsid w:val="00FD7C19"/>
    <w:rsid w:val="00FD7DFE"/>
    <w:rsid w:val="00FD7E62"/>
    <w:rsid w:val="00FD7E9A"/>
    <w:rsid w:val="00FE002A"/>
    <w:rsid w:val="00FE00D5"/>
    <w:rsid w:val="00FE00F7"/>
    <w:rsid w:val="00FE0197"/>
    <w:rsid w:val="00FE025C"/>
    <w:rsid w:val="00FE02F0"/>
    <w:rsid w:val="00FE05E3"/>
    <w:rsid w:val="00FE0683"/>
    <w:rsid w:val="00FE0823"/>
    <w:rsid w:val="00FE0CB6"/>
    <w:rsid w:val="00FE0DE6"/>
    <w:rsid w:val="00FE1333"/>
    <w:rsid w:val="00FE18C6"/>
    <w:rsid w:val="00FE198A"/>
    <w:rsid w:val="00FE19B9"/>
    <w:rsid w:val="00FE19D0"/>
    <w:rsid w:val="00FE1A19"/>
    <w:rsid w:val="00FE1B1A"/>
    <w:rsid w:val="00FE1BDC"/>
    <w:rsid w:val="00FE1CC1"/>
    <w:rsid w:val="00FE2039"/>
    <w:rsid w:val="00FE220F"/>
    <w:rsid w:val="00FE289E"/>
    <w:rsid w:val="00FE297B"/>
    <w:rsid w:val="00FE2ACE"/>
    <w:rsid w:val="00FE2B96"/>
    <w:rsid w:val="00FE2D5D"/>
    <w:rsid w:val="00FE2E81"/>
    <w:rsid w:val="00FE2EF4"/>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659"/>
    <w:rsid w:val="00FE482C"/>
    <w:rsid w:val="00FE4981"/>
    <w:rsid w:val="00FE49AD"/>
    <w:rsid w:val="00FE4A41"/>
    <w:rsid w:val="00FE4A47"/>
    <w:rsid w:val="00FE4D55"/>
    <w:rsid w:val="00FE4DAF"/>
    <w:rsid w:val="00FE4FBC"/>
    <w:rsid w:val="00FE5399"/>
    <w:rsid w:val="00FE581F"/>
    <w:rsid w:val="00FE58FA"/>
    <w:rsid w:val="00FE5933"/>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FB1"/>
    <w:rsid w:val="00FF13EB"/>
    <w:rsid w:val="00FF157D"/>
    <w:rsid w:val="00FF1661"/>
    <w:rsid w:val="00FF17E0"/>
    <w:rsid w:val="00FF1C20"/>
    <w:rsid w:val="00FF1D82"/>
    <w:rsid w:val="00FF1E1F"/>
    <w:rsid w:val="00FF1F10"/>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64DF"/>
    <w:rsid w:val="00FF65E5"/>
    <w:rsid w:val="00FF66FB"/>
    <w:rsid w:val="00FF6783"/>
    <w:rsid w:val="00FF6A09"/>
    <w:rsid w:val="00FF6BD1"/>
    <w:rsid w:val="00FF6C6F"/>
    <w:rsid w:val="00FF6F0B"/>
    <w:rsid w:val="00FF6F14"/>
    <w:rsid w:val="00FF6F7E"/>
    <w:rsid w:val="00FF707C"/>
    <w:rsid w:val="00FF756B"/>
    <w:rsid w:val="00FF7760"/>
    <w:rsid w:val="00FF780F"/>
    <w:rsid w:val="00FF7913"/>
    <w:rsid w:val="00FF7A31"/>
    <w:rsid w:val="00FF7B0E"/>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D3C6BD5-5B4A-1045-BB19-7B0DD617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FD5E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5363">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84637">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58026">
      <w:bodyDiv w:val="1"/>
      <w:marLeft w:val="0"/>
      <w:marRight w:val="0"/>
      <w:marTop w:val="0"/>
      <w:marBottom w:val="0"/>
      <w:divBdr>
        <w:top w:val="none" w:sz="0" w:space="0" w:color="auto"/>
        <w:left w:val="none" w:sz="0" w:space="0" w:color="auto"/>
        <w:bottom w:val="none" w:sz="0" w:space="0" w:color="auto"/>
        <w:right w:val="none" w:sz="0" w:space="0" w:color="auto"/>
      </w:divBdr>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589312">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952-895-1055" TargetMode="External"/><Relationship Id="rId13" Type="http://schemas.openxmlformats.org/officeDocument/2006/relationships/hyperlink" Target="https://s3-us-west-2.amazonaws.com/peakcontent/+Peak+Commentary/04-09-18_Barrons-The_Brewing_US-China_Trade_War_Explained_in_Charts-Footnote_2.pdf" TargetMode="External"/><Relationship Id="rId18" Type="http://schemas.openxmlformats.org/officeDocument/2006/relationships/hyperlink" Target="https://www.barrons.com/articles/tariff-fears-and-a-jobs-report-send-stocks-lower-1523066354" TargetMode="External"/><Relationship Id="rId3" Type="http://schemas.openxmlformats.org/officeDocument/2006/relationships/styles" Target="styles.xml"/><Relationship Id="rId21" Type="http://schemas.openxmlformats.org/officeDocument/2006/relationships/hyperlink" Target="https://bigfuture.collegeboard.org/college-search" TargetMode="External"/><Relationship Id="rId7" Type="http://schemas.openxmlformats.org/officeDocument/2006/relationships/endnotes" Target="endnotes.xml"/><Relationship Id="rId12" Type="http://schemas.openxmlformats.org/officeDocument/2006/relationships/hyperlink" Target="https://www.barrons.com/articles/the-brewing-u-s-china-trade-war-explained-in-charts-1523052689" TargetMode="External"/><Relationship Id="rId17" Type="http://schemas.openxmlformats.org/officeDocument/2006/relationships/hyperlink" Target="https://www.nytimes.com/2018/04/07/us/politics/trump-trade-china-politics-heartland.html" TargetMode="External"/><Relationship Id="rId2" Type="http://schemas.openxmlformats.org/officeDocument/2006/relationships/numbering" Target="numbering.xml"/><Relationship Id="rId16" Type="http://schemas.openxmlformats.org/officeDocument/2006/relationships/hyperlink" Target="https://www.forbes.com/sites/stevebanker/2018/03/02/trumps-tariffs-trade-wars-and-the-supply-chain/" TargetMode="External"/><Relationship Id="rId20" Type="http://schemas.openxmlformats.org/officeDocument/2006/relationships/hyperlink" Target="http://faculty.chicagobooth.edu/devin.pope/research/pdf/Website_Sports%20Econ%20Atten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world/2018/apr/05/china-us-win-concessions-tariff-war-trade-donald-trump-xi-jinp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3-us-west-2.amazonaws.com/peakcontent/+Peak+Commentary/04-09-18_FinancialTimes-Brewing_US-China_Trade_War_Spooks_Asset_Managers-Footnote_3.pdf" TargetMode="External"/><Relationship Id="rId23" Type="http://schemas.openxmlformats.org/officeDocument/2006/relationships/fontTable" Target="fontTable.xml"/><Relationship Id="rId10" Type="http://schemas.openxmlformats.org/officeDocument/2006/relationships/hyperlink" Target="http://www.midwestmoneymanagement.com" TargetMode="External"/><Relationship Id="rId19" Type="http://schemas.openxmlformats.org/officeDocument/2006/relationships/hyperlink" Target="https://s3-us-west-2.amazonaws.com/peakcontent/+Peak+Commentary/04-09-18_Barrons-Tariff_Fears_and_a_Jobs_Report_Send_Stocks_Lower-Footnote_6.pdf" TargetMode="External"/><Relationship Id="rId4" Type="http://schemas.openxmlformats.org/officeDocument/2006/relationships/settings" Target="settings.xml"/><Relationship Id="rId9" Type="http://schemas.openxmlformats.org/officeDocument/2006/relationships/hyperlink" Target="mailto:Adam@MidwestMoneyManagement.com" TargetMode="External"/><Relationship Id="rId14" Type="http://schemas.openxmlformats.org/officeDocument/2006/relationships/hyperlink" Target="https://www.ft.com/content/df22be26-37fc-11e8-8eee-e06bde01c544" TargetMode="External"/><Relationship Id="rId22" Type="http://schemas.openxmlformats.org/officeDocument/2006/relationships/hyperlink" Target="http://bleacherreport.com/articles/57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EB0E3-2539-4FB8-985B-7DEC6B6D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Weekly Commentary 04-09-18</vt:lpstr>
    </vt:vector>
  </TitlesOfParts>
  <Manager/>
  <Company/>
  <LinksUpToDate>false</LinksUpToDate>
  <CharactersWithSpaces>11915</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04-09-18</dc:title>
  <dc:subject/>
  <dc:creator>Carson Group Coaching</dc:creator>
  <cp:keywords/>
  <dc:description/>
  <cp:lastModifiedBy>Patty Stroth</cp:lastModifiedBy>
  <cp:revision>2</cp:revision>
  <cp:lastPrinted>2018-04-08T18:53:00Z</cp:lastPrinted>
  <dcterms:created xsi:type="dcterms:W3CDTF">2018-04-16T23:07:00Z</dcterms:created>
  <dcterms:modified xsi:type="dcterms:W3CDTF">2018-04-16T23:07:00Z</dcterms:modified>
  <cp:category/>
</cp:coreProperties>
</file>