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7BB1" w14:textId="77777777" w:rsidR="00C228A6" w:rsidRPr="00C228A6" w:rsidRDefault="00C228A6" w:rsidP="00C228A6">
      <w:pPr>
        <w:shd w:val="clear" w:color="auto" w:fill="FFFFFF"/>
        <w:spacing w:before="240" w:after="240" w:line="240" w:lineRule="auto"/>
        <w:outlineLvl w:val="0"/>
        <w:rPr>
          <w:rFonts w:ascii="Arial Narrow" w:eastAsia="Times New Roman" w:hAnsi="Arial Narrow" w:cs="Arial"/>
          <w:b/>
          <w:bCs/>
          <w:color w:val="000000"/>
          <w:kern w:val="36"/>
          <w:sz w:val="48"/>
          <w:szCs w:val="48"/>
        </w:rPr>
      </w:pPr>
      <w:r w:rsidRPr="00C228A6">
        <w:rPr>
          <w:rFonts w:ascii="Arial Narrow" w:eastAsia="Times New Roman" w:hAnsi="Arial Narrow" w:cs="Arial"/>
          <w:b/>
          <w:bCs/>
          <w:color w:val="000000"/>
          <w:kern w:val="36"/>
          <w:sz w:val="48"/>
          <w:szCs w:val="48"/>
        </w:rPr>
        <w:t>Smart’ COLA: How It Impacts Retirement Income</w:t>
      </w:r>
    </w:p>
    <w:p w14:paraId="3D6AE661" w14:textId="77777777" w:rsidR="00C228A6" w:rsidRPr="00C228A6" w:rsidRDefault="00C228A6" w:rsidP="00C228A6">
      <w:pPr>
        <w:shd w:val="clear" w:color="auto" w:fill="FFFFFF"/>
        <w:spacing w:line="240" w:lineRule="auto"/>
        <w:rPr>
          <w:rFonts w:ascii="Arial" w:eastAsia="Times New Roman" w:hAnsi="Arial" w:cs="Arial"/>
          <w:color w:val="009E49"/>
          <w:sz w:val="24"/>
          <w:szCs w:val="24"/>
        </w:rPr>
      </w:pPr>
      <w:r w:rsidRPr="00C228A6">
        <w:rPr>
          <w:rFonts w:ascii="Arial" w:eastAsia="Times New Roman" w:hAnsi="Arial" w:cs="Arial"/>
          <w:color w:val="999999"/>
          <w:sz w:val="24"/>
          <w:szCs w:val="24"/>
        </w:rPr>
        <w:t>Jul 1, 2021</w:t>
      </w:r>
      <w:r w:rsidRPr="00C228A6">
        <w:rPr>
          <w:rFonts w:ascii="Arial" w:eastAsia="Times New Roman" w:hAnsi="Arial" w:cs="Arial"/>
          <w:color w:val="009E49"/>
          <w:sz w:val="24"/>
          <w:szCs w:val="24"/>
        </w:rPr>
        <w:t> / </w:t>
      </w:r>
      <w:r w:rsidRPr="00C228A6">
        <w:rPr>
          <w:rFonts w:ascii="Arial" w:eastAsia="Times New Roman" w:hAnsi="Arial" w:cs="Arial"/>
          <w:b/>
          <w:bCs/>
          <w:color w:val="666666"/>
          <w:sz w:val="24"/>
          <w:szCs w:val="24"/>
        </w:rPr>
        <w:t xml:space="preserve">By Craig L. </w:t>
      </w:r>
      <w:proofErr w:type="spellStart"/>
      <w:r w:rsidRPr="00C228A6">
        <w:rPr>
          <w:rFonts w:ascii="Arial" w:eastAsia="Times New Roman" w:hAnsi="Arial" w:cs="Arial"/>
          <w:b/>
          <w:bCs/>
          <w:color w:val="666666"/>
          <w:sz w:val="24"/>
          <w:szCs w:val="24"/>
        </w:rPr>
        <w:t>Israelsen</w:t>
      </w:r>
      <w:proofErr w:type="spellEnd"/>
      <w:r w:rsidRPr="00C228A6">
        <w:rPr>
          <w:rFonts w:ascii="Arial" w:eastAsia="Times New Roman" w:hAnsi="Arial" w:cs="Arial"/>
          <w:b/>
          <w:bCs/>
          <w:color w:val="666666"/>
          <w:sz w:val="24"/>
          <w:szCs w:val="24"/>
        </w:rPr>
        <w:t>, PhD</w:t>
      </w:r>
    </w:p>
    <w:p w14:paraId="434BFF9E" w14:textId="77777777" w:rsidR="00C228A6" w:rsidRPr="00C228A6" w:rsidRDefault="00C228A6" w:rsidP="00C228A6">
      <w:pPr>
        <w:spacing w:after="0" w:line="240" w:lineRule="auto"/>
        <w:rPr>
          <w:rFonts w:ascii="Times New Roman" w:eastAsia="Times New Roman" w:hAnsi="Times New Roman" w:cs="Times New Roman"/>
          <w:sz w:val="24"/>
          <w:szCs w:val="24"/>
        </w:rPr>
      </w:pPr>
      <w:r w:rsidRPr="00C228A6">
        <w:rPr>
          <w:rFonts w:ascii="Arial" w:eastAsia="Times New Roman" w:hAnsi="Arial" w:cs="Arial"/>
          <w:b/>
          <w:bCs/>
          <w:color w:val="000000"/>
          <w:sz w:val="24"/>
          <w:szCs w:val="24"/>
          <w:shd w:val="clear" w:color="auto" w:fill="FFFFFF"/>
        </w:rPr>
        <w:t xml:space="preserve">Smart COLA is a cost-of-living-adjustment that </w:t>
      </w:r>
      <w:proofErr w:type="gramStart"/>
      <w:r w:rsidRPr="00C228A6">
        <w:rPr>
          <w:rFonts w:ascii="Arial" w:eastAsia="Times New Roman" w:hAnsi="Arial" w:cs="Arial"/>
          <w:b/>
          <w:bCs/>
          <w:color w:val="000000"/>
          <w:sz w:val="24"/>
          <w:szCs w:val="24"/>
          <w:shd w:val="clear" w:color="auto" w:fill="FFFFFF"/>
        </w:rPr>
        <w:t>takes into account</w:t>
      </w:r>
      <w:proofErr w:type="gramEnd"/>
      <w:r w:rsidRPr="00C228A6">
        <w:rPr>
          <w:rFonts w:ascii="Arial" w:eastAsia="Times New Roman" w:hAnsi="Arial" w:cs="Arial"/>
          <w:b/>
          <w:bCs/>
          <w:color w:val="000000"/>
          <w:sz w:val="24"/>
          <w:szCs w:val="24"/>
          <w:shd w:val="clear" w:color="auto" w:fill="FFFFFF"/>
        </w:rPr>
        <w:t xml:space="preserve"> the performance of the portfolio each year, rather than a COLA that always remains the same. Here we compare how the same portfolio fares under both withdrawal calculations.</w:t>
      </w:r>
    </w:p>
    <w:p w14:paraId="559A38FF" w14:textId="45EE4EE7" w:rsidR="00C228A6" w:rsidRPr="00C228A6" w:rsidRDefault="00C228A6" w:rsidP="00C228A6">
      <w:pPr>
        <w:shd w:val="clear" w:color="auto" w:fill="FFFFFF"/>
        <w:spacing w:line="240" w:lineRule="auto"/>
        <w:rPr>
          <w:rFonts w:ascii="Georgia" w:eastAsia="Times New Roman" w:hAnsi="Georgia" w:cs="Times New Roman"/>
          <w:color w:val="000000"/>
          <w:sz w:val="24"/>
          <w:szCs w:val="24"/>
        </w:rPr>
      </w:pPr>
      <w:r w:rsidRPr="00C228A6">
        <w:rPr>
          <w:rFonts w:ascii="Georgia" w:eastAsia="Times New Roman" w:hAnsi="Georgia" w:cs="Times New Roman"/>
          <w:noProof/>
          <w:color w:val="000000"/>
          <w:sz w:val="24"/>
          <w:szCs w:val="24"/>
        </w:rPr>
        <w:drawing>
          <wp:inline distT="0" distB="0" distL="0" distR="0" wp14:anchorId="75E5B18E" wp14:editId="7FB460B0">
            <wp:extent cx="3981450" cy="39814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14:paraId="18897E5C"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 xml:space="preserve">In retirement, a “smart” cost-of-living-adjustment, or COLA, </w:t>
      </w:r>
      <w:proofErr w:type="gramStart"/>
      <w:r w:rsidRPr="00C228A6">
        <w:rPr>
          <w:rFonts w:ascii="Georgia" w:eastAsia="Times New Roman" w:hAnsi="Georgia" w:cs="Times New Roman"/>
          <w:color w:val="000000"/>
          <w:sz w:val="24"/>
          <w:szCs w:val="24"/>
        </w:rPr>
        <w:t>takes into account</w:t>
      </w:r>
      <w:proofErr w:type="gramEnd"/>
      <w:r w:rsidRPr="00C228A6">
        <w:rPr>
          <w:rFonts w:ascii="Georgia" w:eastAsia="Times New Roman" w:hAnsi="Georgia" w:cs="Times New Roman"/>
          <w:color w:val="000000"/>
          <w:sz w:val="24"/>
          <w:szCs w:val="24"/>
        </w:rPr>
        <w:t xml:space="preserve"> the performance of the portfolio each year. The contrast would be a COLA that remains the same </w:t>
      </w:r>
      <w:proofErr w:type="gramStart"/>
      <w:r w:rsidRPr="00C228A6">
        <w:rPr>
          <w:rFonts w:ascii="Georgia" w:eastAsia="Times New Roman" w:hAnsi="Georgia" w:cs="Times New Roman"/>
          <w:color w:val="000000"/>
          <w:sz w:val="24"/>
          <w:szCs w:val="24"/>
        </w:rPr>
        <w:t>each and every</w:t>
      </w:r>
      <w:proofErr w:type="gramEnd"/>
      <w:r w:rsidRPr="00C228A6">
        <w:rPr>
          <w:rFonts w:ascii="Georgia" w:eastAsia="Times New Roman" w:hAnsi="Georgia" w:cs="Times New Roman"/>
          <w:color w:val="000000"/>
          <w:sz w:val="24"/>
          <w:szCs w:val="24"/>
        </w:rPr>
        <w:t xml:space="preserve"> year regardless of portfolio performance.</w:t>
      </w:r>
    </w:p>
    <w:p w14:paraId="6DC13C3A"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This article analyzes a retirement portfolio that was subjected to a consistent 3% COLA increase in the annual withdrawal every year versus a retirement portfolio with a “smart” COLA that varied the COLA percent based on the portfolio’s performance each year.</w:t>
      </w:r>
    </w:p>
    <w:p w14:paraId="29306EBD"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 xml:space="preserve">The smart COLA guidelines were as follows: If the portfolio’s annual return was negative, the end-of-year withdrawal did not increase beyond what was withdrawn the prior year—hence a 0% COLA. If the portfolio’s return was 0%–10%, the COLA applied to the end-of-year withdrawal was 3% (that is, the amount withdrawn was 3% larger </w:t>
      </w:r>
      <w:r w:rsidRPr="00C228A6">
        <w:rPr>
          <w:rFonts w:ascii="Georgia" w:eastAsia="Times New Roman" w:hAnsi="Georgia" w:cs="Times New Roman"/>
          <w:color w:val="000000"/>
          <w:sz w:val="24"/>
          <w:szCs w:val="24"/>
        </w:rPr>
        <w:lastRenderedPageBreak/>
        <w:t>than the prior year’s withdrawal). If the portfolio return was higher than 10%, the COLA applied to the end-of-year withdrawal was 6%.</w:t>
      </w:r>
    </w:p>
    <w:p w14:paraId="42151144"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The starting balance of the retirement portfolio in this analysis was assumed to be $1,000,000. The asset allocation was 35% large-cap U.S. stock, 25% small-cap U.S. stock, 25% U.S. bonds, and 15% cash with annual rebalancing. The first-year withdrawal was set at $40,000 (representing 4% of the starting balance).</w:t>
      </w:r>
    </w:p>
    <w:p w14:paraId="3D4437EB"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 xml:space="preserve">The </w:t>
      </w:r>
      <w:proofErr w:type="gramStart"/>
      <w:r w:rsidRPr="00C228A6">
        <w:rPr>
          <w:rFonts w:ascii="Georgia" w:eastAsia="Times New Roman" w:hAnsi="Georgia" w:cs="Times New Roman"/>
          <w:color w:val="000000"/>
          <w:sz w:val="24"/>
          <w:szCs w:val="24"/>
        </w:rPr>
        <w:t>time period</w:t>
      </w:r>
      <w:proofErr w:type="gramEnd"/>
      <w:r w:rsidRPr="00C228A6">
        <w:rPr>
          <w:rFonts w:ascii="Georgia" w:eastAsia="Times New Roman" w:hAnsi="Georgia" w:cs="Times New Roman"/>
          <w:color w:val="000000"/>
          <w:sz w:val="24"/>
          <w:szCs w:val="24"/>
        </w:rPr>
        <w:t xml:space="preserve"> of analysis included 71 rolling periods of 25 years each from 1926–2020. In other words, this analysis studied 71 different retirees who annually withdrew money from their retirement portfolio over a period of 25 years. The first retiree withdrew money at the end of each year from 1926–1950. The next retiree withdrew money annually from 1927–1951, and so on. This “rolling period” analysis captures the sequence-of-returns risk faced by retirees.</w:t>
      </w:r>
    </w:p>
    <w:p w14:paraId="7D220085"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The average annual withdrawal for the 71 different retirees was $60,038 if we assume a constant 3% COLA was applied during each rolling 25-year period. Under this assumption, the first-year withdrawal was $41,200 (or $40,000 x 1.03) for each of the 71 retirees. The second-year withdrawal was $42,436 (as calculated by $41,200 x 1.03). The withdrawal in the 25</w:t>
      </w:r>
      <w:r w:rsidRPr="00C228A6">
        <w:rPr>
          <w:rFonts w:ascii="inherit" w:eastAsia="Times New Roman" w:hAnsi="inherit" w:cs="Times New Roman"/>
          <w:color w:val="000000"/>
          <w:sz w:val="16"/>
          <w:szCs w:val="16"/>
          <w:vertAlign w:val="superscript"/>
        </w:rPr>
        <w:t>th</w:t>
      </w:r>
      <w:r w:rsidRPr="00C228A6">
        <w:rPr>
          <w:rFonts w:ascii="Georgia" w:eastAsia="Times New Roman" w:hAnsi="Georgia" w:cs="Times New Roman"/>
          <w:color w:val="000000"/>
          <w:sz w:val="24"/>
          <w:szCs w:val="24"/>
        </w:rPr>
        <w:t> year was $82,572.</w:t>
      </w:r>
    </w:p>
    <w:p w14:paraId="1C7AD977"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 xml:space="preserve">The total amount withdrawn by each of the 71 retirees was $1,500,942—or 50% more than the starting balance of $1 million. Because a fixed-percent COLA ignores the portfolio return each year, we know in advance what the dollar amount of the withdrawal will be </w:t>
      </w:r>
      <w:proofErr w:type="gramStart"/>
      <w:r w:rsidRPr="00C228A6">
        <w:rPr>
          <w:rFonts w:ascii="Georgia" w:eastAsia="Times New Roman" w:hAnsi="Georgia" w:cs="Times New Roman"/>
          <w:color w:val="000000"/>
          <w:sz w:val="24"/>
          <w:szCs w:val="24"/>
        </w:rPr>
        <w:t>each and every</w:t>
      </w:r>
      <w:proofErr w:type="gramEnd"/>
      <w:r w:rsidRPr="00C228A6">
        <w:rPr>
          <w:rFonts w:ascii="Georgia" w:eastAsia="Times New Roman" w:hAnsi="Georgia" w:cs="Times New Roman"/>
          <w:color w:val="000000"/>
          <w:sz w:val="24"/>
          <w:szCs w:val="24"/>
        </w:rPr>
        <w:t xml:space="preserve"> year. The average ending balance for this group of 71 retirees was $5,973,519. Only one retiree ran out of money before 25 years—and for that retiree it happened in the 25</w:t>
      </w:r>
      <w:r w:rsidRPr="00C228A6">
        <w:rPr>
          <w:rFonts w:ascii="inherit" w:eastAsia="Times New Roman" w:hAnsi="inherit" w:cs="Times New Roman"/>
          <w:color w:val="000000"/>
          <w:sz w:val="16"/>
          <w:szCs w:val="16"/>
          <w:vertAlign w:val="superscript"/>
        </w:rPr>
        <w:t>th</w:t>
      </w:r>
      <w:r w:rsidRPr="00C228A6">
        <w:rPr>
          <w:rFonts w:ascii="Georgia" w:eastAsia="Times New Roman" w:hAnsi="Georgia" w:cs="Times New Roman"/>
          <w:color w:val="000000"/>
          <w:sz w:val="24"/>
          <w:szCs w:val="24"/>
        </w:rPr>
        <w:t> year.</w:t>
      </w:r>
    </w:p>
    <w:p w14:paraId="2FF57A7B"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As shown in Table 1, if a smart COLA (as described above) was implemented, the average annual withdrawal increased to $68,340—or the equivalent of just under $700 more income per month in retirement. The trade-off is that the average ending balance after 25 years declined to $5.53 million from $5.97 million. Either way, the average retiree had a </w:t>
      </w:r>
      <w:r w:rsidRPr="00C228A6">
        <w:rPr>
          <w:rFonts w:ascii="Georgia" w:eastAsia="Times New Roman" w:hAnsi="Georgia" w:cs="Times New Roman"/>
          <w:i/>
          <w:iCs/>
          <w:color w:val="000000"/>
          <w:sz w:val="24"/>
          <w:szCs w:val="24"/>
        </w:rPr>
        <w:t>lot</w:t>
      </w:r>
      <w:r w:rsidRPr="00C228A6">
        <w:rPr>
          <w:rFonts w:ascii="Georgia" w:eastAsia="Times New Roman" w:hAnsi="Georgia" w:cs="Times New Roman"/>
          <w:color w:val="000000"/>
          <w:sz w:val="24"/>
          <w:szCs w:val="24"/>
        </w:rPr>
        <w:t> of money remaining after 25 years. Moreover, there were no portfolio failures within 25 years when employing a smart COLA.</w:t>
      </w:r>
    </w:p>
    <w:p w14:paraId="776888C3"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 xml:space="preserve">For comparison, if the RMD governed the annual withdrawals for each retiree from age 72 to 97 (a 25-year period) the average ending portfolio balance was $1.80 </w:t>
      </w:r>
      <w:proofErr w:type="gramStart"/>
      <w:r w:rsidRPr="00C228A6">
        <w:rPr>
          <w:rFonts w:ascii="Georgia" w:eastAsia="Times New Roman" w:hAnsi="Georgia" w:cs="Times New Roman"/>
          <w:color w:val="000000"/>
          <w:sz w:val="24"/>
          <w:szCs w:val="24"/>
        </w:rPr>
        <w:t>million</w:t>
      </w:r>
      <w:proofErr w:type="gramEnd"/>
      <w:r w:rsidRPr="00C228A6">
        <w:rPr>
          <w:rFonts w:ascii="Georgia" w:eastAsia="Times New Roman" w:hAnsi="Georgia" w:cs="Times New Roman"/>
          <w:color w:val="000000"/>
          <w:sz w:val="24"/>
          <w:szCs w:val="24"/>
        </w:rPr>
        <w:t xml:space="preserve"> and the average annual withdrawal was $137,319. This is not surprising given the fact that the RMD is an escalating percentage over time.</w:t>
      </w:r>
    </w:p>
    <w:p w14:paraId="00539702"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The benefit of a smart COLA should be quite self-evident: the dollar amount of the withdrawal from the portfolio is not allowed to increase from the prior year </w:t>
      </w:r>
      <w:r w:rsidRPr="00C228A6">
        <w:rPr>
          <w:rFonts w:ascii="Georgia" w:eastAsia="Times New Roman" w:hAnsi="Georgia" w:cs="Times New Roman"/>
          <w:i/>
          <w:iCs/>
          <w:color w:val="000000"/>
          <w:sz w:val="24"/>
          <w:szCs w:val="24"/>
        </w:rPr>
        <w:t>if</w:t>
      </w:r>
      <w:r w:rsidRPr="00C228A6">
        <w:rPr>
          <w:rFonts w:ascii="Georgia" w:eastAsia="Times New Roman" w:hAnsi="Georgia" w:cs="Times New Roman"/>
          <w:color w:val="000000"/>
          <w:sz w:val="24"/>
          <w:szCs w:val="24"/>
        </w:rPr>
        <w:t xml:space="preserve"> the portfolio experiences a negative return. Conversely, the COLA is allowed to escalate when the portfolio experiences a good return (in this analysis anytime the portfolio’s return was above 10%). Essentially, this approach simulates the decisions that would </w:t>
      </w:r>
      <w:r w:rsidRPr="00C228A6">
        <w:rPr>
          <w:rFonts w:ascii="Georgia" w:eastAsia="Times New Roman" w:hAnsi="Georgia" w:cs="Times New Roman"/>
          <w:color w:val="000000"/>
          <w:sz w:val="24"/>
          <w:szCs w:val="24"/>
        </w:rPr>
        <w:lastRenderedPageBreak/>
        <w:t>likely be made in real time by a retiree after accounting for the performance of her portfolio each year.</w:t>
      </w:r>
    </w:p>
    <w:tbl>
      <w:tblPr>
        <w:tblW w:w="9600" w:type="dxa"/>
        <w:tblBorders>
          <w:top w:val="single" w:sz="6" w:space="0" w:color="70C899"/>
          <w:left w:val="single" w:sz="6" w:space="0" w:color="70C899"/>
          <w:bottom w:val="single" w:sz="6" w:space="0" w:color="70C899"/>
          <w:right w:val="single" w:sz="6" w:space="0" w:color="70C899"/>
        </w:tblBorders>
        <w:tblCellMar>
          <w:top w:w="15" w:type="dxa"/>
          <w:left w:w="15" w:type="dxa"/>
          <w:bottom w:w="15" w:type="dxa"/>
          <w:right w:w="15" w:type="dxa"/>
        </w:tblCellMar>
        <w:tblLook w:val="04A0" w:firstRow="1" w:lastRow="0" w:firstColumn="1" w:lastColumn="0" w:noHBand="0" w:noVBand="1"/>
      </w:tblPr>
      <w:tblGrid>
        <w:gridCol w:w="2491"/>
        <w:gridCol w:w="2583"/>
        <w:gridCol w:w="2850"/>
        <w:gridCol w:w="1676"/>
      </w:tblGrid>
      <w:tr w:rsidR="00C228A6" w:rsidRPr="00C228A6" w14:paraId="7ABF9008" w14:textId="77777777" w:rsidTr="00C228A6">
        <w:tc>
          <w:tcPr>
            <w:tcW w:w="0" w:type="auto"/>
            <w:gridSpan w:val="4"/>
            <w:tcBorders>
              <w:top w:val="single" w:sz="6" w:space="0" w:color="009E49"/>
              <w:left w:val="single" w:sz="6" w:space="0" w:color="009E49"/>
              <w:bottom w:val="single" w:sz="6" w:space="0" w:color="009E49"/>
              <w:right w:val="single" w:sz="6" w:space="0" w:color="009E49"/>
            </w:tcBorders>
            <w:shd w:val="clear" w:color="auto" w:fill="009E49"/>
            <w:tcMar>
              <w:top w:w="90" w:type="dxa"/>
              <w:left w:w="90" w:type="dxa"/>
              <w:bottom w:w="90" w:type="dxa"/>
              <w:right w:w="90" w:type="dxa"/>
            </w:tcMar>
            <w:hideMark/>
          </w:tcPr>
          <w:p w14:paraId="21D4C613" w14:textId="77777777" w:rsidR="00C228A6" w:rsidRPr="00C228A6" w:rsidRDefault="00C228A6" w:rsidP="00C228A6">
            <w:pPr>
              <w:spacing w:after="0" w:line="240" w:lineRule="auto"/>
              <w:ind w:left="-15" w:right="-15"/>
              <w:rPr>
                <w:rFonts w:ascii="Roboto Condensed" w:eastAsia="Times New Roman" w:hAnsi="Roboto Condensed" w:cs="Arial"/>
                <w:color w:val="FFFFFF"/>
                <w:sz w:val="24"/>
                <w:szCs w:val="24"/>
              </w:rPr>
            </w:pPr>
            <w:r w:rsidRPr="00C228A6">
              <w:rPr>
                <w:rFonts w:ascii="Roboto Condensed" w:eastAsia="Times New Roman" w:hAnsi="Roboto Condensed" w:cs="Arial"/>
                <w:color w:val="FFFFFF"/>
                <w:sz w:val="24"/>
                <w:szCs w:val="24"/>
              </w:rPr>
              <w:t>Table 1. Fixed vs. Smart COLA Impact on Diversified Portfolio*</w:t>
            </w:r>
            <w:r w:rsidRPr="00C228A6">
              <w:rPr>
                <w:rFonts w:ascii="Arial" w:eastAsia="Times New Roman" w:hAnsi="Arial" w:cs="Arial"/>
                <w:b/>
                <w:bCs/>
                <w:color w:val="FFFFFF"/>
                <w:sz w:val="24"/>
                <w:szCs w:val="24"/>
              </w:rPr>
              <w:t>$1,000,000 starting balance</w:t>
            </w:r>
            <w:r w:rsidRPr="00C228A6">
              <w:rPr>
                <w:rFonts w:ascii="Arial" w:eastAsia="Times New Roman" w:hAnsi="Arial" w:cs="Arial"/>
                <w:b/>
                <w:bCs/>
                <w:color w:val="FFFFFF"/>
                <w:sz w:val="24"/>
                <w:szCs w:val="24"/>
              </w:rPr>
              <w:br/>
              <w:t xml:space="preserve">$40,000 initial withdrawal (prior to COLA being </w:t>
            </w:r>
            <w:proofErr w:type="gramStart"/>
            <w:r w:rsidRPr="00C228A6">
              <w:rPr>
                <w:rFonts w:ascii="Arial" w:eastAsia="Times New Roman" w:hAnsi="Arial" w:cs="Arial"/>
                <w:b/>
                <w:bCs/>
                <w:color w:val="FFFFFF"/>
                <w:sz w:val="24"/>
                <w:szCs w:val="24"/>
              </w:rPr>
              <w:t>applied)Analysis</w:t>
            </w:r>
            <w:proofErr w:type="gramEnd"/>
            <w:r w:rsidRPr="00C228A6">
              <w:rPr>
                <w:rFonts w:ascii="Arial" w:eastAsia="Times New Roman" w:hAnsi="Arial" w:cs="Arial"/>
                <w:b/>
                <w:bCs/>
                <w:color w:val="FFFFFF"/>
                <w:sz w:val="24"/>
                <w:szCs w:val="24"/>
              </w:rPr>
              <w:t xml:space="preserve"> is the summary of 71 rolling 25-year periods from 1926–2020</w:t>
            </w:r>
          </w:p>
        </w:tc>
      </w:tr>
      <w:tr w:rsidR="00C228A6" w:rsidRPr="00C228A6" w14:paraId="24CCDBD2" w14:textId="77777777" w:rsidTr="00C228A6">
        <w:tc>
          <w:tcPr>
            <w:tcW w:w="0" w:type="auto"/>
            <w:tcBorders>
              <w:right w:val="single" w:sz="6" w:space="0" w:color="70C899"/>
            </w:tcBorders>
            <w:shd w:val="clear" w:color="auto" w:fill="C3E5D3"/>
            <w:tcMar>
              <w:top w:w="90" w:type="dxa"/>
              <w:left w:w="90" w:type="dxa"/>
              <w:bottom w:w="90" w:type="dxa"/>
              <w:right w:w="90" w:type="dxa"/>
            </w:tcMar>
            <w:hideMark/>
          </w:tcPr>
          <w:p w14:paraId="220575EC"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Annual Withdrawals determined by</w:t>
            </w:r>
          </w:p>
        </w:tc>
        <w:tc>
          <w:tcPr>
            <w:tcW w:w="0" w:type="auto"/>
            <w:tcBorders>
              <w:right w:val="single" w:sz="6" w:space="0" w:color="70C899"/>
            </w:tcBorders>
            <w:shd w:val="clear" w:color="auto" w:fill="C3E5D3"/>
            <w:tcMar>
              <w:top w:w="90" w:type="dxa"/>
              <w:left w:w="90" w:type="dxa"/>
              <w:bottom w:w="90" w:type="dxa"/>
              <w:right w:w="90" w:type="dxa"/>
            </w:tcMar>
            <w:hideMark/>
          </w:tcPr>
          <w:p w14:paraId="4689B1AE"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Average annual withdrawal</w:t>
            </w:r>
          </w:p>
        </w:tc>
        <w:tc>
          <w:tcPr>
            <w:tcW w:w="0" w:type="auto"/>
            <w:tcBorders>
              <w:right w:val="single" w:sz="6" w:space="0" w:color="70C899"/>
            </w:tcBorders>
            <w:shd w:val="clear" w:color="auto" w:fill="C3E5D3"/>
            <w:tcMar>
              <w:top w:w="90" w:type="dxa"/>
              <w:left w:w="90" w:type="dxa"/>
              <w:bottom w:w="90" w:type="dxa"/>
              <w:right w:w="90" w:type="dxa"/>
            </w:tcMar>
            <w:hideMark/>
          </w:tcPr>
          <w:p w14:paraId="2B723CF9"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Average portfolio balance after 25 years of withdrawal</w:t>
            </w:r>
          </w:p>
        </w:tc>
        <w:tc>
          <w:tcPr>
            <w:tcW w:w="0" w:type="auto"/>
            <w:tcBorders>
              <w:right w:val="single" w:sz="6" w:space="0" w:color="70C899"/>
            </w:tcBorders>
            <w:shd w:val="clear" w:color="auto" w:fill="C3E5D3"/>
            <w:tcMar>
              <w:top w:w="90" w:type="dxa"/>
              <w:left w:w="90" w:type="dxa"/>
              <w:bottom w:w="90" w:type="dxa"/>
              <w:right w:w="90" w:type="dxa"/>
            </w:tcMar>
            <w:hideMark/>
          </w:tcPr>
          <w:p w14:paraId="5899F15A"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Portfolio failure rate within 25 years</w:t>
            </w:r>
          </w:p>
        </w:tc>
      </w:tr>
      <w:tr w:rsidR="00C228A6" w:rsidRPr="00C228A6" w14:paraId="198840CB" w14:textId="77777777" w:rsidTr="00C228A6">
        <w:tc>
          <w:tcPr>
            <w:tcW w:w="0" w:type="auto"/>
            <w:tcBorders>
              <w:right w:val="single" w:sz="6" w:space="0" w:color="70C899"/>
            </w:tcBorders>
            <w:shd w:val="clear" w:color="auto" w:fill="FFFFFF"/>
            <w:tcMar>
              <w:top w:w="90" w:type="dxa"/>
              <w:left w:w="90" w:type="dxa"/>
              <w:bottom w:w="90" w:type="dxa"/>
              <w:right w:w="90" w:type="dxa"/>
            </w:tcMar>
            <w:hideMark/>
          </w:tcPr>
          <w:p w14:paraId="6219BDC3" w14:textId="77777777" w:rsidR="00C228A6" w:rsidRPr="00C228A6" w:rsidRDefault="00C228A6" w:rsidP="00C228A6">
            <w:pPr>
              <w:spacing w:after="300" w:line="240" w:lineRule="auto"/>
              <w:rPr>
                <w:rFonts w:ascii="Arial" w:eastAsia="Times New Roman" w:hAnsi="Arial" w:cs="Arial"/>
                <w:sz w:val="24"/>
                <w:szCs w:val="24"/>
              </w:rPr>
            </w:pPr>
            <w:r w:rsidRPr="00C228A6">
              <w:rPr>
                <w:rFonts w:ascii="Arial" w:eastAsia="Times New Roman" w:hAnsi="Arial" w:cs="Arial"/>
                <w:b/>
                <w:bCs/>
                <w:sz w:val="24"/>
                <w:szCs w:val="24"/>
              </w:rPr>
              <w:t xml:space="preserve">Fixed 3% </w:t>
            </w:r>
            <w:proofErr w:type="gramStart"/>
            <w:r w:rsidRPr="00C228A6">
              <w:rPr>
                <w:rFonts w:ascii="Arial" w:eastAsia="Times New Roman" w:hAnsi="Arial" w:cs="Arial"/>
                <w:b/>
                <w:bCs/>
                <w:sz w:val="24"/>
                <w:szCs w:val="24"/>
              </w:rPr>
              <w:t>COLA</w:t>
            </w:r>
            <w:proofErr w:type="gramEnd"/>
          </w:p>
          <w:p w14:paraId="1091BDB5"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3% COLA every year regardless of annual portfolio performance</w:t>
            </w:r>
          </w:p>
        </w:tc>
        <w:tc>
          <w:tcPr>
            <w:tcW w:w="0" w:type="auto"/>
            <w:tcBorders>
              <w:right w:val="single" w:sz="6" w:space="0" w:color="70C899"/>
            </w:tcBorders>
            <w:shd w:val="clear" w:color="auto" w:fill="FFFFFF"/>
            <w:tcMar>
              <w:top w:w="90" w:type="dxa"/>
              <w:left w:w="90" w:type="dxa"/>
              <w:bottom w:w="90" w:type="dxa"/>
              <w:right w:w="90" w:type="dxa"/>
            </w:tcMar>
            <w:hideMark/>
          </w:tcPr>
          <w:p w14:paraId="42277064"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$60,038</w:t>
            </w:r>
          </w:p>
        </w:tc>
        <w:tc>
          <w:tcPr>
            <w:tcW w:w="0" w:type="auto"/>
            <w:tcBorders>
              <w:right w:val="single" w:sz="6" w:space="0" w:color="70C899"/>
            </w:tcBorders>
            <w:shd w:val="clear" w:color="auto" w:fill="FFFFFF"/>
            <w:tcMar>
              <w:top w:w="90" w:type="dxa"/>
              <w:left w:w="90" w:type="dxa"/>
              <w:bottom w:w="90" w:type="dxa"/>
              <w:right w:w="90" w:type="dxa"/>
            </w:tcMar>
            <w:hideMark/>
          </w:tcPr>
          <w:p w14:paraId="7E0F8989"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$5,973,519</w:t>
            </w:r>
          </w:p>
        </w:tc>
        <w:tc>
          <w:tcPr>
            <w:tcW w:w="0" w:type="auto"/>
            <w:tcBorders>
              <w:right w:val="single" w:sz="6" w:space="0" w:color="70C899"/>
            </w:tcBorders>
            <w:shd w:val="clear" w:color="auto" w:fill="FFFFFF"/>
            <w:tcMar>
              <w:top w:w="90" w:type="dxa"/>
              <w:left w:w="90" w:type="dxa"/>
              <w:bottom w:w="90" w:type="dxa"/>
              <w:right w:w="90" w:type="dxa"/>
            </w:tcMar>
            <w:hideMark/>
          </w:tcPr>
          <w:p w14:paraId="351C4B79"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1.4%</w:t>
            </w:r>
          </w:p>
        </w:tc>
      </w:tr>
      <w:tr w:rsidR="00C228A6" w:rsidRPr="00C228A6" w14:paraId="1411AE19" w14:textId="77777777" w:rsidTr="00C228A6">
        <w:tc>
          <w:tcPr>
            <w:tcW w:w="0" w:type="auto"/>
            <w:tcBorders>
              <w:right w:val="single" w:sz="6" w:space="0" w:color="70C899"/>
            </w:tcBorders>
            <w:shd w:val="clear" w:color="auto" w:fill="E4F5EC"/>
            <w:tcMar>
              <w:top w:w="90" w:type="dxa"/>
              <w:left w:w="90" w:type="dxa"/>
              <w:bottom w:w="90" w:type="dxa"/>
              <w:right w:w="90" w:type="dxa"/>
            </w:tcMar>
            <w:hideMark/>
          </w:tcPr>
          <w:p w14:paraId="1B2A6B70" w14:textId="77777777" w:rsidR="00C228A6" w:rsidRPr="00C228A6" w:rsidRDefault="00C228A6" w:rsidP="00C228A6">
            <w:pPr>
              <w:spacing w:after="300" w:line="240" w:lineRule="auto"/>
              <w:rPr>
                <w:rFonts w:ascii="Arial" w:eastAsia="Times New Roman" w:hAnsi="Arial" w:cs="Arial"/>
                <w:sz w:val="24"/>
                <w:szCs w:val="24"/>
              </w:rPr>
            </w:pPr>
            <w:r w:rsidRPr="00C228A6">
              <w:rPr>
                <w:rFonts w:ascii="Arial" w:eastAsia="Times New Roman" w:hAnsi="Arial" w:cs="Arial"/>
                <w:b/>
                <w:bCs/>
                <w:sz w:val="24"/>
                <w:szCs w:val="24"/>
              </w:rPr>
              <w:t>Smart COLA</w:t>
            </w:r>
          </w:p>
          <w:p w14:paraId="45686A4C" w14:textId="77777777" w:rsidR="00C228A6" w:rsidRPr="00C228A6" w:rsidRDefault="00C228A6" w:rsidP="00C228A6">
            <w:pPr>
              <w:spacing w:after="300" w:line="240" w:lineRule="auto"/>
              <w:rPr>
                <w:rFonts w:ascii="Arial" w:eastAsia="Times New Roman" w:hAnsi="Arial" w:cs="Arial"/>
                <w:sz w:val="24"/>
                <w:szCs w:val="24"/>
              </w:rPr>
            </w:pPr>
            <w:r w:rsidRPr="00C228A6">
              <w:rPr>
                <w:rFonts w:ascii="Arial" w:eastAsia="Times New Roman" w:hAnsi="Arial" w:cs="Arial"/>
                <w:sz w:val="24"/>
                <w:szCs w:val="24"/>
              </w:rPr>
              <w:t xml:space="preserve">0% COLA when annual portfolio return was </w:t>
            </w:r>
            <w:proofErr w:type="gramStart"/>
            <w:r w:rsidRPr="00C228A6">
              <w:rPr>
                <w:rFonts w:ascii="Arial" w:eastAsia="Times New Roman" w:hAnsi="Arial" w:cs="Arial"/>
                <w:sz w:val="24"/>
                <w:szCs w:val="24"/>
              </w:rPr>
              <w:t>negative</w:t>
            </w:r>
            <w:proofErr w:type="gramEnd"/>
          </w:p>
          <w:p w14:paraId="51C2D1CE" w14:textId="77777777" w:rsidR="00C228A6" w:rsidRPr="00C228A6" w:rsidRDefault="00C228A6" w:rsidP="00C228A6">
            <w:pPr>
              <w:spacing w:after="300" w:line="240" w:lineRule="auto"/>
              <w:rPr>
                <w:rFonts w:ascii="Arial" w:eastAsia="Times New Roman" w:hAnsi="Arial" w:cs="Arial"/>
                <w:sz w:val="24"/>
                <w:szCs w:val="24"/>
              </w:rPr>
            </w:pPr>
            <w:r w:rsidRPr="00C228A6">
              <w:rPr>
                <w:rFonts w:ascii="Arial" w:eastAsia="Times New Roman" w:hAnsi="Arial" w:cs="Arial"/>
                <w:sz w:val="24"/>
                <w:szCs w:val="24"/>
              </w:rPr>
              <w:t>3% COLA when annual portfolio return was between 0%–10%</w:t>
            </w:r>
          </w:p>
          <w:p w14:paraId="39F7B0C4"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6% COLA when annual portfolio return was above 10%</w:t>
            </w:r>
          </w:p>
        </w:tc>
        <w:tc>
          <w:tcPr>
            <w:tcW w:w="0" w:type="auto"/>
            <w:tcBorders>
              <w:right w:val="single" w:sz="6" w:space="0" w:color="70C899"/>
            </w:tcBorders>
            <w:shd w:val="clear" w:color="auto" w:fill="E4F5EC"/>
            <w:tcMar>
              <w:top w:w="90" w:type="dxa"/>
              <w:left w:w="90" w:type="dxa"/>
              <w:bottom w:w="90" w:type="dxa"/>
              <w:right w:w="90" w:type="dxa"/>
            </w:tcMar>
            <w:hideMark/>
          </w:tcPr>
          <w:p w14:paraId="6E451C60" w14:textId="77777777" w:rsidR="00C228A6" w:rsidRPr="00C228A6" w:rsidRDefault="00C228A6" w:rsidP="00C228A6">
            <w:pPr>
              <w:spacing w:after="300" w:line="240" w:lineRule="auto"/>
              <w:jc w:val="center"/>
              <w:rPr>
                <w:rFonts w:ascii="Arial" w:eastAsia="Times New Roman" w:hAnsi="Arial" w:cs="Arial"/>
                <w:sz w:val="24"/>
                <w:szCs w:val="24"/>
              </w:rPr>
            </w:pPr>
            <w:r w:rsidRPr="00C228A6">
              <w:rPr>
                <w:rFonts w:ascii="Arial" w:eastAsia="Times New Roman" w:hAnsi="Arial" w:cs="Arial"/>
                <w:sz w:val="24"/>
                <w:szCs w:val="24"/>
              </w:rPr>
              <w:t>$68,340</w:t>
            </w:r>
          </w:p>
          <w:p w14:paraId="6C5E9286" w14:textId="77777777" w:rsidR="00C228A6" w:rsidRPr="00C228A6" w:rsidRDefault="00C228A6" w:rsidP="00C228A6">
            <w:pPr>
              <w:spacing w:after="300" w:line="240" w:lineRule="auto"/>
              <w:jc w:val="center"/>
              <w:rPr>
                <w:rFonts w:ascii="Arial" w:eastAsia="Times New Roman" w:hAnsi="Arial" w:cs="Arial"/>
                <w:sz w:val="24"/>
                <w:szCs w:val="24"/>
              </w:rPr>
            </w:pPr>
            <w:r w:rsidRPr="00C228A6">
              <w:rPr>
                <w:rFonts w:ascii="Arial" w:eastAsia="Times New Roman" w:hAnsi="Arial" w:cs="Arial"/>
                <w:sz w:val="24"/>
                <w:szCs w:val="24"/>
              </w:rPr>
              <w:t>Increase of $8,302 in average annual withdrawal compared to fixed 3% COLA</w:t>
            </w:r>
          </w:p>
        </w:tc>
        <w:tc>
          <w:tcPr>
            <w:tcW w:w="0" w:type="auto"/>
            <w:tcBorders>
              <w:right w:val="single" w:sz="6" w:space="0" w:color="70C899"/>
            </w:tcBorders>
            <w:shd w:val="clear" w:color="auto" w:fill="E4F5EC"/>
            <w:tcMar>
              <w:top w:w="90" w:type="dxa"/>
              <w:left w:w="90" w:type="dxa"/>
              <w:bottom w:w="90" w:type="dxa"/>
              <w:right w:w="90" w:type="dxa"/>
            </w:tcMar>
            <w:hideMark/>
          </w:tcPr>
          <w:p w14:paraId="0327FE11" w14:textId="77777777" w:rsidR="00C228A6" w:rsidRPr="00C228A6" w:rsidRDefault="00C228A6" w:rsidP="00C228A6">
            <w:pPr>
              <w:spacing w:after="300" w:line="240" w:lineRule="auto"/>
              <w:jc w:val="center"/>
              <w:rPr>
                <w:rFonts w:ascii="Arial" w:eastAsia="Times New Roman" w:hAnsi="Arial" w:cs="Arial"/>
                <w:sz w:val="24"/>
                <w:szCs w:val="24"/>
              </w:rPr>
            </w:pPr>
            <w:r w:rsidRPr="00C228A6">
              <w:rPr>
                <w:rFonts w:ascii="Arial" w:eastAsia="Times New Roman" w:hAnsi="Arial" w:cs="Arial"/>
                <w:sz w:val="24"/>
                <w:szCs w:val="24"/>
              </w:rPr>
              <w:t>$5,530,709</w:t>
            </w:r>
          </w:p>
          <w:p w14:paraId="304A8E7F"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Decrease of $442,810 in average ending balance after 25 years compared to fixed 3% COLA</w:t>
            </w:r>
          </w:p>
        </w:tc>
        <w:tc>
          <w:tcPr>
            <w:tcW w:w="0" w:type="auto"/>
            <w:tcBorders>
              <w:right w:val="single" w:sz="6" w:space="0" w:color="70C899"/>
            </w:tcBorders>
            <w:shd w:val="clear" w:color="auto" w:fill="E4F5EC"/>
            <w:tcMar>
              <w:top w:w="90" w:type="dxa"/>
              <w:left w:w="90" w:type="dxa"/>
              <w:bottom w:w="90" w:type="dxa"/>
              <w:right w:w="90" w:type="dxa"/>
            </w:tcMar>
            <w:hideMark/>
          </w:tcPr>
          <w:p w14:paraId="37495A15"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0%</w:t>
            </w:r>
          </w:p>
        </w:tc>
      </w:tr>
    </w:tbl>
    <w:p w14:paraId="0550C017" w14:textId="77777777" w:rsidR="00C228A6" w:rsidRPr="00C228A6" w:rsidRDefault="00C228A6" w:rsidP="00C228A6">
      <w:pPr>
        <w:shd w:val="clear" w:color="auto" w:fill="FFFFFF"/>
        <w:spacing w:after="300" w:line="240" w:lineRule="auto"/>
        <w:rPr>
          <w:rFonts w:ascii="Arial" w:eastAsia="Times New Roman" w:hAnsi="Arial" w:cs="Arial"/>
          <w:i/>
          <w:iCs/>
          <w:color w:val="000000"/>
          <w:sz w:val="24"/>
          <w:szCs w:val="24"/>
        </w:rPr>
      </w:pPr>
      <w:r w:rsidRPr="00C228A6">
        <w:rPr>
          <w:rFonts w:ascii="Arial" w:eastAsia="Times New Roman" w:hAnsi="Arial" w:cs="Arial"/>
          <w:i/>
          <w:iCs/>
          <w:color w:val="000000"/>
          <w:sz w:val="24"/>
          <w:szCs w:val="24"/>
        </w:rPr>
        <w:t xml:space="preserve">Source: Craig </w:t>
      </w:r>
      <w:proofErr w:type="spellStart"/>
      <w:r w:rsidRPr="00C228A6">
        <w:rPr>
          <w:rFonts w:ascii="Arial" w:eastAsia="Times New Roman" w:hAnsi="Arial" w:cs="Arial"/>
          <w:i/>
          <w:iCs/>
          <w:color w:val="000000"/>
          <w:sz w:val="24"/>
          <w:szCs w:val="24"/>
        </w:rPr>
        <w:t>Israelsen</w:t>
      </w:r>
      <w:proofErr w:type="spellEnd"/>
      <w:r w:rsidRPr="00C228A6">
        <w:rPr>
          <w:rFonts w:ascii="Arial" w:eastAsia="Times New Roman" w:hAnsi="Arial" w:cs="Arial"/>
          <w:i/>
          <w:iCs/>
          <w:color w:val="000000"/>
          <w:sz w:val="24"/>
          <w:szCs w:val="24"/>
        </w:rPr>
        <w:br/>
        <w:t>*Asset allocation: 35% large-cap US stock, 25% small-cap US stock, 25% US bonds, 15% cash</w:t>
      </w:r>
    </w:p>
    <w:p w14:paraId="05E5DF04"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What happens to a retirement portfolio when the asset allocation model is </w:t>
      </w:r>
      <w:r w:rsidRPr="00C228A6">
        <w:rPr>
          <w:rFonts w:ascii="Georgia" w:eastAsia="Times New Roman" w:hAnsi="Georgia" w:cs="Times New Roman"/>
          <w:i/>
          <w:iCs/>
          <w:color w:val="000000"/>
          <w:sz w:val="24"/>
          <w:szCs w:val="24"/>
        </w:rPr>
        <w:t>not</w:t>
      </w:r>
      <w:r w:rsidRPr="00C228A6">
        <w:rPr>
          <w:rFonts w:ascii="Georgia" w:eastAsia="Times New Roman" w:hAnsi="Georgia" w:cs="Times New Roman"/>
          <w:color w:val="000000"/>
          <w:sz w:val="24"/>
          <w:szCs w:val="24"/>
        </w:rPr>
        <w:t> diversified—that is, the retiree has a 100% allocation to a specific asset class? Table 2 outlines the results among the 71 retirees if their retirement portfolio was committed 100% to each of the four separate asset classes (large-cap stock, small-cap stock, bonds, cash).</w:t>
      </w:r>
    </w:p>
    <w:p w14:paraId="5EA959D1"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 xml:space="preserve">Interestingly, the average annual withdrawal does not change all that much. But the average ending portfolio balance after 25 years of withdrawals changes dramatically. In </w:t>
      </w:r>
      <w:r w:rsidRPr="00C228A6">
        <w:rPr>
          <w:rFonts w:ascii="Georgia" w:eastAsia="Times New Roman" w:hAnsi="Georgia" w:cs="Times New Roman"/>
          <w:color w:val="000000"/>
          <w:sz w:val="24"/>
          <w:szCs w:val="24"/>
        </w:rPr>
        <w:lastRenderedPageBreak/>
        <w:t>addition, the portfolio failure rate skyrockets in retirement portfolios that are 100% bonds or 100% cash.</w:t>
      </w:r>
    </w:p>
    <w:p w14:paraId="21E79E10"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Perhaps the results in Table 2 might serve as a reminder that it is imperative for retirees to stay diversified in retirement. With very few exceptions, retirees should have a material allocation to performance “engines.” Portfolio engines are domestic and non-U.S. equities and diversifiers such as real estate and commodities. Portfolio “brakes” include U.S. bonds, non-U.S. bonds and cash. They are obviously important for risk mitigation, but not at the exclusion of engines.</w:t>
      </w:r>
    </w:p>
    <w:p w14:paraId="4DA79E4F" w14:textId="77777777" w:rsidR="00C228A6" w:rsidRPr="00C228A6" w:rsidRDefault="00C228A6" w:rsidP="00C228A6">
      <w:pPr>
        <w:shd w:val="clear" w:color="auto" w:fill="FFFFFF"/>
        <w:spacing w:after="300" w:line="240" w:lineRule="auto"/>
        <w:rPr>
          <w:rFonts w:ascii="Georgia" w:eastAsia="Times New Roman" w:hAnsi="Georgia" w:cs="Times New Roman"/>
          <w:color w:val="000000"/>
          <w:sz w:val="24"/>
          <w:szCs w:val="24"/>
        </w:rPr>
      </w:pPr>
      <w:r w:rsidRPr="00C228A6">
        <w:rPr>
          <w:rFonts w:ascii="Georgia" w:eastAsia="Times New Roman" w:hAnsi="Georgia" w:cs="Times New Roman"/>
          <w:color w:val="000000"/>
          <w:sz w:val="24"/>
          <w:szCs w:val="24"/>
        </w:rPr>
        <w:t xml:space="preserve">This analysis was done using a sophisticated spreadsheet that I have developed over the past 10 years. The most important insight that </w:t>
      </w:r>
      <w:proofErr w:type="gramStart"/>
      <w:r w:rsidRPr="00C228A6">
        <w:rPr>
          <w:rFonts w:ascii="Georgia" w:eastAsia="Times New Roman" w:hAnsi="Georgia" w:cs="Times New Roman"/>
          <w:color w:val="000000"/>
          <w:sz w:val="24"/>
          <w:szCs w:val="24"/>
        </w:rPr>
        <w:t>I’ve</w:t>
      </w:r>
      <w:proofErr w:type="gramEnd"/>
      <w:r w:rsidRPr="00C228A6">
        <w:rPr>
          <w:rFonts w:ascii="Georgia" w:eastAsia="Times New Roman" w:hAnsi="Georgia" w:cs="Times New Roman"/>
          <w:color w:val="000000"/>
          <w:sz w:val="24"/>
          <w:szCs w:val="24"/>
        </w:rPr>
        <w:t xml:space="preserve"> gained in developing and using this spreadsheet tool is this: When withdrawals are prudent and the portfolio is diversified, it is really hard to kill a retirement portfolio within 25–30 years.</w:t>
      </w:r>
    </w:p>
    <w:tbl>
      <w:tblPr>
        <w:tblW w:w="9600" w:type="dxa"/>
        <w:tblBorders>
          <w:top w:val="single" w:sz="6" w:space="0" w:color="70C899"/>
          <w:left w:val="single" w:sz="6" w:space="0" w:color="70C899"/>
          <w:bottom w:val="single" w:sz="6" w:space="0" w:color="70C899"/>
          <w:right w:val="single" w:sz="6" w:space="0" w:color="70C899"/>
        </w:tblBorders>
        <w:tblCellMar>
          <w:top w:w="15" w:type="dxa"/>
          <w:left w:w="15" w:type="dxa"/>
          <w:bottom w:w="15" w:type="dxa"/>
          <w:right w:w="15" w:type="dxa"/>
        </w:tblCellMar>
        <w:tblLook w:val="04A0" w:firstRow="1" w:lastRow="0" w:firstColumn="1" w:lastColumn="0" w:noHBand="0" w:noVBand="1"/>
      </w:tblPr>
      <w:tblGrid>
        <w:gridCol w:w="2122"/>
        <w:gridCol w:w="2062"/>
        <w:gridCol w:w="3184"/>
        <w:gridCol w:w="2232"/>
      </w:tblGrid>
      <w:tr w:rsidR="00C228A6" w:rsidRPr="00C228A6" w14:paraId="37665EB6" w14:textId="77777777" w:rsidTr="00C228A6">
        <w:tc>
          <w:tcPr>
            <w:tcW w:w="0" w:type="auto"/>
            <w:gridSpan w:val="4"/>
            <w:tcBorders>
              <w:top w:val="single" w:sz="6" w:space="0" w:color="009E49"/>
              <w:left w:val="single" w:sz="6" w:space="0" w:color="009E49"/>
              <w:bottom w:val="single" w:sz="6" w:space="0" w:color="009E49"/>
              <w:right w:val="single" w:sz="6" w:space="0" w:color="009E49"/>
            </w:tcBorders>
            <w:shd w:val="clear" w:color="auto" w:fill="009E49"/>
            <w:tcMar>
              <w:top w:w="90" w:type="dxa"/>
              <w:left w:w="90" w:type="dxa"/>
              <w:bottom w:w="90" w:type="dxa"/>
              <w:right w:w="90" w:type="dxa"/>
            </w:tcMar>
            <w:hideMark/>
          </w:tcPr>
          <w:p w14:paraId="32711604" w14:textId="77777777" w:rsidR="00C228A6" w:rsidRPr="00C228A6" w:rsidRDefault="00C228A6" w:rsidP="00C228A6">
            <w:pPr>
              <w:spacing w:after="0" w:line="240" w:lineRule="auto"/>
              <w:ind w:left="-15" w:right="-15"/>
              <w:rPr>
                <w:rFonts w:ascii="Roboto Condensed" w:eastAsia="Times New Roman" w:hAnsi="Roboto Condensed" w:cs="Arial"/>
                <w:color w:val="FFFFFF"/>
                <w:sz w:val="24"/>
                <w:szCs w:val="24"/>
              </w:rPr>
            </w:pPr>
            <w:r w:rsidRPr="00C228A6">
              <w:rPr>
                <w:rFonts w:ascii="Roboto Condensed" w:eastAsia="Times New Roman" w:hAnsi="Roboto Condensed" w:cs="Arial"/>
                <w:color w:val="FFFFFF"/>
                <w:sz w:val="24"/>
                <w:szCs w:val="24"/>
              </w:rPr>
              <w:t>Table 2: Fixed vs. Smart COLA With Single Asset-Class Retirement Portfolios</w:t>
            </w:r>
            <w:r w:rsidRPr="00C228A6">
              <w:rPr>
                <w:rFonts w:ascii="Arial" w:eastAsia="Times New Roman" w:hAnsi="Arial" w:cs="Arial"/>
                <w:b/>
                <w:bCs/>
                <w:color w:val="FFFFFF"/>
                <w:sz w:val="24"/>
                <w:szCs w:val="24"/>
              </w:rPr>
              <w:t>$1,000,000 starting balance</w:t>
            </w:r>
            <w:r w:rsidRPr="00C228A6">
              <w:rPr>
                <w:rFonts w:ascii="Arial" w:eastAsia="Times New Roman" w:hAnsi="Arial" w:cs="Arial"/>
                <w:b/>
                <w:bCs/>
                <w:color w:val="FFFFFF"/>
                <w:sz w:val="24"/>
                <w:szCs w:val="24"/>
              </w:rPr>
              <w:br/>
              <w:t xml:space="preserve">$40,000 initial withdrawal (prior to COLA being </w:t>
            </w:r>
            <w:proofErr w:type="gramStart"/>
            <w:r w:rsidRPr="00C228A6">
              <w:rPr>
                <w:rFonts w:ascii="Arial" w:eastAsia="Times New Roman" w:hAnsi="Arial" w:cs="Arial"/>
                <w:b/>
                <w:bCs/>
                <w:color w:val="FFFFFF"/>
                <w:sz w:val="24"/>
                <w:szCs w:val="24"/>
              </w:rPr>
              <w:t>applied)Analysis</w:t>
            </w:r>
            <w:proofErr w:type="gramEnd"/>
            <w:r w:rsidRPr="00C228A6">
              <w:rPr>
                <w:rFonts w:ascii="Arial" w:eastAsia="Times New Roman" w:hAnsi="Arial" w:cs="Arial"/>
                <w:b/>
                <w:bCs/>
                <w:color w:val="FFFFFF"/>
                <w:sz w:val="24"/>
                <w:szCs w:val="24"/>
              </w:rPr>
              <w:t xml:space="preserve"> is the summary of 71 rolling 25-year periods from 1926–2020</w:t>
            </w:r>
          </w:p>
        </w:tc>
      </w:tr>
      <w:tr w:rsidR="00C228A6" w:rsidRPr="00C228A6" w14:paraId="39958488" w14:textId="77777777" w:rsidTr="00C228A6">
        <w:tc>
          <w:tcPr>
            <w:tcW w:w="0" w:type="auto"/>
            <w:tcBorders>
              <w:right w:val="single" w:sz="6" w:space="0" w:color="70C899"/>
            </w:tcBorders>
            <w:shd w:val="clear" w:color="auto" w:fill="C3E5D3"/>
            <w:tcMar>
              <w:top w:w="90" w:type="dxa"/>
              <w:left w:w="90" w:type="dxa"/>
              <w:bottom w:w="90" w:type="dxa"/>
              <w:right w:w="90" w:type="dxa"/>
            </w:tcMar>
            <w:hideMark/>
          </w:tcPr>
          <w:p w14:paraId="6D4C3BFD"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Various portfolio allocations</w:t>
            </w:r>
          </w:p>
        </w:tc>
        <w:tc>
          <w:tcPr>
            <w:tcW w:w="0" w:type="auto"/>
            <w:tcBorders>
              <w:right w:val="single" w:sz="6" w:space="0" w:color="70C899"/>
            </w:tcBorders>
            <w:shd w:val="clear" w:color="auto" w:fill="C3E5D3"/>
            <w:tcMar>
              <w:top w:w="90" w:type="dxa"/>
              <w:left w:w="90" w:type="dxa"/>
              <w:bottom w:w="90" w:type="dxa"/>
              <w:right w:w="90" w:type="dxa"/>
            </w:tcMar>
            <w:hideMark/>
          </w:tcPr>
          <w:p w14:paraId="20A64AE1"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Average annual withdrawal</w:t>
            </w:r>
          </w:p>
        </w:tc>
        <w:tc>
          <w:tcPr>
            <w:tcW w:w="0" w:type="auto"/>
            <w:tcBorders>
              <w:right w:val="single" w:sz="6" w:space="0" w:color="70C899"/>
            </w:tcBorders>
            <w:shd w:val="clear" w:color="auto" w:fill="C3E5D3"/>
            <w:tcMar>
              <w:top w:w="90" w:type="dxa"/>
              <w:left w:w="90" w:type="dxa"/>
              <w:bottom w:w="90" w:type="dxa"/>
              <w:right w:w="90" w:type="dxa"/>
            </w:tcMar>
            <w:hideMark/>
          </w:tcPr>
          <w:p w14:paraId="269357DB"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Average portfolio balance after 25 years of withdrawal</w:t>
            </w:r>
          </w:p>
        </w:tc>
        <w:tc>
          <w:tcPr>
            <w:tcW w:w="0" w:type="auto"/>
            <w:tcBorders>
              <w:right w:val="single" w:sz="6" w:space="0" w:color="70C899"/>
            </w:tcBorders>
            <w:shd w:val="clear" w:color="auto" w:fill="C3E5D3"/>
            <w:tcMar>
              <w:top w:w="90" w:type="dxa"/>
              <w:left w:w="90" w:type="dxa"/>
              <w:bottom w:w="90" w:type="dxa"/>
              <w:right w:w="90" w:type="dxa"/>
            </w:tcMar>
            <w:hideMark/>
          </w:tcPr>
          <w:p w14:paraId="7D9E3649" w14:textId="77777777" w:rsidR="00C228A6" w:rsidRPr="00C228A6" w:rsidRDefault="00C228A6" w:rsidP="00C228A6">
            <w:pPr>
              <w:spacing w:after="0" w:line="240" w:lineRule="auto"/>
              <w:rPr>
                <w:rFonts w:ascii="Arial" w:eastAsia="Times New Roman" w:hAnsi="Arial" w:cs="Arial"/>
                <w:b/>
                <w:bCs/>
                <w:sz w:val="24"/>
                <w:szCs w:val="24"/>
              </w:rPr>
            </w:pPr>
            <w:r w:rsidRPr="00C228A6">
              <w:rPr>
                <w:rFonts w:ascii="Arial" w:eastAsia="Times New Roman" w:hAnsi="Arial" w:cs="Arial"/>
                <w:b/>
                <w:bCs/>
                <w:sz w:val="24"/>
                <w:szCs w:val="24"/>
              </w:rPr>
              <w:t>Portfolio failure rate within 25 years</w:t>
            </w:r>
          </w:p>
        </w:tc>
      </w:tr>
      <w:tr w:rsidR="00C228A6" w:rsidRPr="00C228A6" w14:paraId="7A41CFDD" w14:textId="77777777" w:rsidTr="00C228A6">
        <w:tc>
          <w:tcPr>
            <w:tcW w:w="0" w:type="auto"/>
            <w:gridSpan w:val="4"/>
            <w:tcBorders>
              <w:top w:val="single" w:sz="6" w:space="0" w:color="009E49"/>
              <w:left w:val="single" w:sz="6" w:space="0" w:color="009E49"/>
              <w:bottom w:val="single" w:sz="6" w:space="0" w:color="009E49"/>
              <w:right w:val="single" w:sz="6" w:space="0" w:color="009E49"/>
            </w:tcBorders>
            <w:shd w:val="clear" w:color="auto" w:fill="009E49"/>
            <w:tcMar>
              <w:top w:w="90" w:type="dxa"/>
              <w:left w:w="90" w:type="dxa"/>
              <w:bottom w:w="90" w:type="dxa"/>
              <w:right w:w="90" w:type="dxa"/>
            </w:tcMar>
            <w:hideMark/>
          </w:tcPr>
          <w:p w14:paraId="380A328B" w14:textId="77777777" w:rsidR="00C228A6" w:rsidRPr="00C228A6" w:rsidRDefault="00C228A6" w:rsidP="00C228A6">
            <w:pPr>
              <w:spacing w:after="0" w:line="240" w:lineRule="auto"/>
              <w:ind w:left="-15" w:right="-15"/>
              <w:rPr>
                <w:rFonts w:ascii="Roboto Condensed" w:eastAsia="Times New Roman" w:hAnsi="Roboto Condensed" w:cs="Arial"/>
                <w:color w:val="FFFFFF"/>
                <w:sz w:val="24"/>
                <w:szCs w:val="24"/>
              </w:rPr>
            </w:pPr>
            <w:r w:rsidRPr="00C228A6">
              <w:rPr>
                <w:rFonts w:ascii="Roboto Condensed" w:eastAsia="Times New Roman" w:hAnsi="Roboto Condensed" w:cs="Arial"/>
                <w:color w:val="FFFFFF"/>
                <w:sz w:val="24"/>
                <w:szCs w:val="24"/>
              </w:rPr>
              <w:t>Fixed 3% COLA</w:t>
            </w:r>
          </w:p>
        </w:tc>
      </w:tr>
      <w:tr w:rsidR="00C228A6" w:rsidRPr="00C228A6" w14:paraId="55CD2C65" w14:textId="77777777" w:rsidTr="00C228A6">
        <w:tc>
          <w:tcPr>
            <w:tcW w:w="0" w:type="auto"/>
            <w:tcBorders>
              <w:right w:val="single" w:sz="6" w:space="0" w:color="70C899"/>
            </w:tcBorders>
            <w:shd w:val="clear" w:color="auto" w:fill="E4F5EC"/>
            <w:tcMar>
              <w:top w:w="90" w:type="dxa"/>
              <w:left w:w="90" w:type="dxa"/>
              <w:bottom w:w="90" w:type="dxa"/>
              <w:right w:w="90" w:type="dxa"/>
            </w:tcMar>
            <w:hideMark/>
          </w:tcPr>
          <w:p w14:paraId="49D05B87"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Large-Cap Stock</w:t>
            </w:r>
          </w:p>
        </w:tc>
        <w:tc>
          <w:tcPr>
            <w:tcW w:w="0" w:type="auto"/>
            <w:tcBorders>
              <w:right w:val="single" w:sz="6" w:space="0" w:color="70C899"/>
            </w:tcBorders>
            <w:shd w:val="clear" w:color="auto" w:fill="E4F5EC"/>
            <w:tcMar>
              <w:top w:w="90" w:type="dxa"/>
              <w:left w:w="90" w:type="dxa"/>
              <w:bottom w:w="90" w:type="dxa"/>
              <w:right w:w="90" w:type="dxa"/>
            </w:tcMar>
            <w:hideMark/>
          </w:tcPr>
          <w:p w14:paraId="595428D3"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$59,049</w:t>
            </w:r>
          </w:p>
        </w:tc>
        <w:tc>
          <w:tcPr>
            <w:tcW w:w="0" w:type="auto"/>
            <w:tcBorders>
              <w:right w:val="single" w:sz="6" w:space="0" w:color="70C899"/>
            </w:tcBorders>
            <w:shd w:val="clear" w:color="auto" w:fill="E4F5EC"/>
            <w:tcMar>
              <w:top w:w="90" w:type="dxa"/>
              <w:left w:w="90" w:type="dxa"/>
              <w:bottom w:w="90" w:type="dxa"/>
              <w:right w:w="90" w:type="dxa"/>
            </w:tcMar>
            <w:hideMark/>
          </w:tcPr>
          <w:p w14:paraId="0CAF1E3E"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$8,992,192</w:t>
            </w:r>
          </w:p>
        </w:tc>
        <w:tc>
          <w:tcPr>
            <w:tcW w:w="0" w:type="auto"/>
            <w:tcBorders>
              <w:right w:val="single" w:sz="6" w:space="0" w:color="70C899"/>
            </w:tcBorders>
            <w:shd w:val="clear" w:color="auto" w:fill="E4F5EC"/>
            <w:tcMar>
              <w:top w:w="90" w:type="dxa"/>
              <w:left w:w="90" w:type="dxa"/>
              <w:bottom w:w="90" w:type="dxa"/>
              <w:right w:w="90" w:type="dxa"/>
            </w:tcMar>
            <w:hideMark/>
          </w:tcPr>
          <w:p w14:paraId="3527E01B"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4.2%</w:t>
            </w:r>
          </w:p>
        </w:tc>
      </w:tr>
      <w:tr w:rsidR="00C228A6" w:rsidRPr="00C228A6" w14:paraId="39C14437" w14:textId="77777777" w:rsidTr="00C228A6">
        <w:tc>
          <w:tcPr>
            <w:tcW w:w="0" w:type="auto"/>
            <w:tcBorders>
              <w:right w:val="single" w:sz="6" w:space="0" w:color="70C899"/>
            </w:tcBorders>
            <w:shd w:val="clear" w:color="auto" w:fill="FFFFFF"/>
            <w:tcMar>
              <w:top w:w="90" w:type="dxa"/>
              <w:left w:w="90" w:type="dxa"/>
              <w:bottom w:w="90" w:type="dxa"/>
              <w:right w:w="90" w:type="dxa"/>
            </w:tcMar>
            <w:hideMark/>
          </w:tcPr>
          <w:p w14:paraId="3B2D0E8F"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Small-Cap Stock</w:t>
            </w:r>
          </w:p>
        </w:tc>
        <w:tc>
          <w:tcPr>
            <w:tcW w:w="0" w:type="auto"/>
            <w:tcBorders>
              <w:right w:val="single" w:sz="6" w:space="0" w:color="70C899"/>
            </w:tcBorders>
            <w:shd w:val="clear" w:color="auto" w:fill="FFFFFF"/>
            <w:tcMar>
              <w:top w:w="90" w:type="dxa"/>
              <w:left w:w="90" w:type="dxa"/>
              <w:bottom w:w="90" w:type="dxa"/>
              <w:right w:w="90" w:type="dxa"/>
            </w:tcMar>
            <w:hideMark/>
          </w:tcPr>
          <w:p w14:paraId="4A94650E"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$57,718</w:t>
            </w:r>
          </w:p>
        </w:tc>
        <w:tc>
          <w:tcPr>
            <w:tcW w:w="0" w:type="auto"/>
            <w:tcBorders>
              <w:right w:val="single" w:sz="6" w:space="0" w:color="70C899"/>
            </w:tcBorders>
            <w:shd w:val="clear" w:color="auto" w:fill="FFFFFF"/>
            <w:tcMar>
              <w:top w:w="90" w:type="dxa"/>
              <w:left w:w="90" w:type="dxa"/>
              <w:bottom w:w="90" w:type="dxa"/>
              <w:right w:w="90" w:type="dxa"/>
            </w:tcMar>
            <w:hideMark/>
          </w:tcPr>
          <w:p w14:paraId="39F5B383"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$18,677,050</w:t>
            </w:r>
          </w:p>
        </w:tc>
        <w:tc>
          <w:tcPr>
            <w:tcW w:w="0" w:type="auto"/>
            <w:tcBorders>
              <w:right w:val="single" w:sz="6" w:space="0" w:color="70C899"/>
            </w:tcBorders>
            <w:shd w:val="clear" w:color="auto" w:fill="FFFFFF"/>
            <w:tcMar>
              <w:top w:w="90" w:type="dxa"/>
              <w:left w:w="90" w:type="dxa"/>
              <w:bottom w:w="90" w:type="dxa"/>
              <w:right w:w="90" w:type="dxa"/>
            </w:tcMar>
            <w:hideMark/>
          </w:tcPr>
          <w:p w14:paraId="21F471DF"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5.6%</w:t>
            </w:r>
          </w:p>
        </w:tc>
      </w:tr>
      <w:tr w:rsidR="00C228A6" w:rsidRPr="00C228A6" w14:paraId="50E942DA" w14:textId="77777777" w:rsidTr="00C228A6">
        <w:tc>
          <w:tcPr>
            <w:tcW w:w="0" w:type="auto"/>
            <w:tcBorders>
              <w:right w:val="single" w:sz="6" w:space="0" w:color="70C899"/>
            </w:tcBorders>
            <w:shd w:val="clear" w:color="auto" w:fill="E4F5EC"/>
            <w:tcMar>
              <w:top w:w="90" w:type="dxa"/>
              <w:left w:w="90" w:type="dxa"/>
              <w:bottom w:w="90" w:type="dxa"/>
              <w:right w:w="90" w:type="dxa"/>
            </w:tcMar>
            <w:hideMark/>
          </w:tcPr>
          <w:p w14:paraId="4662C168"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Bonds</w:t>
            </w:r>
          </w:p>
        </w:tc>
        <w:tc>
          <w:tcPr>
            <w:tcW w:w="0" w:type="auto"/>
            <w:tcBorders>
              <w:right w:val="single" w:sz="6" w:space="0" w:color="70C899"/>
            </w:tcBorders>
            <w:shd w:val="clear" w:color="auto" w:fill="E4F5EC"/>
            <w:tcMar>
              <w:top w:w="90" w:type="dxa"/>
              <w:left w:w="90" w:type="dxa"/>
              <w:bottom w:w="90" w:type="dxa"/>
              <w:right w:w="90" w:type="dxa"/>
            </w:tcMar>
            <w:hideMark/>
          </w:tcPr>
          <w:p w14:paraId="55A27AF0"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$57,934</w:t>
            </w:r>
          </w:p>
        </w:tc>
        <w:tc>
          <w:tcPr>
            <w:tcW w:w="0" w:type="auto"/>
            <w:tcBorders>
              <w:right w:val="single" w:sz="6" w:space="0" w:color="70C899"/>
            </w:tcBorders>
            <w:shd w:val="clear" w:color="auto" w:fill="E4F5EC"/>
            <w:tcMar>
              <w:top w:w="90" w:type="dxa"/>
              <w:left w:w="90" w:type="dxa"/>
              <w:bottom w:w="90" w:type="dxa"/>
              <w:right w:w="90" w:type="dxa"/>
            </w:tcMar>
            <w:hideMark/>
          </w:tcPr>
          <w:p w14:paraId="55531FF4"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$1,668,766</w:t>
            </w:r>
          </w:p>
        </w:tc>
        <w:tc>
          <w:tcPr>
            <w:tcW w:w="0" w:type="auto"/>
            <w:tcBorders>
              <w:right w:val="single" w:sz="6" w:space="0" w:color="70C899"/>
            </w:tcBorders>
            <w:shd w:val="clear" w:color="auto" w:fill="E4F5EC"/>
            <w:tcMar>
              <w:top w:w="90" w:type="dxa"/>
              <w:left w:w="90" w:type="dxa"/>
              <w:bottom w:w="90" w:type="dxa"/>
              <w:right w:w="90" w:type="dxa"/>
            </w:tcMar>
            <w:hideMark/>
          </w:tcPr>
          <w:p w14:paraId="70FDBA84"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23.9%</w:t>
            </w:r>
          </w:p>
        </w:tc>
      </w:tr>
      <w:tr w:rsidR="00C228A6" w:rsidRPr="00C228A6" w14:paraId="1E8E8423" w14:textId="77777777" w:rsidTr="00C228A6">
        <w:tc>
          <w:tcPr>
            <w:tcW w:w="0" w:type="auto"/>
            <w:tcBorders>
              <w:right w:val="single" w:sz="6" w:space="0" w:color="70C899"/>
            </w:tcBorders>
            <w:shd w:val="clear" w:color="auto" w:fill="FFFFFF"/>
            <w:tcMar>
              <w:top w:w="90" w:type="dxa"/>
              <w:left w:w="90" w:type="dxa"/>
              <w:bottom w:w="90" w:type="dxa"/>
              <w:right w:w="90" w:type="dxa"/>
            </w:tcMar>
            <w:hideMark/>
          </w:tcPr>
          <w:p w14:paraId="1FB68A6D"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Cash</w:t>
            </w:r>
          </w:p>
        </w:tc>
        <w:tc>
          <w:tcPr>
            <w:tcW w:w="0" w:type="auto"/>
            <w:tcBorders>
              <w:right w:val="single" w:sz="6" w:space="0" w:color="70C899"/>
            </w:tcBorders>
            <w:shd w:val="clear" w:color="auto" w:fill="FFFFFF"/>
            <w:tcMar>
              <w:top w:w="90" w:type="dxa"/>
              <w:left w:w="90" w:type="dxa"/>
              <w:bottom w:w="90" w:type="dxa"/>
              <w:right w:w="90" w:type="dxa"/>
            </w:tcMar>
            <w:hideMark/>
          </w:tcPr>
          <w:p w14:paraId="38E93A49"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$54,112</w:t>
            </w:r>
          </w:p>
        </w:tc>
        <w:tc>
          <w:tcPr>
            <w:tcW w:w="0" w:type="auto"/>
            <w:tcBorders>
              <w:right w:val="single" w:sz="6" w:space="0" w:color="70C899"/>
            </w:tcBorders>
            <w:shd w:val="clear" w:color="auto" w:fill="FFFFFF"/>
            <w:tcMar>
              <w:top w:w="90" w:type="dxa"/>
              <w:left w:w="90" w:type="dxa"/>
              <w:bottom w:w="90" w:type="dxa"/>
              <w:right w:w="90" w:type="dxa"/>
            </w:tcMar>
            <w:hideMark/>
          </w:tcPr>
          <w:p w14:paraId="666DCF52"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$735,830</w:t>
            </w:r>
          </w:p>
        </w:tc>
        <w:tc>
          <w:tcPr>
            <w:tcW w:w="0" w:type="auto"/>
            <w:tcBorders>
              <w:right w:val="single" w:sz="6" w:space="0" w:color="70C899"/>
            </w:tcBorders>
            <w:shd w:val="clear" w:color="auto" w:fill="FFFFFF"/>
            <w:tcMar>
              <w:top w:w="90" w:type="dxa"/>
              <w:left w:w="90" w:type="dxa"/>
              <w:bottom w:w="90" w:type="dxa"/>
              <w:right w:w="90" w:type="dxa"/>
            </w:tcMar>
            <w:hideMark/>
          </w:tcPr>
          <w:p w14:paraId="1DB75D99"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39.4</w:t>
            </w:r>
          </w:p>
        </w:tc>
      </w:tr>
      <w:tr w:rsidR="00C228A6" w:rsidRPr="00C228A6" w14:paraId="4BDBD79A" w14:textId="77777777" w:rsidTr="00C228A6">
        <w:tc>
          <w:tcPr>
            <w:tcW w:w="0" w:type="auto"/>
            <w:gridSpan w:val="4"/>
            <w:tcBorders>
              <w:top w:val="single" w:sz="6" w:space="0" w:color="009E49"/>
              <w:left w:val="single" w:sz="6" w:space="0" w:color="009E49"/>
              <w:bottom w:val="single" w:sz="6" w:space="0" w:color="009E49"/>
              <w:right w:val="single" w:sz="6" w:space="0" w:color="009E49"/>
            </w:tcBorders>
            <w:shd w:val="clear" w:color="auto" w:fill="009E49"/>
            <w:tcMar>
              <w:top w:w="90" w:type="dxa"/>
              <w:left w:w="90" w:type="dxa"/>
              <w:bottom w:w="90" w:type="dxa"/>
              <w:right w:w="90" w:type="dxa"/>
            </w:tcMar>
            <w:hideMark/>
          </w:tcPr>
          <w:p w14:paraId="5C6FE61D" w14:textId="77777777" w:rsidR="00C228A6" w:rsidRPr="00C228A6" w:rsidRDefault="00C228A6" w:rsidP="00C228A6">
            <w:pPr>
              <w:spacing w:after="0" w:line="240" w:lineRule="auto"/>
              <w:ind w:left="-15" w:right="-15"/>
              <w:rPr>
                <w:rFonts w:ascii="Roboto Condensed" w:eastAsia="Times New Roman" w:hAnsi="Roboto Condensed" w:cs="Arial"/>
                <w:color w:val="FFFFFF"/>
                <w:sz w:val="24"/>
                <w:szCs w:val="24"/>
              </w:rPr>
            </w:pPr>
            <w:r w:rsidRPr="00C228A6">
              <w:rPr>
                <w:rFonts w:ascii="Roboto Condensed" w:eastAsia="Times New Roman" w:hAnsi="Roboto Condensed" w:cs="Arial"/>
                <w:color w:val="FFFFFF"/>
                <w:sz w:val="24"/>
                <w:szCs w:val="24"/>
              </w:rPr>
              <w:t>Smart COLA</w:t>
            </w:r>
          </w:p>
        </w:tc>
      </w:tr>
      <w:tr w:rsidR="00C228A6" w:rsidRPr="00C228A6" w14:paraId="462892E0" w14:textId="77777777" w:rsidTr="00C228A6">
        <w:tc>
          <w:tcPr>
            <w:tcW w:w="0" w:type="auto"/>
            <w:tcBorders>
              <w:right w:val="single" w:sz="6" w:space="0" w:color="70C899"/>
            </w:tcBorders>
            <w:shd w:val="clear" w:color="auto" w:fill="FFFFFF"/>
            <w:tcMar>
              <w:top w:w="90" w:type="dxa"/>
              <w:left w:w="90" w:type="dxa"/>
              <w:bottom w:w="90" w:type="dxa"/>
              <w:right w:w="90" w:type="dxa"/>
            </w:tcMar>
            <w:hideMark/>
          </w:tcPr>
          <w:p w14:paraId="4BEB0C75"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Large-Cap Stock</w:t>
            </w:r>
          </w:p>
        </w:tc>
        <w:tc>
          <w:tcPr>
            <w:tcW w:w="0" w:type="auto"/>
            <w:tcBorders>
              <w:right w:val="single" w:sz="6" w:space="0" w:color="70C899"/>
            </w:tcBorders>
            <w:shd w:val="clear" w:color="auto" w:fill="FFFFFF"/>
            <w:tcMar>
              <w:top w:w="90" w:type="dxa"/>
              <w:left w:w="90" w:type="dxa"/>
              <w:bottom w:w="90" w:type="dxa"/>
              <w:right w:w="90" w:type="dxa"/>
            </w:tcMar>
            <w:hideMark/>
          </w:tcPr>
          <w:p w14:paraId="1349B25C"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$68,206</w:t>
            </w:r>
          </w:p>
        </w:tc>
        <w:tc>
          <w:tcPr>
            <w:tcW w:w="0" w:type="auto"/>
            <w:tcBorders>
              <w:right w:val="single" w:sz="6" w:space="0" w:color="70C899"/>
            </w:tcBorders>
            <w:shd w:val="clear" w:color="auto" w:fill="FFFFFF"/>
            <w:tcMar>
              <w:top w:w="90" w:type="dxa"/>
              <w:left w:w="90" w:type="dxa"/>
              <w:bottom w:w="90" w:type="dxa"/>
              <w:right w:w="90" w:type="dxa"/>
            </w:tcMar>
            <w:hideMark/>
          </w:tcPr>
          <w:p w14:paraId="0D4C1C56"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$8,480,396</w:t>
            </w:r>
          </w:p>
        </w:tc>
        <w:tc>
          <w:tcPr>
            <w:tcW w:w="0" w:type="auto"/>
            <w:tcBorders>
              <w:right w:val="single" w:sz="6" w:space="0" w:color="70C899"/>
            </w:tcBorders>
            <w:shd w:val="clear" w:color="auto" w:fill="FFFFFF"/>
            <w:tcMar>
              <w:top w:w="90" w:type="dxa"/>
              <w:left w:w="90" w:type="dxa"/>
              <w:bottom w:w="90" w:type="dxa"/>
              <w:right w:w="90" w:type="dxa"/>
            </w:tcMar>
            <w:hideMark/>
          </w:tcPr>
          <w:p w14:paraId="3BE7C976"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2.8%</w:t>
            </w:r>
          </w:p>
        </w:tc>
      </w:tr>
      <w:tr w:rsidR="00C228A6" w:rsidRPr="00C228A6" w14:paraId="628E1A1D" w14:textId="77777777" w:rsidTr="00C228A6">
        <w:tc>
          <w:tcPr>
            <w:tcW w:w="0" w:type="auto"/>
            <w:tcBorders>
              <w:right w:val="single" w:sz="6" w:space="0" w:color="70C899"/>
            </w:tcBorders>
            <w:shd w:val="clear" w:color="auto" w:fill="E4F5EC"/>
            <w:tcMar>
              <w:top w:w="90" w:type="dxa"/>
              <w:left w:w="90" w:type="dxa"/>
              <w:bottom w:w="90" w:type="dxa"/>
              <w:right w:w="90" w:type="dxa"/>
            </w:tcMar>
            <w:hideMark/>
          </w:tcPr>
          <w:p w14:paraId="1D978181"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Small-Cap Stock</w:t>
            </w:r>
          </w:p>
        </w:tc>
        <w:tc>
          <w:tcPr>
            <w:tcW w:w="0" w:type="auto"/>
            <w:tcBorders>
              <w:right w:val="single" w:sz="6" w:space="0" w:color="70C899"/>
            </w:tcBorders>
            <w:shd w:val="clear" w:color="auto" w:fill="E4F5EC"/>
            <w:tcMar>
              <w:top w:w="90" w:type="dxa"/>
              <w:left w:w="90" w:type="dxa"/>
              <w:bottom w:w="90" w:type="dxa"/>
              <w:right w:w="90" w:type="dxa"/>
            </w:tcMar>
            <w:hideMark/>
          </w:tcPr>
          <w:p w14:paraId="584FFB71"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$64,391</w:t>
            </w:r>
          </w:p>
        </w:tc>
        <w:tc>
          <w:tcPr>
            <w:tcW w:w="0" w:type="auto"/>
            <w:tcBorders>
              <w:right w:val="single" w:sz="6" w:space="0" w:color="70C899"/>
            </w:tcBorders>
            <w:shd w:val="clear" w:color="auto" w:fill="E4F5EC"/>
            <w:tcMar>
              <w:top w:w="90" w:type="dxa"/>
              <w:left w:w="90" w:type="dxa"/>
              <w:bottom w:w="90" w:type="dxa"/>
              <w:right w:w="90" w:type="dxa"/>
            </w:tcMar>
            <w:hideMark/>
          </w:tcPr>
          <w:p w14:paraId="0F6E0621"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$18,219,070</w:t>
            </w:r>
          </w:p>
        </w:tc>
        <w:tc>
          <w:tcPr>
            <w:tcW w:w="0" w:type="auto"/>
            <w:tcBorders>
              <w:right w:val="single" w:sz="6" w:space="0" w:color="70C899"/>
            </w:tcBorders>
            <w:shd w:val="clear" w:color="auto" w:fill="E4F5EC"/>
            <w:tcMar>
              <w:top w:w="90" w:type="dxa"/>
              <w:left w:w="90" w:type="dxa"/>
              <w:bottom w:w="90" w:type="dxa"/>
              <w:right w:w="90" w:type="dxa"/>
            </w:tcMar>
            <w:hideMark/>
          </w:tcPr>
          <w:p w14:paraId="0AEDDEEE"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5.6%</w:t>
            </w:r>
          </w:p>
        </w:tc>
      </w:tr>
      <w:tr w:rsidR="00C228A6" w:rsidRPr="00C228A6" w14:paraId="3AD072A6" w14:textId="77777777" w:rsidTr="00C228A6">
        <w:tc>
          <w:tcPr>
            <w:tcW w:w="0" w:type="auto"/>
            <w:tcBorders>
              <w:right w:val="single" w:sz="6" w:space="0" w:color="70C899"/>
            </w:tcBorders>
            <w:shd w:val="clear" w:color="auto" w:fill="FFFFFF"/>
            <w:tcMar>
              <w:top w:w="90" w:type="dxa"/>
              <w:left w:w="90" w:type="dxa"/>
              <w:bottom w:w="90" w:type="dxa"/>
              <w:right w:w="90" w:type="dxa"/>
            </w:tcMar>
            <w:hideMark/>
          </w:tcPr>
          <w:p w14:paraId="008CB995"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Bonds</w:t>
            </w:r>
          </w:p>
        </w:tc>
        <w:tc>
          <w:tcPr>
            <w:tcW w:w="0" w:type="auto"/>
            <w:tcBorders>
              <w:right w:val="single" w:sz="6" w:space="0" w:color="70C899"/>
            </w:tcBorders>
            <w:shd w:val="clear" w:color="auto" w:fill="FFFFFF"/>
            <w:tcMar>
              <w:top w:w="90" w:type="dxa"/>
              <w:left w:w="90" w:type="dxa"/>
              <w:bottom w:w="90" w:type="dxa"/>
              <w:right w:w="90" w:type="dxa"/>
            </w:tcMar>
            <w:hideMark/>
          </w:tcPr>
          <w:p w14:paraId="31B843F3"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$60,285</w:t>
            </w:r>
          </w:p>
        </w:tc>
        <w:tc>
          <w:tcPr>
            <w:tcW w:w="0" w:type="auto"/>
            <w:tcBorders>
              <w:right w:val="single" w:sz="6" w:space="0" w:color="70C899"/>
            </w:tcBorders>
            <w:shd w:val="clear" w:color="auto" w:fill="FFFFFF"/>
            <w:tcMar>
              <w:top w:w="90" w:type="dxa"/>
              <w:left w:w="90" w:type="dxa"/>
              <w:bottom w:w="90" w:type="dxa"/>
              <w:right w:w="90" w:type="dxa"/>
            </w:tcMar>
            <w:hideMark/>
          </w:tcPr>
          <w:p w14:paraId="05138B50"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$1,564,114</w:t>
            </w:r>
          </w:p>
        </w:tc>
        <w:tc>
          <w:tcPr>
            <w:tcW w:w="0" w:type="auto"/>
            <w:tcBorders>
              <w:right w:val="single" w:sz="6" w:space="0" w:color="70C899"/>
            </w:tcBorders>
            <w:shd w:val="clear" w:color="auto" w:fill="FFFFFF"/>
            <w:tcMar>
              <w:top w:w="90" w:type="dxa"/>
              <w:left w:w="90" w:type="dxa"/>
              <w:bottom w:w="90" w:type="dxa"/>
              <w:right w:w="90" w:type="dxa"/>
            </w:tcMar>
            <w:hideMark/>
          </w:tcPr>
          <w:p w14:paraId="59D4265C"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21.1%</w:t>
            </w:r>
          </w:p>
        </w:tc>
      </w:tr>
      <w:tr w:rsidR="00C228A6" w:rsidRPr="00C228A6" w14:paraId="1A1F6E1F" w14:textId="77777777" w:rsidTr="00C228A6">
        <w:tc>
          <w:tcPr>
            <w:tcW w:w="0" w:type="auto"/>
            <w:tcBorders>
              <w:right w:val="single" w:sz="6" w:space="0" w:color="70C899"/>
            </w:tcBorders>
            <w:shd w:val="clear" w:color="auto" w:fill="E4F5EC"/>
            <w:tcMar>
              <w:top w:w="90" w:type="dxa"/>
              <w:left w:w="90" w:type="dxa"/>
              <w:bottom w:w="90" w:type="dxa"/>
              <w:right w:w="90" w:type="dxa"/>
            </w:tcMar>
            <w:hideMark/>
          </w:tcPr>
          <w:p w14:paraId="69CB1694" w14:textId="77777777" w:rsidR="00C228A6" w:rsidRPr="00C228A6" w:rsidRDefault="00C228A6" w:rsidP="00C228A6">
            <w:pPr>
              <w:spacing w:after="0" w:line="240" w:lineRule="auto"/>
              <w:rPr>
                <w:rFonts w:ascii="Arial" w:eastAsia="Times New Roman" w:hAnsi="Arial" w:cs="Arial"/>
                <w:sz w:val="24"/>
                <w:szCs w:val="24"/>
              </w:rPr>
            </w:pPr>
            <w:r w:rsidRPr="00C228A6">
              <w:rPr>
                <w:rFonts w:ascii="Arial" w:eastAsia="Times New Roman" w:hAnsi="Arial" w:cs="Arial"/>
                <w:sz w:val="24"/>
                <w:szCs w:val="24"/>
              </w:rPr>
              <w:t>100% Cash</w:t>
            </w:r>
          </w:p>
        </w:tc>
        <w:tc>
          <w:tcPr>
            <w:tcW w:w="0" w:type="auto"/>
            <w:tcBorders>
              <w:right w:val="single" w:sz="6" w:space="0" w:color="70C899"/>
            </w:tcBorders>
            <w:shd w:val="clear" w:color="auto" w:fill="E4F5EC"/>
            <w:tcMar>
              <w:top w:w="90" w:type="dxa"/>
              <w:left w:w="90" w:type="dxa"/>
              <w:bottom w:w="90" w:type="dxa"/>
              <w:right w:w="90" w:type="dxa"/>
            </w:tcMar>
            <w:hideMark/>
          </w:tcPr>
          <w:p w14:paraId="2F2E2886"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$55,572</w:t>
            </w:r>
          </w:p>
        </w:tc>
        <w:tc>
          <w:tcPr>
            <w:tcW w:w="0" w:type="auto"/>
            <w:tcBorders>
              <w:right w:val="single" w:sz="6" w:space="0" w:color="70C899"/>
            </w:tcBorders>
            <w:shd w:val="clear" w:color="auto" w:fill="E4F5EC"/>
            <w:tcMar>
              <w:top w:w="90" w:type="dxa"/>
              <w:left w:w="90" w:type="dxa"/>
              <w:bottom w:w="90" w:type="dxa"/>
              <w:right w:w="90" w:type="dxa"/>
            </w:tcMar>
            <w:hideMark/>
          </w:tcPr>
          <w:p w14:paraId="18D560B8" w14:textId="77777777" w:rsidR="00C228A6" w:rsidRPr="00C228A6" w:rsidRDefault="00C228A6" w:rsidP="00C228A6">
            <w:pPr>
              <w:spacing w:after="0" w:line="240" w:lineRule="auto"/>
              <w:jc w:val="center"/>
              <w:rPr>
                <w:rFonts w:ascii="Arial" w:eastAsia="Times New Roman" w:hAnsi="Arial" w:cs="Arial"/>
                <w:sz w:val="24"/>
                <w:szCs w:val="24"/>
              </w:rPr>
            </w:pPr>
            <w:r w:rsidRPr="00C228A6">
              <w:rPr>
                <w:rFonts w:ascii="Arial" w:eastAsia="Times New Roman" w:hAnsi="Arial" w:cs="Arial"/>
                <w:sz w:val="24"/>
                <w:szCs w:val="24"/>
              </w:rPr>
              <w:t>$678,479</w:t>
            </w:r>
          </w:p>
        </w:tc>
        <w:tc>
          <w:tcPr>
            <w:tcW w:w="0" w:type="auto"/>
            <w:tcBorders>
              <w:right w:val="single" w:sz="6" w:space="0" w:color="70C899"/>
            </w:tcBorders>
            <w:shd w:val="clear" w:color="auto" w:fill="E4F5EC"/>
            <w:tcMar>
              <w:top w:w="90" w:type="dxa"/>
              <w:left w:w="90" w:type="dxa"/>
              <w:bottom w:w="90" w:type="dxa"/>
              <w:right w:w="90" w:type="dxa"/>
            </w:tcMar>
            <w:hideMark/>
          </w:tcPr>
          <w:p w14:paraId="4CEC239F" w14:textId="77777777" w:rsidR="00C228A6" w:rsidRPr="00C228A6" w:rsidRDefault="00C228A6" w:rsidP="00C228A6">
            <w:pPr>
              <w:spacing w:after="0" w:line="240" w:lineRule="auto"/>
              <w:jc w:val="right"/>
              <w:rPr>
                <w:rFonts w:ascii="Arial" w:eastAsia="Times New Roman" w:hAnsi="Arial" w:cs="Arial"/>
                <w:sz w:val="24"/>
                <w:szCs w:val="24"/>
              </w:rPr>
            </w:pPr>
            <w:r w:rsidRPr="00C228A6">
              <w:rPr>
                <w:rFonts w:ascii="Arial" w:eastAsia="Times New Roman" w:hAnsi="Arial" w:cs="Arial"/>
                <w:sz w:val="24"/>
                <w:szCs w:val="24"/>
              </w:rPr>
              <w:t>39.4%</w:t>
            </w:r>
          </w:p>
        </w:tc>
      </w:tr>
    </w:tbl>
    <w:p w14:paraId="42D04931" w14:textId="77777777" w:rsidR="00C228A6" w:rsidRPr="00C228A6" w:rsidRDefault="00C228A6" w:rsidP="00C228A6">
      <w:pPr>
        <w:shd w:val="clear" w:color="auto" w:fill="FFFFFF"/>
        <w:spacing w:after="300" w:line="240" w:lineRule="auto"/>
        <w:rPr>
          <w:rFonts w:ascii="Arial" w:eastAsia="Times New Roman" w:hAnsi="Arial" w:cs="Arial"/>
          <w:i/>
          <w:iCs/>
          <w:color w:val="000000"/>
          <w:sz w:val="24"/>
          <w:szCs w:val="24"/>
        </w:rPr>
      </w:pPr>
      <w:r w:rsidRPr="00C228A6">
        <w:rPr>
          <w:rFonts w:ascii="Arial" w:eastAsia="Times New Roman" w:hAnsi="Arial" w:cs="Arial"/>
          <w:i/>
          <w:iCs/>
          <w:color w:val="000000"/>
          <w:sz w:val="24"/>
          <w:szCs w:val="24"/>
        </w:rPr>
        <w:t xml:space="preserve">Source: Craig </w:t>
      </w:r>
      <w:proofErr w:type="spellStart"/>
      <w:r w:rsidRPr="00C228A6">
        <w:rPr>
          <w:rFonts w:ascii="Arial" w:eastAsia="Times New Roman" w:hAnsi="Arial" w:cs="Arial"/>
          <w:i/>
          <w:iCs/>
          <w:color w:val="000000"/>
          <w:sz w:val="24"/>
          <w:szCs w:val="24"/>
        </w:rPr>
        <w:t>Israelsen</w:t>
      </w:r>
      <w:proofErr w:type="spellEnd"/>
      <w:r w:rsidRPr="00C228A6">
        <w:rPr>
          <w:rFonts w:ascii="Arial" w:eastAsia="Times New Roman" w:hAnsi="Arial" w:cs="Arial"/>
          <w:i/>
          <w:iCs/>
          <w:color w:val="000000"/>
          <w:sz w:val="24"/>
          <w:szCs w:val="24"/>
        </w:rPr>
        <w:br/>
        <w:t xml:space="preserve">Smart COLA guidelines: 0% COLA when annual portfolio return was negative; 3% </w:t>
      </w:r>
      <w:r w:rsidRPr="00C228A6">
        <w:rPr>
          <w:rFonts w:ascii="Arial" w:eastAsia="Times New Roman" w:hAnsi="Arial" w:cs="Arial"/>
          <w:i/>
          <w:iCs/>
          <w:color w:val="000000"/>
          <w:sz w:val="24"/>
          <w:szCs w:val="24"/>
        </w:rPr>
        <w:lastRenderedPageBreak/>
        <w:t>COLA when annual portfolio return was between 0%–10%; 6% COLA when annual portfolio return was above 10%</w:t>
      </w:r>
    </w:p>
    <w:p w14:paraId="7EA72E8D" w14:textId="77777777" w:rsidR="00256515" w:rsidRPr="001C5B49" w:rsidRDefault="00256515" w:rsidP="00256515">
      <w:pPr>
        <w:rPr>
          <w:rFonts w:ascii="Tahoma" w:hAnsi="Tahoma" w:cs="Tahoma"/>
          <w:i/>
          <w:iCs/>
          <w:color w:val="000000"/>
          <w:sz w:val="24"/>
          <w:szCs w:val="24"/>
        </w:rPr>
      </w:pPr>
      <w:r w:rsidRPr="001C5B49">
        <w:rPr>
          <w:rFonts w:ascii="Tahoma" w:hAnsi="Tahoma" w:cs="Tahoma"/>
          <w:i/>
          <w:iCs/>
          <w:color w:val="000000"/>
          <w:sz w:val="24"/>
          <w:szCs w:val="24"/>
        </w:rPr>
        <w:t xml:space="preserve">If you have any questions or concerns, I would love the opportunity to meet with you to discuss your retirement and investment goals. </w:t>
      </w:r>
    </w:p>
    <w:p w14:paraId="6EB1E0B7" w14:textId="77777777" w:rsidR="00256515" w:rsidRPr="001C5B49" w:rsidRDefault="00256515" w:rsidP="00256515">
      <w:pPr>
        <w:rPr>
          <w:rFonts w:ascii="Tahoma" w:hAnsi="Tahoma" w:cs="Tahoma"/>
          <w:color w:val="000000"/>
        </w:rPr>
      </w:pPr>
      <w:r>
        <w:rPr>
          <w:rFonts w:ascii="Tahoma" w:hAnsi="Tahoma" w:cs="Tahoma"/>
          <w:color w:val="000000"/>
        </w:rPr>
        <w:br/>
      </w:r>
      <w:r w:rsidRPr="001C5B49">
        <w:rPr>
          <w:rFonts w:ascii="Tahoma" w:hAnsi="Tahoma" w:cs="Tahoma"/>
          <w:color w:val="000000"/>
        </w:rPr>
        <w:t xml:space="preserve">Kind Regards, </w:t>
      </w:r>
    </w:p>
    <w:p w14:paraId="3906B24F" w14:textId="77777777" w:rsidR="00256515" w:rsidRDefault="00256515" w:rsidP="00256515">
      <w:pPr>
        <w:rPr>
          <w:color w:val="000000"/>
        </w:rPr>
      </w:pPr>
      <w:r>
        <w:rPr>
          <w:noProof/>
        </w:rPr>
        <w:drawing>
          <wp:inline distT="0" distB="0" distL="0" distR="0" wp14:anchorId="12E0C5EE" wp14:editId="5415FEF8">
            <wp:extent cx="1476375" cy="371475"/>
            <wp:effectExtent l="0" t="0" r="9525" b="952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50F354D8" w14:textId="77777777" w:rsidR="00256515" w:rsidRDefault="00256515" w:rsidP="00256515">
      <w:pPr>
        <w:rPr>
          <w:color w:val="000000"/>
        </w:rPr>
      </w:pPr>
      <w:r>
        <w:rPr>
          <w:color w:val="000000"/>
        </w:rPr>
        <w:t>Randy H. Packett</w:t>
      </w:r>
      <w:r>
        <w:rPr>
          <w:color w:val="000000"/>
        </w:rPr>
        <w:br/>
        <w:t>President &amp; CEO Chesapeake Capital Management</w:t>
      </w:r>
      <w:r>
        <w:rPr>
          <w:color w:val="000000"/>
        </w:rPr>
        <w:br/>
        <w:t>2943 Emmorton Road</w:t>
      </w:r>
      <w:r>
        <w:rPr>
          <w:color w:val="000000"/>
        </w:rPr>
        <w:br/>
        <w:t>Abingdon, MD 21009</w:t>
      </w:r>
      <w:r>
        <w:rPr>
          <w:color w:val="000000"/>
        </w:rPr>
        <w:br/>
        <w:t>410-671-2260</w:t>
      </w:r>
    </w:p>
    <w:p w14:paraId="220ABBA3" w14:textId="77777777" w:rsidR="00256515" w:rsidRDefault="00256515" w:rsidP="00256515">
      <w:pPr>
        <w:rPr>
          <w:color w:val="000000"/>
        </w:rPr>
      </w:pPr>
    </w:p>
    <w:p w14:paraId="10CD158A" w14:textId="77777777" w:rsidR="00256515" w:rsidRPr="00B878E9" w:rsidRDefault="00256515" w:rsidP="00256515">
      <w:pPr>
        <w:rPr>
          <w:rStyle w:val="Emphasis"/>
          <w:rFonts w:ascii="Arial" w:hAnsi="Arial" w:cs="Arial"/>
          <w:color w:val="000000"/>
          <w:sz w:val="16"/>
          <w:szCs w:val="16"/>
        </w:rPr>
      </w:pPr>
      <w:r w:rsidRPr="00B878E9">
        <w:rPr>
          <w:rStyle w:val="Emphasis"/>
          <w:rFonts w:ascii="Arial" w:hAnsi="Arial" w:cs="Arial"/>
          <w:color w:val="000000"/>
          <w:sz w:val="16"/>
          <w:szCs w:val="16"/>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p>
    <w:p w14:paraId="26C000E3" w14:textId="77777777" w:rsidR="00256515" w:rsidRPr="00B878E9" w:rsidRDefault="00256515" w:rsidP="00256515">
      <w:pPr>
        <w:pStyle w:val="xmsonormal"/>
        <w:shd w:val="clear" w:color="auto" w:fill="FFFFFF"/>
        <w:spacing w:before="0" w:beforeAutospacing="0" w:after="0" w:afterAutospacing="0"/>
        <w:rPr>
          <w:rFonts w:ascii="Arial" w:hAnsi="Arial" w:cs="Arial"/>
          <w:i/>
          <w:iCs/>
          <w:sz w:val="16"/>
          <w:szCs w:val="16"/>
        </w:rPr>
      </w:pPr>
      <w:r w:rsidRPr="00B878E9">
        <w:rPr>
          <w:rFonts w:ascii="Arial" w:hAnsi="Arial" w:cs="Arial"/>
          <w:i/>
          <w:iCs/>
          <w:color w:val="000000"/>
          <w:sz w:val="16"/>
          <w:szCs w:val="16"/>
        </w:rPr>
        <w:t>This letter is not intended to be relied upon as forecast, research or investment advice, and is not a recommendation, offer or solicitation to buy or sell any securities or to adopt any investment strategy.  The opinions expressed are as of the date noted and may change as subsequent conditions vary.  The information and opinions contained in this letter are derived from proprietary and nonproprietary sources deemed by Chesapeake Capital Management to be reliable.</w:t>
      </w:r>
    </w:p>
    <w:p w14:paraId="2EEECF52" w14:textId="77777777" w:rsidR="00256515" w:rsidRPr="00B878E9" w:rsidRDefault="00256515" w:rsidP="00256515">
      <w:pPr>
        <w:pStyle w:val="xmsonormal"/>
        <w:shd w:val="clear" w:color="auto" w:fill="FFFFFF"/>
        <w:spacing w:before="0" w:beforeAutospacing="0" w:after="0" w:afterAutospacing="0"/>
        <w:rPr>
          <w:rFonts w:ascii="Arial" w:hAnsi="Arial" w:cs="Arial"/>
          <w:i/>
          <w:iCs/>
          <w:color w:val="000000"/>
          <w:sz w:val="16"/>
          <w:szCs w:val="16"/>
        </w:rPr>
      </w:pPr>
      <w:r w:rsidRPr="00B878E9">
        <w:rPr>
          <w:rFonts w:ascii="Arial" w:hAnsi="Arial" w:cs="Arial"/>
          <w:i/>
          <w:iCs/>
          <w:color w:val="000000"/>
          <w:sz w:val="16"/>
          <w:szCs w:val="16"/>
        </w:rPr>
        <w:t> </w:t>
      </w:r>
    </w:p>
    <w:p w14:paraId="1A9441E0" w14:textId="77777777" w:rsidR="00256515" w:rsidRPr="00B878E9" w:rsidRDefault="00256515" w:rsidP="00256515">
      <w:pPr>
        <w:pStyle w:val="xmsonormal"/>
        <w:shd w:val="clear" w:color="auto" w:fill="FFFFFF"/>
        <w:spacing w:before="0" w:beforeAutospacing="0" w:after="0" w:afterAutospacing="0"/>
        <w:rPr>
          <w:rFonts w:ascii="Arial" w:hAnsi="Arial" w:cs="Arial"/>
          <w:i/>
          <w:iCs/>
          <w:color w:val="000000"/>
          <w:sz w:val="16"/>
          <w:szCs w:val="16"/>
        </w:rPr>
      </w:pPr>
      <w:r w:rsidRPr="00B878E9">
        <w:rPr>
          <w:rFonts w:ascii="Arial" w:hAnsi="Arial" w:cs="Arial"/>
          <w:i/>
          <w:iCs/>
          <w:color w:val="000000"/>
          <w:sz w:val="16"/>
          <w:szCs w:val="16"/>
        </w:rPr>
        <w:t>Chesapeake Capital Management is neither an attorney nor an accountant, and no portion of this content should be interpreted as legal, accounting or tax advice.</w:t>
      </w:r>
    </w:p>
    <w:p w14:paraId="44AFF3FC" w14:textId="77777777" w:rsidR="00256515" w:rsidRPr="00B878E9" w:rsidRDefault="00256515" w:rsidP="00256515">
      <w:pPr>
        <w:pStyle w:val="xmsonormal"/>
        <w:shd w:val="clear" w:color="auto" w:fill="FFFFFF"/>
        <w:spacing w:before="0" w:beforeAutospacing="0" w:after="0" w:afterAutospacing="0"/>
        <w:rPr>
          <w:rFonts w:ascii="Arial" w:hAnsi="Arial" w:cs="Arial"/>
          <w:i/>
          <w:iCs/>
          <w:color w:val="000000"/>
          <w:sz w:val="16"/>
          <w:szCs w:val="16"/>
        </w:rPr>
      </w:pPr>
      <w:r w:rsidRPr="00B878E9">
        <w:rPr>
          <w:rFonts w:ascii="Arial" w:hAnsi="Arial" w:cs="Arial"/>
          <w:i/>
          <w:iCs/>
          <w:color w:val="000000"/>
          <w:sz w:val="16"/>
          <w:szCs w:val="16"/>
        </w:rPr>
        <w:t> </w:t>
      </w:r>
    </w:p>
    <w:p w14:paraId="2D2FDA92" w14:textId="77777777" w:rsidR="00256515" w:rsidRPr="00B878E9" w:rsidRDefault="00256515" w:rsidP="00256515">
      <w:pPr>
        <w:pStyle w:val="xmsonormal"/>
        <w:shd w:val="clear" w:color="auto" w:fill="FFFFFF"/>
        <w:spacing w:before="0" w:beforeAutospacing="0" w:after="0" w:afterAutospacing="0"/>
        <w:rPr>
          <w:rFonts w:ascii="Arial" w:hAnsi="Arial" w:cs="Arial"/>
          <w:i/>
          <w:iCs/>
          <w:color w:val="000000"/>
          <w:sz w:val="16"/>
          <w:szCs w:val="16"/>
        </w:rPr>
      </w:pPr>
      <w:r w:rsidRPr="00B878E9">
        <w:rPr>
          <w:rFonts w:ascii="Arial" w:hAnsi="Arial" w:cs="Arial"/>
          <w:i/>
          <w:iCs/>
          <w:color w:val="000000"/>
          <w:sz w:val="16"/>
          <w:szCs w:val="16"/>
        </w:rPr>
        <w:t>Additional information about Chesapeake Capital Management is available in its current disclosure documents, Form ADV, Form ADV Part 2A Brochure, and Client Relationship Summary report which are accessible online via the SEC’s investment Adviser Public Disclosure (IAPD) database at </w:t>
      </w:r>
      <w:hyperlink r:id="rId6" w:tgtFrame="_blank" w:history="1">
        <w:r w:rsidRPr="00B878E9">
          <w:rPr>
            <w:rStyle w:val="Hyperlink"/>
            <w:rFonts w:ascii="Arial" w:hAnsi="Arial" w:cs="Arial"/>
            <w:i/>
            <w:iCs/>
            <w:color w:val="00008B"/>
            <w:sz w:val="16"/>
            <w:szCs w:val="16"/>
          </w:rPr>
          <w:t>www.adviserinfo.sec.gov</w:t>
        </w:r>
      </w:hyperlink>
      <w:r w:rsidRPr="00B878E9">
        <w:rPr>
          <w:rFonts w:ascii="Arial" w:hAnsi="Arial" w:cs="Arial"/>
          <w:i/>
          <w:iCs/>
          <w:color w:val="000000"/>
          <w:sz w:val="16"/>
          <w:szCs w:val="16"/>
        </w:rPr>
        <w:t>, using CRD # 270014.</w:t>
      </w:r>
    </w:p>
    <w:p w14:paraId="1FE0EC95" w14:textId="77777777" w:rsidR="00256515" w:rsidRPr="00B878E9" w:rsidRDefault="00256515" w:rsidP="00256515">
      <w:pPr>
        <w:shd w:val="clear" w:color="auto" w:fill="FFFFFF"/>
        <w:spacing w:after="300" w:line="240" w:lineRule="auto"/>
        <w:rPr>
          <w:rFonts w:ascii="Arial" w:eastAsia="Times New Roman" w:hAnsi="Arial" w:cs="Arial"/>
          <w:i/>
          <w:iCs/>
          <w:color w:val="000000"/>
          <w:sz w:val="16"/>
          <w:szCs w:val="16"/>
        </w:rPr>
      </w:pPr>
    </w:p>
    <w:p w14:paraId="587DD5F8" w14:textId="77777777" w:rsidR="00986EA4" w:rsidRDefault="00986EA4"/>
    <w:sectPr w:rsidR="0098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Roboto Condensed">
    <w:altName w:val="Roboto Condensed"/>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A6"/>
    <w:rsid w:val="00256515"/>
    <w:rsid w:val="00986EA4"/>
    <w:rsid w:val="00C2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3A7"/>
  <w15:chartTrackingRefBased/>
  <w15:docId w15:val="{03D7CDAE-CEEE-40C0-B4BA-3DE8D3DC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28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8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28A6"/>
    <w:rPr>
      <w:color w:val="0000FF"/>
      <w:u w:val="single"/>
    </w:rPr>
  </w:style>
  <w:style w:type="character" w:customStyle="1" w:styleId="articlesummary">
    <w:name w:val="articlesummary"/>
    <w:basedOn w:val="DefaultParagraphFont"/>
    <w:rsid w:val="00C228A6"/>
  </w:style>
  <w:style w:type="paragraph" w:styleId="NormalWeb">
    <w:name w:val="Normal (Web)"/>
    <w:basedOn w:val="Normal"/>
    <w:uiPriority w:val="99"/>
    <w:semiHidden/>
    <w:unhideWhenUsed/>
    <w:rsid w:val="00C228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28A6"/>
    <w:rPr>
      <w:i/>
      <w:iCs/>
    </w:rPr>
  </w:style>
  <w:style w:type="character" w:styleId="Strong">
    <w:name w:val="Strong"/>
    <w:basedOn w:val="DefaultParagraphFont"/>
    <w:uiPriority w:val="22"/>
    <w:qFormat/>
    <w:rsid w:val="00C228A6"/>
    <w:rPr>
      <w:b/>
      <w:bCs/>
    </w:rPr>
  </w:style>
  <w:style w:type="paragraph" w:customStyle="1" w:styleId="article-image-source">
    <w:name w:val="article-image-source"/>
    <w:basedOn w:val="Normal"/>
    <w:rsid w:val="00C22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56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58302">
      <w:bodyDiv w:val="1"/>
      <w:marLeft w:val="0"/>
      <w:marRight w:val="0"/>
      <w:marTop w:val="0"/>
      <w:marBottom w:val="0"/>
      <w:divBdr>
        <w:top w:val="none" w:sz="0" w:space="0" w:color="auto"/>
        <w:left w:val="none" w:sz="0" w:space="0" w:color="auto"/>
        <w:bottom w:val="none" w:sz="0" w:space="0" w:color="auto"/>
        <w:right w:val="none" w:sz="0" w:space="0" w:color="auto"/>
      </w:divBdr>
      <w:divsChild>
        <w:div w:id="552080885">
          <w:marLeft w:val="0"/>
          <w:marRight w:val="0"/>
          <w:marTop w:val="0"/>
          <w:marBottom w:val="0"/>
          <w:divBdr>
            <w:top w:val="none" w:sz="0" w:space="0" w:color="auto"/>
            <w:left w:val="none" w:sz="0" w:space="0" w:color="auto"/>
            <w:bottom w:val="none" w:sz="0" w:space="0" w:color="auto"/>
            <w:right w:val="none" w:sz="0" w:space="0" w:color="auto"/>
          </w:divBdr>
        </w:div>
        <w:div w:id="1976256276">
          <w:marLeft w:val="0"/>
          <w:marRight w:val="0"/>
          <w:marTop w:val="300"/>
          <w:marBottom w:val="300"/>
          <w:divBdr>
            <w:top w:val="none" w:sz="0" w:space="0" w:color="auto"/>
            <w:left w:val="none" w:sz="0" w:space="0" w:color="auto"/>
            <w:bottom w:val="none" w:sz="0" w:space="0" w:color="auto"/>
            <w:right w:val="none" w:sz="0" w:space="0" w:color="auto"/>
          </w:divBdr>
        </w:div>
        <w:div w:id="1759670094">
          <w:marLeft w:val="0"/>
          <w:marRight w:val="0"/>
          <w:marTop w:val="0"/>
          <w:marBottom w:val="300"/>
          <w:divBdr>
            <w:top w:val="none" w:sz="0" w:space="0" w:color="auto"/>
            <w:left w:val="none" w:sz="0" w:space="0" w:color="auto"/>
            <w:bottom w:val="none" w:sz="0" w:space="0" w:color="auto"/>
            <w:right w:val="none" w:sz="0" w:space="0" w:color="auto"/>
          </w:divBdr>
        </w:div>
        <w:div w:id="817693094">
          <w:marLeft w:val="0"/>
          <w:marRight w:val="0"/>
          <w:marTop w:val="0"/>
          <w:marBottom w:val="0"/>
          <w:divBdr>
            <w:top w:val="none" w:sz="0" w:space="0" w:color="auto"/>
            <w:left w:val="none" w:sz="0" w:space="0" w:color="auto"/>
            <w:bottom w:val="none" w:sz="0" w:space="0" w:color="auto"/>
            <w:right w:val="none" w:sz="0" w:space="0" w:color="auto"/>
          </w:divBdr>
          <w:divsChild>
            <w:div w:id="413090211">
              <w:marLeft w:val="0"/>
              <w:marRight w:val="0"/>
              <w:marTop w:val="0"/>
              <w:marBottom w:val="0"/>
              <w:divBdr>
                <w:top w:val="none" w:sz="0" w:space="0" w:color="auto"/>
                <w:left w:val="none" w:sz="0" w:space="0" w:color="auto"/>
                <w:bottom w:val="none" w:sz="0" w:space="0" w:color="auto"/>
                <w:right w:val="none" w:sz="0" w:space="0" w:color="auto"/>
              </w:divBdr>
              <w:divsChild>
                <w:div w:id="961964195">
                  <w:marLeft w:val="300"/>
                  <w:marRight w:val="0"/>
                  <w:marTop w:val="75"/>
                  <w:marBottom w:val="300"/>
                  <w:divBdr>
                    <w:top w:val="none" w:sz="0" w:space="0" w:color="auto"/>
                    <w:left w:val="none" w:sz="0" w:space="0" w:color="auto"/>
                    <w:bottom w:val="none" w:sz="0" w:space="0" w:color="auto"/>
                    <w:right w:val="none" w:sz="0" w:space="0" w:color="auto"/>
                  </w:divBdr>
                </w:div>
                <w:div w:id="11325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iserinfo.sec.gov/"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Lesley Morris</cp:lastModifiedBy>
  <cp:revision>2</cp:revision>
  <dcterms:created xsi:type="dcterms:W3CDTF">2021-07-01T13:58:00Z</dcterms:created>
  <dcterms:modified xsi:type="dcterms:W3CDTF">2021-07-01T14:01:00Z</dcterms:modified>
</cp:coreProperties>
</file>